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lang w:eastAsia="zh-CN"/>
        </w:rPr>
        <w:t>年</w:t>
      </w:r>
      <w:r>
        <w:rPr>
          <w:rFonts w:hint="eastAsia" w:ascii="方正小标宋_GBK" w:hAnsi="方正小标宋_GBK" w:eastAsia="方正小标宋_GBK" w:cs="方正小标宋_GBK"/>
          <w:sz w:val="72"/>
          <w:szCs w:val="72"/>
        </w:rPr>
        <w:t>度</w:t>
      </w:r>
    </w:p>
    <w:p>
      <w:pPr>
        <w:pStyle w:val="13"/>
        <w:jc w:val="center"/>
        <w:rPr>
          <w:rFonts w:hint="eastAsia" w:ascii="方正小标宋_GBK" w:hAnsi="方正小标宋_GBK" w:eastAsia="方正小标宋_GBK" w:cs="方正小标宋_GBK"/>
          <w:sz w:val="72"/>
          <w:szCs w:val="72"/>
          <w:lang w:val="en-US" w:eastAsia="zh-CN"/>
        </w:rPr>
      </w:pPr>
      <w:r>
        <w:rPr>
          <w:rFonts w:hint="eastAsia" w:ascii="方正小标宋_GBK" w:hAnsi="方正小标宋_GBK" w:eastAsia="方正小标宋_GBK" w:cs="方正小标宋_GBK"/>
          <w:sz w:val="72"/>
          <w:szCs w:val="72"/>
          <w:lang w:val="en-US" w:eastAsia="zh-CN"/>
        </w:rPr>
        <w:t>道县住房保障服务中心</w:t>
      </w: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pPr>
        <w:pStyle w:val="13"/>
        <w:jc w:val="center"/>
        <w:rPr>
          <w:rFonts w:ascii="Times New Roman" w:hAnsi="Times New Roman" w:eastAsia="方正小标宋简体" w:cs="Times New Roman"/>
          <w:sz w:val="72"/>
          <w:szCs w:val="72"/>
        </w:rPr>
      </w:pP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line="500" w:lineRule="exact"/>
        <w:rPr>
          <w:rFonts w:hint="eastAsia" w:ascii="黑体" w:hAnsi="黑体" w:eastAsia="黑体" w:cs="黑体"/>
          <w:b w:val="0"/>
          <w:bCs/>
          <w:sz w:val="28"/>
          <w:szCs w:val="28"/>
        </w:rPr>
      </w:pPr>
      <w:r>
        <w:rPr>
          <w:rFonts w:ascii="Times New Roman" w:hAnsi="Times New Roman" w:cs="Times New Roman"/>
          <w:bCs/>
          <w:sz w:val="32"/>
          <w:szCs w:val="32"/>
        </w:rPr>
        <w:t xml:space="preserve">第一部分 </w:t>
      </w:r>
      <w:r>
        <w:rPr>
          <w:rFonts w:hint="eastAsia" w:ascii="黑体" w:hAnsi="黑体" w:eastAsia="黑体" w:cs="黑体"/>
          <w:b w:val="0"/>
          <w:bCs/>
          <w:sz w:val="28"/>
          <w:szCs w:val="28"/>
          <w:lang w:val="en-US" w:eastAsia="zh-CN"/>
        </w:rPr>
        <w:t xml:space="preserve"> 道县住房保障服务中心</w:t>
      </w:r>
      <w:r>
        <w:rPr>
          <w:rFonts w:hint="eastAsia" w:ascii="黑体" w:hAnsi="黑体" w:eastAsia="黑体" w:cs="黑体"/>
          <w:b w:val="0"/>
          <w:bCs/>
          <w:sz w:val="28"/>
          <w:szCs w:val="28"/>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pgSz w:w="11906" w:h="16838"/>
          <w:pgMar w:top="1417" w:right="1588" w:bottom="1417" w:left="1588" w:header="851" w:footer="992" w:gutter="0"/>
          <w:cols w:space="720"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eastAsia="方正小标宋_GBK" w:cs="Times New Roman"/>
          <w:sz w:val="72"/>
          <w:szCs w:val="72"/>
        </w:rPr>
      </w:pPr>
    </w:p>
    <w:p>
      <w:pPr>
        <w:pStyle w:val="9"/>
        <w:rPr>
          <w:rFonts w:ascii="Times New Roman" w:hAnsi="Times New Roman" w:eastAsia="方正小标宋_GBK" w:cs="Times New Roman"/>
          <w:sz w:val="72"/>
          <w:szCs w:val="72"/>
        </w:rPr>
      </w:pPr>
    </w:p>
    <w:p>
      <w:pPr>
        <w:pStyle w:val="5"/>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9"/>
      </w:pPr>
    </w:p>
    <w:p>
      <w:pPr>
        <w:pStyle w:val="5"/>
      </w:pPr>
    </w:p>
    <w:p/>
    <w:p>
      <w:pPr>
        <w:pStyle w:val="2"/>
      </w:pPr>
    </w:p>
    <w:p/>
    <w:p>
      <w:pPr>
        <w:pStyle w:val="2"/>
      </w:pPr>
    </w:p>
    <w:p/>
    <w:p>
      <w:pPr>
        <w:pStyle w:val="2"/>
      </w:pPr>
    </w:p>
    <w:p/>
    <w:p>
      <w:pPr>
        <w:pStyle w:val="2"/>
      </w:pPr>
    </w:p>
    <w:p/>
    <w:p>
      <w:pPr>
        <w:pStyle w:val="2"/>
      </w:pPr>
    </w:p>
    <w:p/>
    <w:p>
      <w:pPr>
        <w:pStyle w:val="2"/>
      </w:pPr>
    </w:p>
    <w:p/>
    <w:p>
      <w:pPr>
        <w:pStyle w:val="2"/>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lang w:val="en-US" w:eastAsia="zh-CN"/>
        </w:rPr>
        <w:t>道县住房保障服务中心</w:t>
      </w:r>
      <w:r>
        <w:rPr>
          <w:rFonts w:hint="eastAsia" w:ascii="方正小标宋_GBK" w:hAnsi="方正小标宋_GBK" w:eastAsia="方正小标宋_GBK" w:cs="方正小标宋_GBK"/>
          <w:sz w:val="52"/>
          <w:szCs w:val="52"/>
        </w:rPr>
        <w:t>概况</w:t>
      </w: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center"/>
        <w:rPr>
          <w:rFonts w:hint="eastAsia" w:ascii="方正小标宋_GBK" w:hAnsi="方正小标宋_GBK" w:eastAsia="方正小标宋_GBK" w:cs="方正小标宋_GBK"/>
          <w:sz w:val="52"/>
          <w:szCs w:val="52"/>
        </w:rPr>
      </w:pPr>
    </w:p>
    <w:p>
      <w:pPr>
        <w:pStyle w:val="13"/>
        <w:spacing w:line="360" w:lineRule="auto"/>
        <w:jc w:val="both"/>
        <w:rPr>
          <w:rFonts w:hint="eastAsia" w:ascii="方正小标宋_GBK" w:hAnsi="方正小标宋_GBK" w:eastAsia="方正小标宋_GBK" w:cs="方正小标宋_GBK"/>
          <w:sz w:val="52"/>
          <w:szCs w:val="52"/>
        </w:rPr>
      </w:pPr>
    </w:p>
    <w:p>
      <w:pPr>
        <w:pStyle w:val="5"/>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800" w:firstLineChars="250"/>
        <w:jc w:val="left"/>
        <w:rPr>
          <w:rFonts w:ascii="Times New Roman" w:hAnsi="Times New Roman" w:eastAsia="仿宋_GB2312" w:cs="Times New Roman"/>
          <w:sz w:val="32"/>
          <w:szCs w:val="32"/>
        </w:rPr>
      </w:pPr>
      <w:r>
        <w:rPr>
          <w:rFonts w:hint="eastAsia" w:ascii="仿宋_GB2312" w:hAnsi="仿宋_GB2312" w:eastAsia="仿宋_GB2312" w:cs="仿宋_GB2312"/>
          <w:color w:val="000000"/>
          <w:sz w:val="32"/>
          <w:szCs w:val="32"/>
          <w:shd w:val="clear" w:color="auto" w:fill="FFFFFF"/>
        </w:rPr>
        <w:t>县住房保障服务中心主要职责：贯彻执行中央、省、市、县有关住房保障工作的法律法规、政策方针和文件规定；承担县城区棚户区改造相关服务性工作；承担县城区国家直管公房的管理、维修和经营工作以及房屋租赁登记备案工作；协助主管部门开展县城区房屋专项维修资金的归集与使用管理；承担县城区房屋的白蚁预防和灭治服务工作；负责全县房地产市场信息资源的开发、应用和公众服务工作；承担房地产信息采集、信息分析、信息发布及信息数据库的建设、维护和管理，会同有关部门建立房地产市场预警预报体系；承担房地产市场有关服务性工作；承办县住建局交办的其他相关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单位内设机构包括：</w:t>
      </w:r>
      <w:r>
        <w:rPr>
          <w:rFonts w:hint="eastAsia" w:ascii="仿宋_GB2312" w:hAnsi="仿宋_GB2312" w:eastAsia="仿宋_GB2312" w:cs="仿宋_GB2312"/>
          <w:color w:val="000000"/>
          <w:sz w:val="32"/>
          <w:szCs w:val="32"/>
          <w:shd w:val="clear" w:color="auto" w:fill="FFFFFF"/>
        </w:rPr>
        <w:t>办公室、财务室、保障性住房服务室、棚户区改造服务室、市场服务室。所属事业单位4个，分别是县白蚁防治所、县房屋维修资金事务中心、县物业管理服务所、县房屋租赁服务所。</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pStyle w:val="9"/>
        <w:rPr>
          <w:rFonts w:ascii="Times New Roman" w:hAnsi="Times New Roman" w:cs="Times New Roman"/>
        </w:rPr>
      </w:pPr>
    </w:p>
    <w:p>
      <w:pPr>
        <w:pStyle w:val="5"/>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
      <w:pPr>
        <w:pStyle w:val="2"/>
        <w:rPr>
          <w:rFonts w:ascii="Times New Roman" w:hAnsi="Times New Roman" w:cs="Times New Roman"/>
        </w:rPr>
      </w:pPr>
    </w:p>
    <w:p>
      <w:pPr>
        <w:rPr>
          <w:rFonts w:ascii="Times New Roman" w:hAnsi="Times New Roman" w:cs="Times New Roman"/>
        </w:rPr>
      </w:pPr>
    </w:p>
    <w:p>
      <w:pPr>
        <w:pStyle w:val="2"/>
      </w:pPr>
    </w:p>
    <w:p>
      <w:pPr>
        <w:rPr>
          <w:rFonts w:ascii="Times New Roman" w:hAnsi="Times New Roman" w:cs="Times New Roman"/>
        </w:rPr>
      </w:pPr>
    </w:p>
    <w:p>
      <w:pPr>
        <w:pStyle w:val="13"/>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3"/>
        <w:numPr>
          <w:ilvl w:val="0"/>
          <w:numId w:val="0"/>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pStyle w:val="2"/>
        <w:sectPr>
          <w:footerReference r:id="rId3" w:type="default"/>
          <w:pgSz w:w="11906" w:h="16838"/>
          <w:pgMar w:top="1417" w:right="1588" w:bottom="1417" w:left="1588" w:header="851" w:footer="992" w:gutter="0"/>
          <w:pgNumType w:start="1"/>
          <w:cols w:space="720" w:num="1"/>
          <w:docGrid w:type="lines" w:linePitch="312" w:charSpace="0"/>
        </w:sectPr>
      </w:pP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W w:w="148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82"/>
        <w:gridCol w:w="912"/>
        <w:gridCol w:w="2292"/>
        <w:gridCol w:w="3900"/>
        <w:gridCol w:w="1056"/>
        <w:gridCol w:w="23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75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3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right"/>
              <w:textAlignment w:val="center"/>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661.98</w:t>
            </w: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right"/>
              <w:textAlignment w:val="center"/>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7.6</w:t>
            </w:r>
            <w:r>
              <w:rPr>
                <w:rFonts w:hint="default" w:ascii="宋体" w:hAnsi="宋体" w:eastAsia="宋体"/>
                <w:b w:val="0"/>
                <w:i w:val="0"/>
                <w:color w:val="000000"/>
                <w:sz w:val="22"/>
                <w:u w:val="none"/>
                <w:lang w:eastAsia="zh-CN"/>
              </w:rPr>
              <w:t xml:space="preserve"> </w:t>
            </w: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rPr>
            </w:pPr>
            <w:r>
              <w:rPr>
                <w:rFonts w:hint="default" w:ascii="Times New Roman" w:hAnsi="Times New Roman" w:eastAsia="仿宋_GB2312" w:cs="Times New Roman"/>
                <w:color w:val="000000"/>
                <w:kern w:val="0"/>
                <w:sz w:val="22"/>
                <w:lang w:eastAsia="zh-CN"/>
              </w:rPr>
              <w:t>七、文化旅游体育与传媒支出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rPr>
            </w:pPr>
            <w:r>
              <w:rPr>
                <w:rFonts w:hint="default" w:ascii="Times New Roman" w:hAnsi="Times New Roman" w:eastAsia="仿宋_GB2312" w:cs="Times New Roman"/>
                <w:color w:val="000000"/>
                <w:kern w:val="0"/>
                <w:sz w:val="22"/>
                <w:lang w:eastAsia="zh-CN"/>
              </w:rPr>
              <w:t>八、社会保障和就业支出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2354" w:type="dxa"/>
            <w:tcBorders>
              <w:top w:val="single" w:color="000000" w:sz="4" w:space="0"/>
              <w:left w:val="single" w:color="000000" w:sz="4" w:space="0"/>
              <w:bottom w:val="single" w:color="000000" w:sz="4" w:space="0"/>
              <w:right w:val="single" w:color="000000" w:sz="4" w:space="0"/>
            </w:tcBorders>
            <w:vAlign w:val="center"/>
          </w:tcPr>
          <w:p>
            <w:pPr>
              <w:autoSpaceDN w:val="0"/>
              <w:jc w:val="right"/>
              <w:textAlignment w:val="center"/>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56.39</w:t>
            </w:r>
            <w:r>
              <w:rPr>
                <w:rFonts w:hint="default" w:ascii="宋体" w:hAnsi="宋体" w:eastAsia="宋体"/>
                <w:b w:val="0"/>
                <w:i w:val="0"/>
                <w:color w:val="000000"/>
                <w:sz w:val="22"/>
                <w:u w:val="none"/>
                <w:lang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rPr>
            </w:pPr>
            <w:r>
              <w:rPr>
                <w:rFonts w:hint="default" w:ascii="Times New Roman" w:hAnsi="Times New Roman" w:eastAsia="仿宋_GB2312" w:cs="Times New Roman"/>
                <w:color w:val="000000"/>
                <w:kern w:val="0"/>
                <w:sz w:val="22"/>
                <w:lang w:eastAsia="zh-CN"/>
              </w:rPr>
              <w:t>九、卫生健康支出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2354" w:type="dxa"/>
            <w:tcBorders>
              <w:top w:val="single" w:color="000000" w:sz="4" w:space="0"/>
              <w:left w:val="single" w:color="000000" w:sz="4" w:space="0"/>
              <w:bottom w:val="single" w:color="000000" w:sz="4" w:space="0"/>
              <w:right w:val="single" w:color="000000" w:sz="4" w:space="0"/>
            </w:tcBorders>
            <w:vAlign w:val="center"/>
          </w:tcPr>
          <w:p>
            <w:pPr>
              <w:autoSpaceDN w:val="0"/>
              <w:jc w:val="right"/>
              <w:textAlignment w:val="center"/>
              <w:rPr>
                <w:rFonts w:ascii="Times New Roman" w:hAnsi="Times New Roman" w:eastAsia="仿宋_GB2312" w:cs="Times New Roman"/>
                <w:b/>
                <w:color w:val="000000"/>
                <w:sz w:val="22"/>
                <w:lang w:val="en-US"/>
              </w:rPr>
            </w:pPr>
            <w:r>
              <w:rPr>
                <w:rFonts w:hint="eastAsia" w:ascii="宋体" w:hAnsi="宋体"/>
                <w:b w:val="0"/>
                <w:i w:val="0"/>
                <w:color w:val="000000"/>
                <w:sz w:val="22"/>
                <w:u w:val="none"/>
                <w:lang w:val="en-US" w:eastAsia="zh-CN"/>
              </w:rPr>
              <w:t>23.91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Times New Roman" w:hAnsi="Times New Roman" w:eastAsia="仿宋_GB2312" w:cs="Times New Roman"/>
                <w:color w:val="000000"/>
                <w:kern w:val="0"/>
                <w:sz w:val="22"/>
                <w:lang w:eastAsia="zh-CN"/>
              </w:rPr>
            </w:pPr>
            <w:r>
              <w:rPr>
                <w:rFonts w:hint="default" w:ascii="Times New Roman" w:hAnsi="Times New Roman" w:eastAsia="仿宋_GB2312" w:cs="Times New Roman"/>
                <w:color w:val="000000"/>
                <w:kern w:val="0"/>
                <w:sz w:val="22"/>
                <w:lang w:eastAsia="zh-CN"/>
              </w:rPr>
              <w:t>十九、住房保障支出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rPr>
            </w:pPr>
          </w:p>
        </w:tc>
        <w:tc>
          <w:tcPr>
            <w:tcW w:w="2354" w:type="dxa"/>
            <w:tcBorders>
              <w:top w:val="single" w:color="000000" w:sz="4" w:space="0"/>
              <w:left w:val="single" w:color="000000" w:sz="4" w:space="0"/>
              <w:bottom w:val="single" w:color="000000" w:sz="4" w:space="0"/>
              <w:right w:val="single" w:color="000000" w:sz="4" w:space="0"/>
            </w:tcBorders>
            <w:vAlign w:val="center"/>
          </w:tcPr>
          <w:p>
            <w:pPr>
              <w:autoSpaceDN w:val="0"/>
              <w:jc w:val="right"/>
              <w:textAlignment w:val="center"/>
              <w:rPr>
                <w:rFonts w:hint="default" w:ascii="宋体" w:hAnsi="宋体" w:eastAsia="宋体"/>
                <w:b w:val="0"/>
                <w:i w:val="0"/>
                <w:color w:val="000000"/>
                <w:sz w:val="22"/>
                <w:u w:val="none"/>
                <w:lang w:val="en-US" w:eastAsia="zh-CN"/>
              </w:rPr>
            </w:pPr>
            <w:r>
              <w:rPr>
                <w:rFonts w:hint="eastAsia" w:ascii="宋体" w:hAnsi="宋体"/>
                <w:b w:val="0"/>
                <w:i w:val="0"/>
                <w:color w:val="000000"/>
                <w:sz w:val="22"/>
                <w:u w:val="none"/>
                <w:lang w:val="en-US" w:eastAsia="zh-CN"/>
              </w:rPr>
              <w:t>581.68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default" w:ascii="Times New Roman" w:hAnsi="Times New Roman" w:eastAsia="仿宋_GB2312" w:cs="Times New Roman"/>
                <w:color w:val="000000"/>
                <w:kern w:val="0"/>
                <w:sz w:val="22"/>
                <w:lang w:eastAsia="zh-CN"/>
              </w:rPr>
            </w:pPr>
            <w:r>
              <w:rPr>
                <w:rFonts w:hint="default" w:ascii="Times New Roman" w:hAnsi="Times New Roman" w:eastAsia="仿宋_GB2312" w:cs="Times New Roman"/>
                <w:color w:val="000000"/>
                <w:kern w:val="0"/>
                <w:sz w:val="22"/>
                <w:lang w:eastAsia="zh-CN"/>
              </w:rPr>
              <w:t>二十三、其他支出</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rPr>
            </w:pPr>
          </w:p>
        </w:tc>
        <w:tc>
          <w:tcPr>
            <w:tcW w:w="2354" w:type="dxa"/>
            <w:tcBorders>
              <w:top w:val="single" w:color="000000" w:sz="4" w:space="0"/>
              <w:left w:val="single" w:color="000000" w:sz="4" w:space="0"/>
              <w:bottom w:val="single" w:color="000000" w:sz="4" w:space="0"/>
              <w:right w:val="single" w:color="000000" w:sz="4" w:space="0"/>
            </w:tcBorders>
            <w:vAlign w:val="center"/>
          </w:tcPr>
          <w:p>
            <w:pPr>
              <w:autoSpaceDN w:val="0"/>
              <w:jc w:val="right"/>
              <w:textAlignment w:val="center"/>
              <w:rPr>
                <w:rFonts w:hint="default" w:ascii="宋体" w:hAnsi="宋体" w:eastAsia="宋体"/>
                <w:b w:val="0"/>
                <w:i w:val="0"/>
                <w:color w:val="000000"/>
                <w:sz w:val="22"/>
                <w:u w:val="none"/>
                <w:lang w:val="en-US" w:eastAsia="zh-CN"/>
              </w:rPr>
            </w:pPr>
            <w:r>
              <w:rPr>
                <w:rFonts w:hint="eastAsia" w:ascii="宋体" w:hAnsi="宋体"/>
                <w:b w:val="0"/>
                <w:i w:val="0"/>
                <w:color w:val="000000"/>
                <w:sz w:val="22"/>
                <w:u w:val="none"/>
                <w:lang w:val="en-US" w:eastAsia="zh-CN"/>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669.58</w:t>
            </w: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2354" w:type="dxa"/>
            <w:tcBorders>
              <w:top w:val="single" w:color="000000" w:sz="4" w:space="0"/>
              <w:left w:val="single" w:color="000000" w:sz="4" w:space="0"/>
              <w:bottom w:val="single" w:color="000000" w:sz="4" w:space="0"/>
              <w:right w:val="single" w:color="000000" w:sz="4" w:space="0"/>
            </w:tcBorders>
            <w:vAlign w:val="center"/>
          </w:tcPr>
          <w:p>
            <w:pPr>
              <w:jc w:val="right"/>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669.58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235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235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3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right"/>
              <w:textAlignment w:val="center"/>
              <w:rPr>
                <w:rFonts w:ascii="Times New Roman" w:hAnsi="Times New Roman" w:eastAsia="仿宋_GB2312" w:cs="Times New Roman"/>
                <w:color w:val="000000"/>
                <w:sz w:val="22"/>
              </w:rPr>
            </w:pPr>
            <w:r>
              <w:rPr>
                <w:rFonts w:hint="eastAsia" w:ascii="宋体" w:hAnsi="宋体"/>
                <w:b w:val="0"/>
                <w:i w:val="0"/>
                <w:color w:val="000000"/>
                <w:sz w:val="22"/>
                <w:u w:val="none"/>
                <w:lang w:val="en-US" w:eastAsia="zh-CN"/>
              </w:rPr>
              <w:t>669.58</w:t>
            </w:r>
          </w:p>
        </w:tc>
        <w:tc>
          <w:tcPr>
            <w:tcW w:w="3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2354" w:type="dxa"/>
            <w:tcBorders>
              <w:top w:val="single" w:color="000000" w:sz="4" w:space="0"/>
              <w:left w:val="single" w:color="000000" w:sz="4" w:space="0"/>
              <w:bottom w:val="single" w:color="000000" w:sz="4" w:space="0"/>
              <w:right w:val="single" w:color="000000" w:sz="4" w:space="0"/>
            </w:tcBorders>
            <w:vAlign w:val="center"/>
          </w:tcPr>
          <w:p>
            <w:pPr>
              <w:autoSpaceDN w:val="0"/>
              <w:jc w:val="right"/>
              <w:textAlignment w:val="center"/>
              <w:rPr>
                <w:rFonts w:ascii="Times New Roman" w:hAnsi="Times New Roman" w:eastAsia="仿宋_GB2312" w:cs="Times New Roman"/>
                <w:b/>
                <w:color w:val="000000"/>
                <w:sz w:val="22"/>
              </w:rPr>
            </w:pPr>
            <w:r>
              <w:rPr>
                <w:rFonts w:hint="eastAsia" w:ascii="宋体" w:hAnsi="宋体"/>
                <w:b w:val="0"/>
                <w:i w:val="0"/>
                <w:color w:val="000000"/>
                <w:sz w:val="22"/>
                <w:u w:val="none"/>
                <w:lang w:val="en-US" w:eastAsia="zh-CN"/>
              </w:rPr>
              <w:t>669.58</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59"/>
        <w:gridCol w:w="2564"/>
        <w:gridCol w:w="1403"/>
        <w:gridCol w:w="1640"/>
        <w:gridCol w:w="1640"/>
        <w:gridCol w:w="1640"/>
        <w:gridCol w:w="1640"/>
        <w:gridCol w:w="1897"/>
        <w:gridCol w:w="13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42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exact"/>
          <w:jc w:val="center"/>
        </w:trPr>
        <w:tc>
          <w:tcPr>
            <w:tcW w:w="8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6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0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5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564"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0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42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0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42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669.58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669.58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208</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社会保障和就业支出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56.39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56.39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20805</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行政事业单位养老支出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43.97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43.97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2080505</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ascii="Times New Roman" w:hAnsi="Times New Roman" w:eastAsia="仿宋_GB2312" w:cs="Times New Roman"/>
                <w:sz w:val="24"/>
                <w:szCs w:val="24"/>
              </w:rPr>
            </w:pPr>
            <w:r>
              <w:rPr>
                <w:rFonts w:hint="default" w:ascii="宋体" w:hAnsi="宋体" w:eastAsia="宋体"/>
                <w:b w:val="0"/>
                <w:i w:val="0"/>
                <w:color w:val="333333"/>
                <w:sz w:val="22"/>
                <w:u w:val="none"/>
                <w:lang w:eastAsia="zh-CN"/>
              </w:rPr>
              <w:t>机关事业单位基本养老保险缴费支出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43.97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ascii="Times New Roman" w:hAnsi="Times New Roman" w:eastAsia="仿宋_GB2312" w:cs="Times New Roman"/>
                <w:sz w:val="24"/>
                <w:szCs w:val="24"/>
              </w:rPr>
            </w:pPr>
            <w:r>
              <w:rPr>
                <w:rFonts w:hint="default" w:ascii="宋体" w:hAnsi="宋体" w:eastAsia="宋体"/>
                <w:b w:val="0"/>
                <w:i w:val="0"/>
                <w:color w:val="000000"/>
                <w:sz w:val="24"/>
                <w:u w:val="none"/>
                <w:lang w:eastAsia="zh-CN"/>
              </w:rPr>
              <w:t xml:space="preserve">43.97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20808</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抚恤</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12.42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12.42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2080801</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死亡抚恤</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12.42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12.42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210</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卫生健康支出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21011</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行政事业单位医疗</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2101102</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事业单位医疗</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center"/>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23.91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1"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住房保障支出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581.68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581.68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22101</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保障性安居工程支出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182.08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182.08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2210111</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配租型住房保障</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20.41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20.41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2210199</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其他保障性安居工程支出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161.67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161.67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22103</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城乡社区住宅</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399.60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399.60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2210399</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其他城乡社区住宅支出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399.60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399.60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229</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其他支出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22904</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其他政府性基金及对应专项债务收入安排的支出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859"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2290403</w:t>
            </w:r>
          </w:p>
        </w:tc>
        <w:tc>
          <w:tcPr>
            <w:tcW w:w="25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autoSpaceDN w:val="0"/>
              <w:jc w:val="left"/>
              <w:textAlignment w:val="center"/>
              <w:rPr>
                <w:rFonts w:hint="default" w:ascii="宋体" w:hAnsi="宋体" w:eastAsia="宋体"/>
                <w:b w:val="0"/>
                <w:i w:val="0"/>
                <w:color w:val="333333"/>
                <w:sz w:val="22"/>
                <w:u w:val="none"/>
                <w:lang w:eastAsia="zh-CN"/>
              </w:rPr>
            </w:pPr>
            <w:r>
              <w:rPr>
                <w:rFonts w:hint="default" w:ascii="宋体" w:hAnsi="宋体" w:eastAsia="宋体"/>
                <w:b w:val="0"/>
                <w:i w:val="0"/>
                <w:color w:val="333333"/>
                <w:sz w:val="22"/>
                <w:u w:val="none"/>
                <w:lang w:eastAsia="zh-CN"/>
              </w:rPr>
              <w:t>其他政府性基金债务收入安排的支出</w:t>
            </w:r>
          </w:p>
        </w:tc>
        <w:tc>
          <w:tcPr>
            <w:tcW w:w="1403"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bottom"/>
          </w:tcPr>
          <w:p>
            <w:pPr>
              <w:autoSpaceDN w:val="0"/>
              <w:jc w:val="right"/>
              <w:textAlignment w:val="bottom"/>
              <w:rPr>
                <w:rFonts w:hint="default" w:ascii="宋体" w:hAnsi="宋体" w:eastAsia="宋体"/>
                <w:b w:val="0"/>
                <w:i w:val="0"/>
                <w:color w:val="333333"/>
                <w:sz w:val="22"/>
                <w:u w:val="none"/>
                <w:lang w:eastAsia="zh-CN"/>
              </w:rPr>
            </w:pPr>
            <w:r>
              <w:rPr>
                <w:rFonts w:hint="default" w:ascii="宋体" w:hAnsi="宋体" w:eastAsia="宋体"/>
                <w:b w:val="0"/>
                <w:i w:val="0"/>
                <w:color w:val="000000"/>
                <w:sz w:val="24"/>
                <w:u w:val="none"/>
                <w:lang w:eastAsia="zh-CN"/>
              </w:rPr>
              <w:t xml:space="preserve">7.60 </w:t>
            </w: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hint="eastAsia" w:ascii="Times New Roman" w:hAnsi="Times New Roman" w:eastAsia="黑体" w:cs="Times New Roman"/>
          <w:bCs/>
          <w:kern w:val="0"/>
          <w:sz w:val="32"/>
          <w:szCs w:val="32"/>
          <w:lang w:val="en-US" w:eastAsia="zh-CN"/>
        </w:rPr>
      </w:pPr>
      <w:r>
        <w:rPr>
          <w:rFonts w:ascii="Times New Roman" w:hAnsi="Times New Roman" w:eastAsia="黑体" w:cs="Times New Roman"/>
          <w:bCs/>
          <w:kern w:val="0"/>
          <w:sz w:val="32"/>
          <w:szCs w:val="32"/>
        </w:rPr>
        <w:t xml:space="preserve"> </w:t>
      </w:r>
      <w:r>
        <w:rPr>
          <w:rFonts w:hint="eastAsia" w:ascii="Times New Roman" w:hAnsi="Times New Roman" w:eastAsia="黑体" w:cs="Times New Roman"/>
          <w:bCs/>
          <w:kern w:val="0"/>
          <w:sz w:val="32"/>
          <w:szCs w:val="32"/>
          <w:lang w:val="en-US" w:eastAsia="zh-CN"/>
        </w:rPr>
        <w:t xml:space="preserve">                               </w:t>
      </w:r>
    </w:p>
    <w:p>
      <w:pPr>
        <w:widowControl/>
        <w:jc w:val="left"/>
        <w:rPr>
          <w:rFonts w:hint="eastAsia" w:ascii="Times New Roman" w:hAnsi="Times New Roman" w:eastAsia="黑体" w:cs="Times New Roman"/>
          <w:bCs/>
          <w:kern w:val="0"/>
          <w:sz w:val="32"/>
          <w:szCs w:val="32"/>
          <w:lang w:val="en-US" w:eastAsia="zh-CN"/>
        </w:rPr>
      </w:pPr>
    </w:p>
    <w:p>
      <w:pPr>
        <w:widowControl/>
        <w:jc w:val="left"/>
        <w:rPr>
          <w:rFonts w:hint="eastAsia" w:ascii="Times New Roman" w:hAnsi="Times New Roman" w:eastAsia="黑体" w:cs="Times New Roman"/>
          <w:bCs/>
          <w:kern w:val="0"/>
          <w:sz w:val="32"/>
          <w:szCs w:val="32"/>
          <w:lang w:val="en-US" w:eastAsia="zh-CN"/>
        </w:rPr>
      </w:pPr>
    </w:p>
    <w:p>
      <w:pPr>
        <w:widowControl/>
        <w:jc w:val="left"/>
        <w:rPr>
          <w:rFonts w:hint="eastAsia" w:ascii="Times New Roman" w:hAnsi="Times New Roman" w:eastAsia="黑体" w:cs="Times New Roman"/>
          <w:bCs/>
          <w:kern w:val="0"/>
          <w:sz w:val="32"/>
          <w:szCs w:val="32"/>
          <w:lang w:val="en-US" w:eastAsia="zh-CN"/>
        </w:rPr>
      </w:pPr>
    </w:p>
    <w:p>
      <w:pPr>
        <w:widowControl/>
        <w:jc w:val="left"/>
        <w:rPr>
          <w:rFonts w:hint="eastAsia" w:ascii="Times New Roman" w:hAnsi="Times New Roman" w:eastAsia="黑体" w:cs="Times New Roman"/>
          <w:bCs/>
          <w:kern w:val="0"/>
          <w:sz w:val="32"/>
          <w:szCs w:val="32"/>
          <w:lang w:val="en-US" w:eastAsia="zh-CN"/>
        </w:rPr>
      </w:pPr>
    </w:p>
    <w:p>
      <w:pPr>
        <w:widowControl/>
        <w:jc w:val="left"/>
        <w:rPr>
          <w:rFonts w:hint="eastAsia" w:ascii="Times New Roman" w:hAnsi="Times New Roman" w:eastAsia="黑体" w:cs="Times New Roman"/>
          <w:bCs/>
          <w:kern w:val="0"/>
          <w:sz w:val="32"/>
          <w:szCs w:val="32"/>
          <w:lang w:val="en-US" w:eastAsia="zh-CN"/>
        </w:rPr>
      </w:pPr>
    </w:p>
    <w:p>
      <w:pPr>
        <w:widowControl/>
        <w:jc w:val="left"/>
        <w:rPr>
          <w:rFonts w:ascii="Times New Roman" w:hAnsi="Times New Roman" w:eastAsia="黑体" w:cs="Times New Roman"/>
          <w:color w:val="000000"/>
          <w:kern w:val="0"/>
          <w:sz w:val="36"/>
          <w:szCs w:val="36"/>
        </w:rPr>
      </w:pPr>
      <w:r>
        <w:rPr>
          <w:rFonts w:hint="eastAsia" w:ascii="Times New Roman" w:hAnsi="Times New Roman" w:eastAsia="黑体" w:cs="Times New Roman"/>
          <w:bCs/>
          <w:kern w:val="0"/>
          <w:sz w:val="32"/>
          <w:szCs w:val="32"/>
          <w:lang w:val="en-US" w:eastAsia="zh-CN"/>
        </w:rPr>
        <w:t xml:space="preserve">                                  </w:t>
      </w: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42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3"/>
        <w:gridCol w:w="1371"/>
        <w:gridCol w:w="1337"/>
        <w:gridCol w:w="1877"/>
        <w:gridCol w:w="1334"/>
        <w:gridCol w:w="1334"/>
        <w:gridCol w:w="1877"/>
        <w:gridCol w:w="1334"/>
        <w:gridCol w:w="26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242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242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376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669.58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494.55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175.03 </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208</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社会保障和就业支出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56.39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43.97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12.42 </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20805</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行政事业单位养老支出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43.97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43.97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2080505</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机关事业单位基本养老保险缴费支出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43.97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43.97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20808</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抚恤</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12.42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12.42 </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2080801</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死亡抚恤</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12.42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12.42 </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210</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卫生健康支出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23.91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23.91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21011</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行政事业单位医疗</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23.91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23.91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住房保障支出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581.68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426.67 </w:t>
            </w: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保障性安居工程支出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182.08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50.57 </w:t>
            </w: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2210111</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配租型住房保障</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20.41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2210199</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其他保障性安居工程支出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161.67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50.57 </w:t>
            </w: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22103</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城乡社区住宅</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399.60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376.10 </w:t>
            </w: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2210399</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其他城乡社区住宅支出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399.60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r>
              <w:rPr>
                <w:rFonts w:hint="default" w:ascii="宋体" w:hAnsi="宋体" w:eastAsia="宋体"/>
                <w:b w:val="0"/>
                <w:i w:val="0"/>
                <w:color w:val="000000"/>
                <w:sz w:val="24"/>
                <w:u w:val="none"/>
                <w:lang w:eastAsia="zh-CN"/>
              </w:rPr>
              <w:t xml:space="preserve">376.10 </w:t>
            </w: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229</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7.60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7.60</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22904</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其他政府性基金及对应专项债务收入安排的支出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7.60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7.60</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val="en-US" w:eastAsia="zh-CN"/>
              </w:rPr>
            </w:pPr>
            <w:r>
              <w:rPr>
                <w:rFonts w:hint="eastAsia" w:ascii="宋体" w:hAnsi="宋体"/>
                <w:b w:val="0"/>
                <w:i w:val="0"/>
                <w:color w:val="000000"/>
                <w:sz w:val="22"/>
                <w:u w:val="none"/>
                <w:lang w:val="en-US" w:eastAsia="zh-CN"/>
              </w:rPr>
              <w:t>2290403</w:t>
            </w:r>
          </w:p>
        </w:tc>
        <w:tc>
          <w:tcPr>
            <w:tcW w:w="2708" w:type="dxa"/>
            <w:gridSpan w:val="2"/>
            <w:tcBorders>
              <w:top w:val="nil"/>
              <w:left w:val="nil"/>
              <w:bottom w:val="single" w:color="auto" w:sz="4" w:space="0"/>
              <w:right w:val="single" w:color="auto" w:sz="4" w:space="0"/>
            </w:tcBorders>
            <w:shd w:val="clear" w:color="000000" w:fill="FFFFFF"/>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其他政府性基金债务收入安排的支出</w:t>
            </w:r>
          </w:p>
        </w:tc>
        <w:tc>
          <w:tcPr>
            <w:tcW w:w="1877" w:type="dxa"/>
            <w:tcBorders>
              <w:top w:val="nil"/>
              <w:left w:val="nil"/>
              <w:bottom w:val="single" w:color="auto" w:sz="4"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7.60 </w:t>
            </w:r>
          </w:p>
        </w:tc>
        <w:tc>
          <w:tcPr>
            <w:tcW w:w="1334"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autoSpaceDN w:val="0"/>
              <w:jc w:val="righ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7.60</w:t>
            </w:r>
          </w:p>
        </w:tc>
        <w:tc>
          <w:tcPr>
            <w:tcW w:w="187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3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96"/>
        <w:gridCol w:w="468"/>
        <w:gridCol w:w="1488"/>
        <w:gridCol w:w="2580"/>
        <w:gridCol w:w="528"/>
        <w:gridCol w:w="1584"/>
        <w:gridCol w:w="1596"/>
        <w:gridCol w:w="924"/>
        <w:gridCol w:w="11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475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364" w:type="dxa"/>
            <w:gridSpan w:val="6"/>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48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8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15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8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8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5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488"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661.98</w:t>
            </w:r>
            <w:r>
              <w:rPr>
                <w:rFonts w:hint="default" w:ascii="宋体" w:hAnsi="宋体" w:eastAsia="宋体"/>
                <w:b w:val="0"/>
                <w:i w:val="0"/>
                <w:color w:val="000000"/>
                <w:sz w:val="22"/>
                <w:u w:val="none"/>
                <w:lang w:eastAsia="zh-CN"/>
              </w:rPr>
              <w:t xml:space="preserve">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488"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7.6</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 w:val="22"/>
              </w:rPr>
            </w:pPr>
            <w:r>
              <w:rPr>
                <w:rFonts w:hint="default" w:ascii="宋体" w:hAnsi="宋体" w:eastAsia="宋体"/>
                <w:b w:val="0"/>
                <w:i w:val="0"/>
                <w:color w:val="000000"/>
                <w:sz w:val="22"/>
                <w:u w:val="none"/>
                <w:lang w:eastAsia="zh-CN"/>
              </w:rPr>
              <w:t>八、社会保障和就业支出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58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56.39</w:t>
            </w:r>
            <w:r>
              <w:rPr>
                <w:rFonts w:hint="default" w:ascii="宋体" w:hAnsi="宋体" w:eastAsia="宋体"/>
                <w:b w:val="0"/>
                <w:i w:val="0"/>
                <w:color w:val="000000"/>
                <w:sz w:val="22"/>
                <w:u w:val="none"/>
                <w:lang w:eastAsia="zh-CN"/>
              </w:rPr>
              <w:t xml:space="preserve"> </w:t>
            </w:r>
          </w:p>
        </w:tc>
        <w:tc>
          <w:tcPr>
            <w:tcW w:w="159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56.39</w:t>
            </w:r>
            <w:r>
              <w:rPr>
                <w:rFonts w:hint="default" w:ascii="宋体" w:hAnsi="宋体" w:eastAsia="宋体"/>
                <w:b w:val="0"/>
                <w:i w:val="0"/>
                <w:color w:val="000000"/>
                <w:sz w:val="22"/>
                <w:u w:val="none"/>
                <w:lang w:eastAsia="zh-CN"/>
              </w:rPr>
              <w:t xml:space="preserve">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 w:val="22"/>
              </w:rPr>
            </w:pPr>
            <w:r>
              <w:rPr>
                <w:rFonts w:hint="default" w:ascii="宋体" w:hAnsi="宋体" w:eastAsia="宋体"/>
                <w:b w:val="0"/>
                <w:i w:val="0"/>
                <w:color w:val="000000"/>
                <w:sz w:val="22"/>
                <w:u w:val="none"/>
                <w:lang w:eastAsia="zh-CN"/>
              </w:rPr>
              <w:t>九、卫生健康支出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58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23.91</w:t>
            </w:r>
            <w:r>
              <w:rPr>
                <w:rFonts w:hint="default" w:ascii="宋体" w:hAnsi="宋体" w:eastAsia="宋体"/>
                <w:b w:val="0"/>
                <w:i w:val="0"/>
                <w:color w:val="000000"/>
                <w:sz w:val="22"/>
                <w:u w:val="none"/>
                <w:lang w:eastAsia="zh-CN"/>
              </w:rPr>
              <w:t xml:space="preserve"> </w:t>
            </w:r>
          </w:p>
        </w:tc>
        <w:tc>
          <w:tcPr>
            <w:tcW w:w="159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23.91</w:t>
            </w:r>
            <w:r>
              <w:rPr>
                <w:rFonts w:hint="default" w:ascii="宋体" w:hAnsi="宋体" w:eastAsia="宋体"/>
                <w:b w:val="0"/>
                <w:i w:val="0"/>
                <w:color w:val="000000"/>
                <w:sz w:val="22"/>
                <w:u w:val="none"/>
                <w:lang w:eastAsia="zh-CN"/>
              </w:rPr>
              <w:t xml:space="preserve">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 w:val="24"/>
                <w:szCs w:val="24"/>
              </w:rPr>
            </w:pPr>
            <w:r>
              <w:rPr>
                <w:rFonts w:hint="default" w:ascii="宋体" w:hAnsi="宋体" w:eastAsia="宋体"/>
                <w:b w:val="0"/>
                <w:i w:val="0"/>
                <w:color w:val="000000"/>
                <w:sz w:val="22"/>
                <w:u w:val="none"/>
                <w:lang w:eastAsia="zh-CN"/>
              </w:rPr>
              <w:t>十九、住房保障支出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58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lang w:val="en-US"/>
              </w:rPr>
            </w:pPr>
            <w:r>
              <w:rPr>
                <w:rFonts w:hint="eastAsia" w:ascii="宋体" w:hAnsi="宋体"/>
                <w:b w:val="0"/>
                <w:i w:val="0"/>
                <w:color w:val="000000"/>
                <w:sz w:val="22"/>
                <w:u w:val="none"/>
                <w:lang w:val="en-US" w:eastAsia="zh-CN"/>
              </w:rPr>
              <w:t>581.68</w:t>
            </w:r>
          </w:p>
        </w:tc>
        <w:tc>
          <w:tcPr>
            <w:tcW w:w="159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581.68</w:t>
            </w:r>
            <w:r>
              <w:rPr>
                <w:rFonts w:hint="default" w:ascii="宋体" w:hAnsi="宋体" w:eastAsia="宋体"/>
                <w:b w:val="0"/>
                <w:i w:val="0"/>
                <w:color w:val="000000"/>
                <w:sz w:val="22"/>
                <w:u w:val="none"/>
                <w:lang w:eastAsia="zh-CN"/>
              </w:rPr>
              <w:t xml:space="preserve">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48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 w:val="22"/>
              </w:rPr>
            </w:pPr>
            <w:r>
              <w:rPr>
                <w:rFonts w:hint="default" w:ascii="宋体" w:hAnsi="宋体" w:eastAsia="宋体"/>
                <w:b w:val="0"/>
                <w:i w:val="0"/>
                <w:color w:val="000000"/>
                <w:sz w:val="22"/>
                <w:u w:val="none"/>
                <w:lang w:eastAsia="zh-CN"/>
              </w:rPr>
              <w:t>二十三、其他支出</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58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7.6</w:t>
            </w:r>
            <w:r>
              <w:rPr>
                <w:rFonts w:hint="default" w:ascii="宋体" w:hAnsi="宋体" w:eastAsia="宋体"/>
                <w:b w:val="0"/>
                <w:i w:val="0"/>
                <w:color w:val="000000"/>
                <w:sz w:val="22"/>
                <w:u w:val="none"/>
                <w:lang w:eastAsia="zh-CN"/>
              </w:rPr>
              <w:t xml:space="preserve">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kern w:val="0"/>
                <w:sz w:val="22"/>
                <w:lang w:val="en-US"/>
              </w:rPr>
            </w:pPr>
            <w:r>
              <w:rPr>
                <w:rFonts w:hint="eastAsia" w:ascii="宋体" w:hAnsi="宋体"/>
                <w:b w:val="0"/>
                <w:i w:val="0"/>
                <w:color w:val="000000"/>
                <w:sz w:val="22"/>
                <w:u w:val="none"/>
                <w:lang w:val="en-US" w:eastAsia="zh-CN"/>
              </w:rPr>
              <w:t>7.6</w:t>
            </w:r>
          </w:p>
        </w:tc>
        <w:tc>
          <w:tcPr>
            <w:tcW w:w="115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6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488" w:type="dxa"/>
            <w:tcBorders>
              <w:top w:val="nil"/>
              <w:left w:val="nil"/>
              <w:bottom w:val="single" w:color="auto" w:sz="4" w:space="0"/>
              <w:right w:val="single" w:color="auto" w:sz="4" w:space="0"/>
            </w:tcBorders>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58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6"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4"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279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68"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488" w:type="dxa"/>
            <w:tcBorders>
              <w:top w:val="nil"/>
              <w:left w:val="nil"/>
              <w:bottom w:val="single" w:color="auto" w:sz="4" w:space="0"/>
              <w:right w:val="single" w:color="auto" w:sz="4" w:space="0"/>
            </w:tcBorders>
            <w:shd w:val="clear" w:color="auto" w:fill="auto"/>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669.58</w:t>
            </w:r>
            <w:r>
              <w:rPr>
                <w:rFonts w:hint="default" w:ascii="宋体" w:hAnsi="宋体" w:eastAsia="宋体"/>
                <w:b w:val="0"/>
                <w:i w:val="0"/>
                <w:color w:val="000000"/>
                <w:sz w:val="22"/>
                <w:u w:val="none"/>
                <w:lang w:eastAsia="zh-CN"/>
              </w:rPr>
              <w:t xml:space="preserve"> </w:t>
            </w:r>
          </w:p>
        </w:tc>
        <w:tc>
          <w:tcPr>
            <w:tcW w:w="2580"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8"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584" w:type="dxa"/>
            <w:tcBorders>
              <w:top w:val="nil"/>
              <w:left w:val="nil"/>
              <w:bottom w:val="single" w:color="auto" w:sz="4" w:space="0"/>
              <w:right w:val="single" w:color="auto" w:sz="4" w:space="0"/>
            </w:tcBorders>
            <w:shd w:val="clear" w:color="000000" w:fill="FFFFFF"/>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669.58</w:t>
            </w:r>
          </w:p>
        </w:tc>
        <w:tc>
          <w:tcPr>
            <w:tcW w:w="1596" w:type="dxa"/>
            <w:tcBorders>
              <w:top w:val="nil"/>
              <w:left w:val="nil"/>
              <w:bottom w:val="single" w:color="auto" w:sz="4" w:space="0"/>
              <w:right w:val="single" w:color="auto" w:sz="4" w:space="0"/>
            </w:tcBorders>
            <w:shd w:val="clear" w:color="000000" w:fill="FFFFFF"/>
            <w:vAlign w:val="center"/>
          </w:tcPr>
          <w:p>
            <w:pPr>
              <w:autoSpaceDN w:val="0"/>
              <w:jc w:val="right"/>
              <w:textAlignment w:val="center"/>
              <w:rPr>
                <w:rFonts w:ascii="Times New Roman" w:hAnsi="Times New Roman" w:eastAsia="仿宋_GB2312" w:cs="Times New Roman"/>
                <w:kern w:val="0"/>
                <w:sz w:val="22"/>
              </w:rPr>
            </w:pPr>
            <w:r>
              <w:rPr>
                <w:rFonts w:hint="eastAsia" w:ascii="宋体" w:hAnsi="宋体"/>
                <w:b w:val="0"/>
                <w:i w:val="0"/>
                <w:color w:val="000000"/>
                <w:sz w:val="22"/>
                <w:u w:val="none"/>
                <w:lang w:val="en-US" w:eastAsia="zh-CN"/>
              </w:rPr>
              <w:t>661.98</w:t>
            </w:r>
          </w:p>
        </w:tc>
        <w:tc>
          <w:tcPr>
            <w:tcW w:w="924"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b/>
                <w:bCs/>
                <w:kern w:val="0"/>
                <w:sz w:val="22"/>
              </w:rPr>
            </w:pPr>
            <w:r>
              <w:rPr>
                <w:rFonts w:hint="eastAsia" w:ascii="宋体" w:hAnsi="宋体"/>
                <w:b w:val="0"/>
                <w:i w:val="0"/>
                <w:color w:val="000000"/>
                <w:sz w:val="22"/>
                <w:u w:val="none"/>
                <w:lang w:val="en-US" w:eastAsia="zh-CN"/>
              </w:rPr>
              <w:t>7.6</w:t>
            </w:r>
            <w:r>
              <w:rPr>
                <w:rFonts w:hint="default" w:ascii="宋体" w:hAnsi="宋体" w:eastAsia="宋体"/>
                <w:b w:val="0"/>
                <w:i w:val="0"/>
                <w:color w:val="000000"/>
                <w:sz w:val="22"/>
                <w:u w:val="none"/>
                <w:lang w:eastAsia="zh-CN"/>
              </w:rPr>
              <w:t xml:space="preserve"> </w:t>
            </w:r>
          </w:p>
        </w:tc>
        <w:tc>
          <w:tcPr>
            <w:tcW w:w="1152"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pStyle w:val="2"/>
        <w:rPr>
          <w:rFonts w:ascii="Times New Roman" w:hAnsi="Times New Roman" w:eastAsia="黑体" w:cs="Times New Roman"/>
          <w:color w:val="000000"/>
          <w:kern w:val="0"/>
          <w:sz w:val="36"/>
          <w:szCs w:val="36"/>
        </w:rPr>
      </w:pPr>
    </w:p>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0"/>
        <w:gridCol w:w="3527"/>
        <w:gridCol w:w="3000"/>
        <w:gridCol w:w="3492"/>
        <w:gridCol w:w="3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661.98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494.55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167.43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208</w:t>
            </w:r>
          </w:p>
        </w:tc>
        <w:tc>
          <w:tcPr>
            <w:tcW w:w="3527"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社会保障和就业支出</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56.39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43.97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20805</w:t>
            </w:r>
          </w:p>
        </w:tc>
        <w:tc>
          <w:tcPr>
            <w:tcW w:w="3527"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行政事业单位养老支出</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43.97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43.97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2080505</w:t>
            </w:r>
          </w:p>
        </w:tc>
        <w:tc>
          <w:tcPr>
            <w:tcW w:w="3527"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机关事业单位基本养老保险缴费支出</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43.97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43.97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20808</w:t>
            </w:r>
          </w:p>
        </w:tc>
        <w:tc>
          <w:tcPr>
            <w:tcW w:w="3527"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抚恤</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12.42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0.00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2080801</w:t>
            </w:r>
          </w:p>
        </w:tc>
        <w:tc>
          <w:tcPr>
            <w:tcW w:w="3527" w:type="dxa"/>
            <w:tcBorders>
              <w:top w:val="nil"/>
              <w:left w:val="nil"/>
              <w:bottom w:val="single" w:color="auto" w:sz="4"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死亡抚恤</w:t>
            </w:r>
          </w:p>
        </w:tc>
        <w:tc>
          <w:tcPr>
            <w:tcW w:w="3000"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12.42 </w:t>
            </w:r>
          </w:p>
        </w:tc>
        <w:tc>
          <w:tcPr>
            <w:tcW w:w="3492" w:type="dxa"/>
            <w:tcBorders>
              <w:top w:val="nil"/>
              <w:left w:val="nil"/>
              <w:bottom w:val="single" w:color="auto" w:sz="4"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0.00 </w:t>
            </w:r>
          </w:p>
        </w:tc>
        <w:tc>
          <w:tcPr>
            <w:tcW w:w="3000" w:type="dxa"/>
            <w:tcBorders>
              <w:top w:val="nil"/>
              <w:left w:val="nil"/>
              <w:bottom w:val="single" w:color="auto" w:sz="4"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12.42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210</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lang w:eastAsia="zh-CN"/>
              </w:rPr>
              <w:t>卫生健康支出</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23.91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23.91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ascii="Times New Roman" w:hAnsi="Times New Roman" w:eastAsia="仿宋_GB2312" w:cs="Times New Roman"/>
                <w:kern w:val="0"/>
                <w:szCs w:val="21"/>
              </w:rPr>
            </w:pPr>
            <w:r>
              <w:rPr>
                <w:rFonts w:hint="default" w:ascii="宋体" w:hAnsi="宋体" w:eastAsia="宋体"/>
                <w:b w:val="0"/>
                <w:i w:val="0"/>
                <w:color w:val="000000"/>
                <w:sz w:val="24"/>
                <w:u w:val="none"/>
                <w:lang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21011</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行政事业单位医疗</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23.91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23.91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2101102</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事业单位医疗</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23.91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23.91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住房保障支出</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581.68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426.67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155.01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保障性安居工程支出</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182.08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50.57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131.51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2210111</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配租型住房保障</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20.41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0.00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20.41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2210199</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其他保障性安居工程支出</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161.67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50.57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111.10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22103</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城乡社区住宅</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399.60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376.10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2210399</w:t>
            </w:r>
          </w:p>
        </w:tc>
        <w:tc>
          <w:tcPr>
            <w:tcW w:w="3527" w:type="dxa"/>
            <w:tcBorders>
              <w:top w:val="nil"/>
              <w:left w:val="nil"/>
              <w:bottom w:val="single" w:color="auto" w:sz="8" w:space="0"/>
              <w:right w:val="single" w:color="auto" w:sz="4" w:space="0"/>
            </w:tcBorders>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其他城乡社区住宅支出</w:t>
            </w:r>
          </w:p>
        </w:tc>
        <w:tc>
          <w:tcPr>
            <w:tcW w:w="3000"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399.60 </w:t>
            </w:r>
          </w:p>
        </w:tc>
        <w:tc>
          <w:tcPr>
            <w:tcW w:w="3492" w:type="dxa"/>
            <w:tcBorders>
              <w:top w:val="nil"/>
              <w:left w:val="nil"/>
              <w:bottom w:val="single" w:color="auto" w:sz="8" w:space="0"/>
              <w:right w:val="single" w:color="auto" w:sz="4"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376.10 </w:t>
            </w:r>
          </w:p>
        </w:tc>
        <w:tc>
          <w:tcPr>
            <w:tcW w:w="3000" w:type="dxa"/>
            <w:tcBorders>
              <w:top w:val="nil"/>
              <w:left w:val="nil"/>
              <w:bottom w:val="single" w:color="auto" w:sz="8" w:space="0"/>
              <w:right w:val="single" w:color="auto" w:sz="8" w:space="0"/>
            </w:tcBorders>
            <w:vAlign w:val="bottom"/>
          </w:tcPr>
          <w:p>
            <w:pPr>
              <w:autoSpaceDN w:val="0"/>
              <w:jc w:val="center"/>
              <w:textAlignment w:val="bottom"/>
              <w:rPr>
                <w:rFonts w:hint="default" w:ascii="宋体" w:hAnsi="宋体" w:eastAsia="宋体"/>
                <w:b w:val="0"/>
                <w:i w:val="0"/>
                <w:color w:val="000000"/>
                <w:sz w:val="22"/>
                <w:u w:val="none"/>
                <w:lang w:eastAsia="zh-CN"/>
              </w:rPr>
            </w:pPr>
            <w:r>
              <w:rPr>
                <w:rFonts w:hint="default" w:ascii="宋体" w:hAnsi="宋体" w:eastAsia="宋体"/>
                <w:b w:val="0"/>
                <w:i w:val="0"/>
                <w:color w:val="000000"/>
                <w:sz w:val="24"/>
                <w:u w:val="none"/>
                <w:lang w:eastAsia="zh-CN"/>
              </w:rPr>
              <w:t xml:space="preserve">23.50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pStyle w:val="9"/>
        <w:rPr>
          <w:rFonts w:ascii="Times New Roman" w:hAnsi="Times New Roman" w:eastAsia="仿宋_GB2312" w:cs="Times New Roman"/>
          <w:bCs/>
          <w:kern w:val="0"/>
          <w:szCs w:val="21"/>
        </w:rPr>
      </w:pPr>
    </w:p>
    <w:p>
      <w:pPr>
        <w:pStyle w:val="5"/>
        <w:rPr>
          <w:rFonts w:ascii="Times New Roman" w:hAnsi="Times New Roman" w:eastAsia="仿宋_GB2312" w:cs="Times New Roman"/>
          <w:bCs/>
          <w:kern w:val="0"/>
          <w:szCs w:val="21"/>
        </w:rPr>
      </w:pPr>
    </w:p>
    <w:p>
      <w:pPr>
        <w:rPr>
          <w:rFonts w:ascii="Times New Roman" w:hAnsi="Times New Roman" w:eastAsia="仿宋_GB2312" w:cs="Times New Roman"/>
          <w:bCs/>
          <w:kern w:val="0"/>
          <w:szCs w:val="21"/>
        </w:rPr>
      </w:pPr>
    </w:p>
    <w:p>
      <w:pPr>
        <w:pStyle w:val="9"/>
      </w:pP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2208"/>
        <w:gridCol w:w="1621"/>
        <w:gridCol w:w="1116"/>
        <w:gridCol w:w="1655"/>
        <w:gridCol w:w="1536"/>
        <w:gridCol w:w="977"/>
        <w:gridCol w:w="2983"/>
        <w:gridCol w:w="14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6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208"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621"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65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53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7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983"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463"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443.98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50.57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200.40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2.90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98.05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0.30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77.65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1.80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43.97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0.94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r>
              <w:rPr>
                <w:rFonts w:hint="default" w:ascii="宋体" w:hAnsi="宋体" w:eastAsia="宋体"/>
                <w:b w:val="0"/>
                <w:i w:val="0"/>
                <w:color w:val="000000"/>
                <w:sz w:val="24"/>
                <w:u w:val="none"/>
                <w:lang w:eastAsia="zh-CN"/>
              </w:rPr>
              <w:t xml:space="preserve">23.91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621" w:type="dxa"/>
            <w:tcBorders>
              <w:top w:val="nil"/>
              <w:left w:val="nil"/>
              <w:bottom w:val="single" w:color="auto" w:sz="4" w:space="0"/>
              <w:right w:val="single" w:color="auto" w:sz="4" w:space="0"/>
            </w:tcBorders>
            <w:vAlign w:val="bottom"/>
          </w:tcPr>
          <w:p>
            <w:pPr>
              <w:autoSpaceDN w:val="0"/>
              <w:jc w:val="left"/>
              <w:textAlignment w:val="bottom"/>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14.00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12.00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1"/>
              <w:tblW w:w="39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1"/>
              <w:tblW w:w="39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3.23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15.00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1068" w:type="dxa"/>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208"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621"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655"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536"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rPr>
            </w:pPr>
            <w:r>
              <w:rPr>
                <w:rFonts w:hint="default" w:ascii="宋体" w:hAnsi="宋体" w:eastAsia="宋体"/>
                <w:b w:val="0"/>
                <w:i w:val="0"/>
                <w:color w:val="000000"/>
                <w:sz w:val="22"/>
                <w:u w:val="none"/>
                <w:lang w:eastAsia="zh-CN"/>
              </w:rPr>
              <w:t xml:space="preserve">50.57 </w:t>
            </w:r>
          </w:p>
        </w:tc>
        <w:tc>
          <w:tcPr>
            <w:tcW w:w="977"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98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463" w:type="dxa"/>
            <w:tcBorders>
              <w:top w:val="nil"/>
              <w:left w:val="nil"/>
              <w:bottom w:val="single" w:color="auto" w:sz="4" w:space="0"/>
              <w:right w:val="single" w:color="auto" w:sz="4" w:space="0"/>
            </w:tcBorders>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exact"/>
          <w:jc w:val="center"/>
        </w:trPr>
        <w:tc>
          <w:tcPr>
            <w:tcW w:w="32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621"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20"/>
                <w:lang w:val="en-US"/>
              </w:rPr>
            </w:pPr>
            <w:r>
              <w:rPr>
                <w:rFonts w:hint="eastAsia" w:ascii="宋体" w:hAnsi="宋体"/>
                <w:b w:val="0"/>
                <w:i w:val="0"/>
                <w:color w:val="000000"/>
                <w:sz w:val="22"/>
                <w:u w:val="none"/>
                <w:lang w:val="en-US" w:eastAsia="zh-CN"/>
              </w:rPr>
              <w:t>443.98</w:t>
            </w:r>
          </w:p>
        </w:tc>
        <w:tc>
          <w:tcPr>
            <w:tcW w:w="8267" w:type="dxa"/>
            <w:gridSpan w:val="5"/>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463" w:type="dxa"/>
            <w:tcBorders>
              <w:top w:val="nil"/>
              <w:left w:val="nil"/>
              <w:bottom w:val="single" w:color="auto" w:sz="4" w:space="0"/>
              <w:right w:val="single" w:color="auto" w:sz="4" w:space="0"/>
            </w:tcBorders>
            <w:vAlign w:val="center"/>
          </w:tcPr>
          <w:p>
            <w:pPr>
              <w:autoSpaceDN w:val="0"/>
              <w:jc w:val="right"/>
              <w:textAlignment w:val="center"/>
              <w:rPr>
                <w:rFonts w:ascii="Times New Roman" w:hAnsi="Times New Roman" w:eastAsia="仿宋_GB2312" w:cs="Times New Roman"/>
                <w:color w:val="000000"/>
                <w:kern w:val="0"/>
                <w:szCs w:val="18"/>
              </w:rPr>
            </w:pPr>
            <w:r>
              <w:rPr>
                <w:rFonts w:hint="eastAsia" w:ascii="宋体" w:hAnsi="宋体"/>
                <w:b w:val="0"/>
                <w:i w:val="0"/>
                <w:color w:val="000000"/>
                <w:sz w:val="22"/>
                <w:u w:val="none"/>
                <w:lang w:val="en-US" w:eastAsia="zh-CN"/>
              </w:rPr>
              <w:t>50.57</w:t>
            </w:r>
            <w:r>
              <w:rPr>
                <w:rFonts w:hint="default" w:ascii="宋体" w:hAnsi="宋体" w:eastAsia="宋体"/>
                <w:b w:val="0"/>
                <w:i w:val="0"/>
                <w:color w:val="000000"/>
                <w:sz w:val="22"/>
                <w:u w:val="none"/>
                <w:lang w:eastAsia="zh-CN"/>
              </w:rPr>
              <w:t xml:space="preserve">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7"/>
        <w:gridCol w:w="1988"/>
        <w:gridCol w:w="984"/>
        <w:gridCol w:w="2166"/>
        <w:gridCol w:w="1919"/>
        <w:gridCol w:w="1935"/>
        <w:gridCol w:w="1918"/>
        <w:gridCol w:w="19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jc w:val="center"/>
        </w:trPr>
        <w:tc>
          <w:tcPr>
            <w:tcW w:w="348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 xml:space="preserve">   </w:t>
            </w:r>
            <w:r>
              <w:rPr>
                <w:rStyle w:val="19"/>
                <w:rFonts w:hint="default" w:ascii="Times New Roman" w:hAnsi="Times New Roman" w:eastAsia="仿宋_GB2312" w:cs="Times New Roman"/>
                <w:b/>
                <w:bCs/>
              </w:rPr>
              <w:t>目</w:t>
            </w:r>
          </w:p>
        </w:tc>
        <w:tc>
          <w:tcPr>
            <w:tcW w:w="98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216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98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9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仿宋_GB2312" w:cs="Times New Roman"/>
                <w:b/>
                <w:bCs/>
                <w:color w:val="000000"/>
                <w:sz w:val="24"/>
                <w:szCs w:val="24"/>
              </w:rPr>
            </w:pPr>
          </w:p>
        </w:tc>
        <w:tc>
          <w:tcPr>
            <w:tcW w:w="216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8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216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8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216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348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9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2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3485"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98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4"/>
                <w:szCs w:val="24"/>
              </w:rPr>
            </w:pPr>
            <w:r>
              <w:rPr>
                <w:rFonts w:hint="default" w:ascii="宋体" w:hAnsi="宋体" w:eastAsia="宋体"/>
                <w:b w:val="0"/>
                <w:i w:val="0"/>
                <w:color w:val="000000"/>
                <w:sz w:val="22"/>
                <w:u w:val="none"/>
                <w:lang w:eastAsia="zh-CN"/>
              </w:rPr>
              <w:t>229</w:t>
            </w:r>
          </w:p>
        </w:tc>
        <w:tc>
          <w:tcPr>
            <w:tcW w:w="1988"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0"/>
                <w:szCs w:val="20"/>
              </w:rPr>
            </w:pPr>
            <w:r>
              <w:rPr>
                <w:rFonts w:hint="default" w:ascii="宋体" w:hAnsi="宋体" w:eastAsia="宋体"/>
                <w:b w:val="0"/>
                <w:i w:val="0"/>
                <w:color w:val="000000"/>
                <w:sz w:val="22"/>
                <w:u w:val="none"/>
                <w:lang w:eastAsia="zh-CN"/>
              </w:rPr>
              <w:t>其他支出</w:t>
            </w: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r>
              <w:rPr>
                <w:rFonts w:hint="default" w:ascii="宋体" w:hAnsi="宋体" w:eastAsia="宋体"/>
                <w:b/>
                <w:i w:val="0"/>
                <w:color w:val="000000"/>
                <w:sz w:val="22"/>
                <w:u w:val="none"/>
                <w:lang w:eastAsia="zh-CN"/>
              </w:rPr>
              <w:t xml:space="preserve"> </w:t>
            </w:r>
          </w:p>
        </w:tc>
        <w:tc>
          <w:tcPr>
            <w:tcW w:w="19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4"/>
                <w:szCs w:val="24"/>
              </w:rPr>
            </w:pPr>
            <w:r>
              <w:rPr>
                <w:rFonts w:hint="default" w:ascii="宋体" w:hAnsi="宋体" w:eastAsia="宋体"/>
                <w:b w:val="0"/>
                <w:i w:val="0"/>
                <w:color w:val="000000"/>
                <w:sz w:val="22"/>
                <w:u w:val="none"/>
                <w:lang w:eastAsia="zh-CN"/>
              </w:rPr>
              <w:t>22904</w:t>
            </w:r>
          </w:p>
        </w:tc>
        <w:tc>
          <w:tcPr>
            <w:tcW w:w="1988"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4"/>
                <w:szCs w:val="24"/>
              </w:rPr>
            </w:pPr>
            <w:r>
              <w:rPr>
                <w:rFonts w:hint="default" w:ascii="宋体" w:hAnsi="宋体" w:eastAsia="宋体"/>
                <w:b w:val="0"/>
                <w:i w:val="0"/>
                <w:color w:val="000000"/>
                <w:sz w:val="22"/>
                <w:u w:val="none"/>
                <w:lang w:eastAsia="zh-CN"/>
              </w:rPr>
              <w:t>其他政府性基金及对应专项债务收入安排的支出</w:t>
            </w: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4"/>
                <w:szCs w:val="24"/>
              </w:rPr>
            </w:pPr>
            <w:r>
              <w:rPr>
                <w:rFonts w:hint="default" w:ascii="宋体" w:hAnsi="宋体" w:eastAsia="宋体"/>
                <w:b w:val="0"/>
                <w:i w:val="0"/>
                <w:color w:val="000000"/>
                <w:sz w:val="22"/>
                <w:u w:val="none"/>
                <w:lang w:eastAsia="zh-CN"/>
              </w:rPr>
              <w:t>2290403</w:t>
            </w:r>
          </w:p>
        </w:tc>
        <w:tc>
          <w:tcPr>
            <w:tcW w:w="1988" w:type="dxa"/>
            <w:tcBorders>
              <w:top w:val="single" w:color="000000" w:sz="4" w:space="0"/>
              <w:left w:val="single" w:color="000000" w:sz="4" w:space="0"/>
              <w:bottom w:val="single" w:color="000000" w:sz="4" w:space="0"/>
              <w:right w:val="single" w:color="000000" w:sz="4" w:space="0"/>
            </w:tcBorders>
            <w:vAlign w:val="center"/>
          </w:tcPr>
          <w:p>
            <w:pPr>
              <w:autoSpaceDN w:val="0"/>
              <w:jc w:val="left"/>
              <w:textAlignment w:val="center"/>
              <w:rPr>
                <w:rFonts w:ascii="Times New Roman" w:hAnsi="Times New Roman" w:eastAsia="仿宋_GB2312" w:cs="Times New Roman"/>
                <w:color w:val="000000"/>
                <w:sz w:val="20"/>
                <w:szCs w:val="20"/>
              </w:rPr>
            </w:pPr>
            <w:r>
              <w:rPr>
                <w:rFonts w:hint="default" w:ascii="宋体" w:hAnsi="宋体" w:eastAsia="宋体"/>
                <w:b w:val="0"/>
                <w:i w:val="0"/>
                <w:color w:val="000000"/>
                <w:sz w:val="22"/>
                <w:u w:val="none"/>
                <w:lang w:eastAsia="zh-CN"/>
              </w:rPr>
              <w:t>其他政府性基金债务收入安排的支出</w:t>
            </w: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8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35"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autoSpaceDN w:val="0"/>
              <w:jc w:val="center"/>
              <w:textAlignment w:val="center"/>
              <w:rPr>
                <w:rFonts w:ascii="Times New Roman" w:hAnsi="Times New Roman" w:eastAsia="仿宋_GB2312" w:cs="Times New Roman"/>
                <w:color w:val="000000"/>
                <w:sz w:val="24"/>
                <w:szCs w:val="24"/>
              </w:rPr>
            </w:pPr>
            <w:r>
              <w:rPr>
                <w:rFonts w:hint="eastAsia" w:ascii="宋体" w:hAnsi="宋体"/>
                <w:b/>
                <w:i w:val="0"/>
                <w:color w:val="000000"/>
                <w:sz w:val="22"/>
                <w:u w:val="none"/>
                <w:lang w:val="en-US" w:eastAsia="zh-CN"/>
              </w:rPr>
              <w:t>7.6</w:t>
            </w: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8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98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984"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2166"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94"/>
        <w:gridCol w:w="3097"/>
        <w:gridCol w:w="1832"/>
        <w:gridCol w:w="3097"/>
        <w:gridCol w:w="30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802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道县住房保障服务中心</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1"/>
        <w:tblW w:w="145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仿宋_GB2312" w:cs="Times New Roman"/>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228" w:type="dxa"/>
            <w:tcBorders>
              <w:top w:val="single" w:color="000000" w:sz="4" w:space="0"/>
              <w:left w:val="single" w:color="000000" w:sz="4" w:space="0"/>
              <w:bottom w:val="single" w:color="000000" w:sz="4" w:space="0"/>
              <w:right w:val="single" w:color="000000" w:sz="4" w:space="0"/>
            </w:tcBorders>
            <w:vAlign w:val="center"/>
          </w:tcPr>
          <w:p>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87"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79"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50"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00" w:type="dxa"/>
            <w:tcBorders>
              <w:top w:val="single" w:color="000000" w:sz="4" w:space="0"/>
              <w:left w:val="single" w:color="000000" w:sz="4" w:space="0"/>
              <w:bottom w:val="single" w:color="000000" w:sz="4" w:space="0"/>
              <w:right w:val="single" w:color="000000" w:sz="4" w:space="0"/>
            </w:tcBorders>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720" w:num="1"/>
          <w:docGrid w:type="lines" w:linePitch="312" w:charSpace="0"/>
        </w:sect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p>
    <w:p>
      <w:pPr>
        <w:pStyle w:val="2"/>
        <w:rPr>
          <w:rFonts w:ascii="Times New Roman" w:hAnsi="Times New Roman" w:cs="Times New Roman"/>
          <w:sz w:val="32"/>
          <w:szCs w:val="32"/>
        </w:rPr>
      </w:pPr>
    </w:p>
    <w:p>
      <w:pPr>
        <w:rPr>
          <w:rFonts w:ascii="Times New Roman" w:hAnsi="Times New Roman" w:cs="Times New Roman"/>
          <w:sz w:val="32"/>
          <w:szCs w:val="32"/>
        </w:rPr>
      </w:pPr>
    </w:p>
    <w:p>
      <w:pPr>
        <w:pStyle w:val="2"/>
        <w:rPr>
          <w:rFonts w:ascii="Times New Roman" w:hAnsi="Times New Roman" w:cs="Times New Roman"/>
          <w:sz w:val="32"/>
          <w:szCs w:val="32"/>
        </w:rPr>
      </w:pPr>
    </w:p>
    <w:p>
      <w:pPr>
        <w:rPr>
          <w:rFonts w:ascii="Times New Roman" w:hAnsi="Times New Roman" w:cs="Times New Roman"/>
          <w:sz w:val="32"/>
          <w:szCs w:val="32"/>
        </w:rPr>
      </w:pPr>
    </w:p>
    <w:p>
      <w:pPr>
        <w:pStyle w:val="2"/>
        <w:rPr>
          <w:rFonts w:ascii="Times New Roman" w:hAnsi="Times New Roman" w:cs="Times New Roman"/>
          <w:sz w:val="32"/>
          <w:szCs w:val="32"/>
        </w:rPr>
      </w:pPr>
    </w:p>
    <w:p>
      <w:pPr>
        <w:rPr>
          <w:rFonts w:ascii="Times New Roman" w:hAnsi="Times New Roman" w:cs="Times New Roman"/>
          <w:sz w:val="32"/>
          <w:szCs w:val="32"/>
        </w:rPr>
      </w:pPr>
    </w:p>
    <w:p>
      <w:pPr>
        <w:pStyle w:val="2"/>
        <w:rPr>
          <w:rFonts w:ascii="Times New Roman" w:hAnsi="Times New Roman" w:cs="Times New Roman"/>
          <w:sz w:val="32"/>
          <w:szCs w:val="32"/>
        </w:rPr>
      </w:pPr>
    </w:p>
    <w:p>
      <w:pPr>
        <w:rPr>
          <w:rFonts w:ascii="Times New Roman" w:hAnsi="Times New Roman" w:cs="Times New Roman"/>
          <w:sz w:val="32"/>
          <w:szCs w:val="32"/>
        </w:rPr>
      </w:pPr>
    </w:p>
    <w:p>
      <w:pPr>
        <w:pStyle w:val="2"/>
        <w:rPr>
          <w:rFonts w:ascii="Times New Roman" w:hAnsi="Times New Roman" w:cs="Times New Roman"/>
          <w:sz w:val="32"/>
          <w:szCs w:val="32"/>
        </w:rPr>
      </w:pPr>
    </w:p>
    <w:p>
      <w:pPr>
        <w:rPr>
          <w:rFonts w:ascii="Times New Roman" w:hAnsi="Times New Roman" w:cs="Times New Roman"/>
          <w:sz w:val="32"/>
          <w:szCs w:val="32"/>
        </w:rPr>
      </w:pPr>
    </w:p>
    <w:p>
      <w:pPr>
        <w:pStyle w:val="2"/>
      </w:pP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26.46</w:t>
      </w:r>
      <w:r>
        <w:rPr>
          <w:rFonts w:ascii="Times New Roman" w:hAnsi="Times New Roman" w:eastAsia="仿宋_GB2312" w:cs="Times New Roman"/>
          <w:sz w:val="32"/>
          <w:szCs w:val="32"/>
        </w:rPr>
        <w:t>%，主要是因为</w:t>
      </w:r>
      <w:r>
        <w:rPr>
          <w:rFonts w:hint="eastAsia" w:ascii="仿宋_GB2312" w:hAnsi="仿宋" w:eastAsia="仿宋_GB2312"/>
          <w:sz w:val="32"/>
          <w:szCs w:val="32"/>
          <w:lang w:val="en-US" w:eastAsia="zh-CN"/>
        </w:rPr>
        <w:t>经费压减，人员减少</w:t>
      </w:r>
      <w:r>
        <w:rPr>
          <w:rFonts w:hint="eastAsia" w:ascii="Times New Roman" w:hAnsi="Times New Roman" w:eastAsia="仿宋_GB2312" w:cs="Times New Roman"/>
          <w:sz w:val="32"/>
          <w:szCs w:val="32"/>
          <w:lang w:eastAsia="zh-CN"/>
        </w:rPr>
        <w:t>。</w:t>
      </w:r>
    </w:p>
    <w:p>
      <w:pPr>
        <w:pStyle w:val="13"/>
        <w:overflowPunct w:val="0"/>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工资、职工社会保障，运转经费、保障性住房</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白蚁防治</w:t>
      </w:r>
      <w:r>
        <w:rPr>
          <w:rFonts w:hint="eastAsia" w:ascii="Times New Roman" w:hAnsi="Times New Roman" w:eastAsia="仿宋_GB2312" w:cs="Times New Roman"/>
          <w:sz w:val="32"/>
          <w:szCs w:val="32"/>
          <w:lang w:eastAsia="zh-CN"/>
        </w:rPr>
        <w:t>等重点支出，体现在有关支出科目中。</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494.55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73.86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175.03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26.14</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spacing w:line="600" w:lineRule="exact"/>
        <w:ind w:firstLine="640" w:firstLineChars="200"/>
        <w:jc w:val="both"/>
        <w:rPr>
          <w:rFonts w:hint="eastAsia" w:ascii="仿宋_GB2312" w:hAnsi="仿宋"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240.96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26.46</w:t>
      </w:r>
      <w:r>
        <w:rPr>
          <w:rFonts w:ascii="Times New Roman" w:hAnsi="Times New Roman" w:eastAsia="仿宋_GB2312" w:cs="Times New Roman"/>
          <w:sz w:val="32"/>
          <w:szCs w:val="32"/>
        </w:rPr>
        <w:t>%，主要是因为</w:t>
      </w:r>
      <w:r>
        <w:rPr>
          <w:rFonts w:hint="eastAsia" w:ascii="仿宋_GB2312" w:hAnsi="仿宋" w:eastAsia="仿宋_GB2312"/>
          <w:sz w:val="32"/>
          <w:szCs w:val="32"/>
          <w:lang w:val="en-US" w:eastAsia="zh-CN"/>
        </w:rPr>
        <w:t>经费压减，人员减少。</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spacing w:line="600" w:lineRule="exact"/>
        <w:ind w:firstLine="640" w:firstLineChars="200"/>
        <w:jc w:val="both"/>
        <w:rPr>
          <w:rFonts w:hint="eastAsia" w:ascii="仿宋_GB2312" w:hAnsi="仿宋"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661.98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98.86</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248.56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%，主要是因为</w:t>
      </w:r>
      <w:r>
        <w:rPr>
          <w:rFonts w:hint="eastAsia" w:ascii="仿宋_GB2312" w:hAnsi="仿宋" w:eastAsia="仿宋_GB2312"/>
          <w:sz w:val="32"/>
          <w:szCs w:val="32"/>
          <w:lang w:val="en-US" w:eastAsia="zh-CN"/>
        </w:rPr>
        <w:t>经费压减，人员减少。</w:t>
      </w:r>
    </w:p>
    <w:p>
      <w:pPr>
        <w:pStyle w:val="13"/>
        <w:overflowPunct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661.98</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56.39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23.91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581.68万元，占87.87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733.49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661.98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90.25</w:t>
      </w:r>
      <w:r>
        <w:rPr>
          <w:rFonts w:ascii="Times New Roman" w:hAnsi="Times New Roman" w:eastAsia="仿宋_GB2312" w:cs="Times New Roman"/>
          <w:sz w:val="32"/>
          <w:szCs w:val="32"/>
        </w:rPr>
        <w:t>%，其中：</w:t>
      </w:r>
    </w:p>
    <w:p>
      <w:pPr>
        <w:pStyle w:val="13"/>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1、社会保障和就业支出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类）行政事业单位养老支出（款）机关事业单位基本养老保险缴费支出（项）</w:t>
      </w:r>
      <w:r>
        <w:rPr>
          <w:rFonts w:hint="eastAsia" w:ascii="Times New Roman" w:hAnsi="Times New Roman" w:eastAsia="仿宋_GB2312"/>
          <w:sz w:val="32"/>
          <w:szCs w:val="32"/>
        </w:rPr>
        <w:t>。</w:t>
      </w:r>
    </w:p>
    <w:p>
      <w:pPr>
        <w:pStyle w:val="13"/>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43.97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43.97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年初预算数。</w:t>
      </w:r>
    </w:p>
    <w:p>
      <w:pPr>
        <w:pStyle w:val="13"/>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2、社会保障和就业支出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类）抚恤（款）死亡抚恤（项）</w:t>
      </w:r>
      <w:r>
        <w:rPr>
          <w:rFonts w:hint="eastAsia" w:ascii="Times New Roman" w:hAnsi="Times New Roman" w:eastAsia="仿宋_GB2312"/>
          <w:sz w:val="32"/>
          <w:szCs w:val="32"/>
        </w:rPr>
        <w:t>。</w:t>
      </w:r>
    </w:p>
    <w:p>
      <w:pPr>
        <w:pStyle w:val="13"/>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年初预算数。</w:t>
      </w:r>
    </w:p>
    <w:p>
      <w:pPr>
        <w:pStyle w:val="13"/>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类）行政事业单位医疗（款）事业单位医疗（项）</w:t>
      </w:r>
      <w:r>
        <w:rPr>
          <w:rFonts w:hint="eastAsia" w:ascii="Times New Roman" w:hAnsi="Times New Roman" w:eastAsia="仿宋_GB2312"/>
          <w:sz w:val="32"/>
          <w:szCs w:val="32"/>
        </w:rPr>
        <w:t>。</w:t>
      </w:r>
    </w:p>
    <w:p>
      <w:pPr>
        <w:pStyle w:val="13"/>
        <w:widowControl w:val="0"/>
        <w:wordWrap/>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23.91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23.91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年初预算数。</w:t>
      </w:r>
    </w:p>
    <w:p>
      <w:pPr>
        <w:pStyle w:val="13"/>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类）保障性安居工程支出（款）配租型住房保障（项）</w:t>
      </w:r>
    </w:p>
    <w:p>
      <w:pPr>
        <w:pStyle w:val="13"/>
        <w:widowControl w:val="0"/>
        <w:numPr>
          <w:ilvl w:val="0"/>
          <w:numId w:val="0"/>
        </w:numPr>
        <w:wordWrap/>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92.72</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的主要原因是货币性租赁保障发放小额下降</w:t>
      </w:r>
      <w:r>
        <w:rPr>
          <w:rFonts w:hint="eastAsia" w:ascii="Times New Roman" w:hAnsi="Times New Roman" w:eastAsia="仿宋_GB2312"/>
          <w:sz w:val="32"/>
          <w:szCs w:val="32"/>
        </w:rPr>
        <w:t>。</w:t>
      </w:r>
    </w:p>
    <w:p>
      <w:pPr>
        <w:pStyle w:val="13"/>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类）保障性安居工程支出（款）其他保障性安居工程支出（项）</w:t>
      </w:r>
    </w:p>
    <w:p>
      <w:pPr>
        <w:pStyle w:val="13"/>
        <w:widowControl w:val="0"/>
        <w:numPr>
          <w:ilvl w:val="0"/>
          <w:numId w:val="0"/>
        </w:numPr>
        <w:wordWrap/>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161.67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73.48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的主要原因是保障性住房维修费用及退产权共有费用下降</w:t>
      </w:r>
      <w:r>
        <w:rPr>
          <w:rFonts w:hint="eastAsia" w:ascii="Times New Roman" w:hAnsi="Times New Roman" w:eastAsia="仿宋_GB2312"/>
          <w:sz w:val="32"/>
          <w:szCs w:val="32"/>
        </w:rPr>
        <w:t>。</w:t>
      </w:r>
    </w:p>
    <w:p>
      <w:pPr>
        <w:pStyle w:val="13"/>
        <w:widowControl w:val="0"/>
        <w:numPr>
          <w:ilvl w:val="0"/>
          <w:numId w:val="2"/>
        </w:numPr>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类）城乡社区住宅（款）其他城乡社区住宅支出（项）</w:t>
      </w:r>
    </w:p>
    <w:p>
      <w:pPr>
        <w:pStyle w:val="13"/>
        <w:widowControl w:val="0"/>
        <w:numPr>
          <w:ilvl w:val="0"/>
          <w:numId w:val="0"/>
        </w:numPr>
        <w:wordWrap/>
        <w:snapToGrid/>
        <w:spacing w:line="600" w:lineRule="exact"/>
        <w:textAlignment w:val="auto"/>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429.61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399.6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93</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的主要原因是精简费用开支</w:t>
      </w:r>
      <w:r>
        <w:rPr>
          <w:rFonts w:hint="eastAsia" w:ascii="Times New Roman" w:hAnsi="Times New Roman" w:eastAsia="仿宋_GB2312"/>
          <w:sz w:val="32"/>
          <w:szCs w:val="32"/>
        </w:rPr>
        <w:t>。</w:t>
      </w:r>
      <w:r>
        <w:rPr>
          <w:rFonts w:ascii="Times New Roman" w:hAnsi="Times New Roman" w:eastAsia="楷体_GB2312" w:cs="Times New Roman"/>
          <w:b/>
          <w:bCs/>
          <w:i/>
          <w:color w:val="auto"/>
          <w:sz w:val="32"/>
          <w:szCs w:val="32"/>
        </w:rPr>
        <w:t>（要求到项级科目</w:t>
      </w:r>
      <w:r>
        <w:rPr>
          <w:rFonts w:hint="eastAsia" w:ascii="Times New Roman" w:hAnsi="Times New Roman" w:eastAsia="楷体_GB2312" w:cs="Times New Roman"/>
          <w:b/>
          <w:bCs/>
          <w:i/>
          <w:color w:val="auto"/>
          <w:sz w:val="32"/>
          <w:szCs w:val="32"/>
          <w:lang w:eastAsia="zh-CN"/>
        </w:rPr>
        <w:t>）。</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类）城乡社区住宅（款）其他城乡社区住宅支出（项）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工资福利支出</w:t>
      </w:r>
      <w:r>
        <w:rPr>
          <w:rFonts w:hint="eastAsia" w:ascii="Times New Roman" w:hAnsi="Times New Roman" w:eastAsia="仿宋_GB2312" w:cs="Times New Roman"/>
          <w:sz w:val="32"/>
          <w:szCs w:val="32"/>
        </w:rPr>
        <w:t>（科目名称），2025年度决算数为</w:t>
      </w:r>
      <w:r>
        <w:rPr>
          <w:rFonts w:hint="eastAsia" w:ascii="Times New Roman" w:hAnsi="Times New Roman" w:eastAsia="仿宋_GB2312" w:cs="Times New Roman"/>
          <w:sz w:val="32"/>
          <w:szCs w:val="32"/>
          <w:lang w:val="en-US" w:eastAsia="zh-CN"/>
        </w:rPr>
        <w:t>399.6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60.36</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部门职工工资及相关保障</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（具体内容由部门根据实际情况进行说明）。</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494.55</w:t>
      </w:r>
      <w:r>
        <w:rPr>
          <w:rFonts w:ascii="Times New Roman" w:hAnsi="Times New Roman" w:eastAsia="仿宋_GB2312" w:cs="Times New Roman"/>
          <w:sz w:val="32"/>
          <w:szCs w:val="32"/>
        </w:rPr>
        <w:t>万元，其中：</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443.98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89.77</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养老保险、医疗保险等</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50.57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10.23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水电费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福利费、其他交通费、其他商品服务支出</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spacing w:line="600" w:lineRule="exact"/>
        <w:ind w:firstLine="640" w:firstLineChars="200"/>
        <w:jc w:val="both"/>
        <w:rPr>
          <w:rFonts w:ascii="Times New Roman" w:hAnsi="Times New Roman" w:eastAsia="楷体" w:cs="Times New Roman"/>
          <w:b/>
          <w:bCs/>
          <w:i/>
          <w:color w:val="auto"/>
          <w:sz w:val="32"/>
          <w:szCs w:val="32"/>
          <w:lang w:val="en-US"/>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numPr>
          <w:ilvl w:val="0"/>
          <w:numId w:val="3"/>
        </w:numPr>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numPr>
          <w:ilvl w:val="0"/>
          <w:numId w:val="0"/>
        </w:numPr>
        <w:overflowPunct w:val="0"/>
        <w:spacing w:line="600" w:lineRule="exact"/>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八、</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政府性基金预算收入支出决算情况</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万元，完成年初预算的，决算数大于（年初预算数的主要原因是：</w:t>
      </w:r>
      <w:r>
        <w:rPr>
          <w:rFonts w:hint="eastAsia" w:ascii="Times New Roman" w:hAnsi="Times New Roman" w:eastAsia="仿宋_GB2312" w:cs="Times New Roman"/>
          <w:sz w:val="32"/>
          <w:szCs w:val="32"/>
          <w:lang w:val="en-US" w:eastAsia="zh-CN"/>
        </w:rPr>
        <w:t>政府当年发生项目</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50.57</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3.43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6.35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压减</w:t>
      </w:r>
      <w:r>
        <w:rPr>
          <w:rFonts w:hint="eastAsia" w:ascii="Times New Roman" w:hAnsi="Times New Roman" w:eastAsia="仿宋_GB2312" w:cs="Times New Roman"/>
          <w:sz w:val="32"/>
          <w:szCs w:val="32"/>
          <w:lang w:val="en-US" w:eastAsia="zh-CN"/>
        </w:rPr>
        <w:t>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pPr>
        <w:pStyle w:val="13"/>
        <w:overflowPunct w:val="0"/>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用于白蚁防治专项工作</w:t>
      </w:r>
      <w:r>
        <w:rPr>
          <w:rFonts w:ascii="Times New Roman" w:hAnsi="Times New Roman" w:eastAsia="仿宋_GB2312" w:cs="Times New Roman"/>
          <w:color w:val="auto"/>
          <w:sz w:val="32"/>
          <w:szCs w:val="32"/>
        </w:rPr>
        <w:t>。</w:t>
      </w:r>
    </w:p>
    <w:p>
      <w:pPr>
        <w:pStyle w:val="13"/>
        <w:overflowPunct w:val="0"/>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175.03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167.43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25.29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pPr>
        <w:pStyle w:val="10"/>
        <w:widowControl/>
        <w:wordWrap/>
        <w:adjustRightInd/>
        <w:snapToGrid/>
        <w:spacing w:before="0" w:beforeAutospacing="0" w:after="0" w:afterAutospacing="0" w:line="240" w:lineRule="auto"/>
        <w:ind w:left="0" w:leftChars="0" w:right="0" w:firstLine="640" w:firstLineChars="200"/>
        <w:jc w:val="both"/>
        <w:textAlignment w:val="auto"/>
        <w:outlineLvl w:val="9"/>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733.49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669.58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91.29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kern w:val="0"/>
          <w:sz w:val="32"/>
          <w:szCs w:val="32"/>
          <w:lang w:val="en-US" w:eastAsia="zh-CN"/>
        </w:rPr>
        <w:t>1.按时发放住房租赁补贴。2.规范公租房运营管理，确保阳光分配。3、采取多种方式方法，加强服务监督。4、</w:t>
      </w:r>
      <w:r>
        <w:rPr>
          <w:rFonts w:hint="eastAsia" w:ascii="Times New Roman" w:hAnsi="Times New Roman" w:eastAsia="仿宋_GB2312" w:cs="Times New Roman"/>
          <w:kern w:val="0"/>
          <w:sz w:val="32"/>
          <w:szCs w:val="32"/>
          <w:lang w:eastAsia="zh-CN"/>
        </w:rPr>
        <w:t>规范</w:t>
      </w:r>
      <w:r>
        <w:rPr>
          <w:rFonts w:hint="eastAsia" w:ascii="Times New Roman" w:hAnsi="Times New Roman" w:eastAsia="仿宋_GB2312" w:cs="Times New Roman"/>
          <w:kern w:val="0"/>
          <w:sz w:val="32"/>
          <w:szCs w:val="32"/>
          <w:lang w:val="en-US" w:eastAsia="zh-CN"/>
        </w:rPr>
        <w:t>房屋维修</w:t>
      </w:r>
      <w:r>
        <w:rPr>
          <w:rFonts w:hint="eastAsia" w:ascii="Times New Roman" w:hAnsi="Times New Roman" w:eastAsia="仿宋_GB2312" w:cs="Times New Roman"/>
          <w:kern w:val="0"/>
          <w:sz w:val="32"/>
          <w:szCs w:val="32"/>
          <w:lang w:eastAsia="zh-CN"/>
        </w:rPr>
        <w:t>资金归集使用，解决居民所需。</w:t>
      </w:r>
      <w:r>
        <w:rPr>
          <w:rFonts w:hint="eastAsia" w:ascii="Times New Roman" w:hAnsi="Times New Roman" w:eastAsia="仿宋_GB2312" w:cs="Times New Roman"/>
          <w:kern w:val="0"/>
          <w:sz w:val="32"/>
          <w:szCs w:val="32"/>
          <w:lang w:val="en-US" w:eastAsia="zh-CN"/>
        </w:rPr>
        <w:t>5、开展</w:t>
      </w:r>
      <w:r>
        <w:rPr>
          <w:rFonts w:hint="default" w:ascii="Times New Roman" w:hAnsi="Times New Roman" w:eastAsia="仿宋_GB2312" w:cs="Times New Roman"/>
          <w:kern w:val="0"/>
          <w:sz w:val="32"/>
          <w:szCs w:val="32"/>
          <w:lang w:eastAsia="zh-CN"/>
        </w:rPr>
        <w:t>白蚁防治</w:t>
      </w:r>
      <w:r>
        <w:rPr>
          <w:rFonts w:hint="eastAsia" w:ascii="Times New Roman" w:hAnsi="Times New Roman" w:eastAsia="仿宋_GB2312" w:cs="Times New Roman"/>
          <w:kern w:val="0"/>
          <w:sz w:val="32"/>
          <w:szCs w:val="32"/>
          <w:lang w:eastAsia="zh-CN"/>
        </w:rPr>
        <w:t>灭治，服务市民大众。</w:t>
      </w:r>
      <w:r>
        <w:rPr>
          <w:rFonts w:hint="eastAsia" w:ascii="Times New Roman" w:hAnsi="Times New Roman" w:eastAsia="仿宋_GB2312" w:cs="Times New Roman"/>
          <w:kern w:val="0"/>
          <w:sz w:val="32"/>
          <w:szCs w:val="32"/>
          <w:lang w:val="en-US" w:eastAsia="zh-CN"/>
        </w:rPr>
        <w:t>6、加强党风廉政建设，完成各项中心工作。</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kern w:val="0"/>
          <w:sz w:val="32"/>
          <w:szCs w:val="32"/>
          <w:lang w:val="en-US" w:eastAsia="zh-CN"/>
        </w:rPr>
        <w:t>1相关管理制度不够健全，还有待进一步完善。2、对公租房转租、转借、占用现象整治机制不完善，清退难度大；3、公租房租金收缴难。重点是企业经营不善；学校、医院、乡镇交租意识不强；退伍残疾困难等特殊群体拒缴，目前没有明确的减免政策，如操作不好，信访隐患风险较大。4、物业服务管理以业务指导监督为主，大部分业主投诉事项都涉及到多个其他职能部门依法处理的问题，因部门联动力度不够，导致业主投诉得不到及时有效的解决。</w:t>
      </w:r>
    </w:p>
    <w:p>
      <w:pPr>
        <w:pStyle w:val="13"/>
        <w:numPr>
          <w:ilvl w:val="0"/>
          <w:numId w:val="4"/>
        </w:numPr>
        <w:overflowPunct w:val="0"/>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pPr>
        <w:pStyle w:val="13"/>
        <w:numPr>
          <w:ilvl w:val="0"/>
          <w:numId w:val="0"/>
        </w:numPr>
        <w:overflowPunct w:val="0"/>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val="en-US" w:eastAsia="zh-CN"/>
        </w:rPr>
        <w:t>结合</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年度绩效自评、部门评价</w:t>
      </w:r>
      <w:r>
        <w:rPr>
          <w:rFonts w:hint="eastAsia" w:ascii="Times New Roman" w:hAnsi="Times New Roman" w:eastAsia="仿宋_GB2312" w:cs="Times New Roman"/>
          <w:color w:val="auto"/>
          <w:sz w:val="32"/>
          <w:szCs w:val="32"/>
          <w:lang w:val="en-US" w:eastAsia="zh-CN"/>
        </w:rPr>
        <w:t>及</w:t>
      </w:r>
      <w:r>
        <w:rPr>
          <w:rFonts w:ascii="Times New Roman" w:hAnsi="Times New Roman" w:eastAsia="仿宋_GB2312" w:cs="Times New Roman"/>
          <w:color w:val="auto"/>
          <w:sz w:val="32"/>
          <w:szCs w:val="32"/>
        </w:rPr>
        <w:t>财政评价结果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统筹研判年度预算执行成效。对照评价反馈，科学研判预算安排合理性，优化支出结构，压减低效无效支出，进一步规范资金拨付、使用及台账管理，补充内控薄弱环节，健全绩效全过程管理制度。同时落实问题整改，强化绩效结果与下一年度预算编制联动，切实提升财政资金使用效益。</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numPr>
          <w:ilvl w:val="0"/>
          <w:numId w:val="0"/>
        </w:numPr>
        <w:spacing w:line="360" w:lineRule="auto"/>
        <w:ind w:leftChars="0"/>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第四部分</w:t>
      </w:r>
    </w:p>
    <w:p>
      <w:pPr>
        <w:pStyle w:val="13"/>
        <w:numPr>
          <w:ilvl w:val="0"/>
          <w:numId w:val="0"/>
        </w:numPr>
        <w:spacing w:line="360" w:lineRule="auto"/>
        <w:ind w:left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5"/>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3"/>
        <w:numPr>
          <w:ilvl w:val="0"/>
          <w:numId w:val="0"/>
        </w:numPr>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附 件</w:t>
      </w:r>
      <w:bookmarkStart w:id="3" w:name="_GoBack"/>
      <w:bookmarkEnd w:id="3"/>
    </w:p>
    <w:p>
      <w:pPr>
        <w:pStyle w:val="2"/>
        <w:rPr>
          <w:rFonts w:hint="eastAsia" w:eastAsia="宋体"/>
          <w:lang w:val="en-US" w:eastAsia="zh-CN"/>
        </w:rPr>
      </w:pPr>
      <w:r>
        <w:rPr>
          <w:rFonts w:hint="eastAsia" w:cs="Times New Roman"/>
          <w:color w:val="000000"/>
          <w:kern w:val="0"/>
          <w:sz w:val="32"/>
          <w:szCs w:val="32"/>
          <w:lang w:val="en-US" w:eastAsia="zh-CN"/>
        </w:rPr>
        <w:t>1、2025年度住房保障服务中心整体支出绩效自评报告。</w:t>
      </w:r>
    </w:p>
    <w:sectPr>
      <w:pgSz w:w="11906" w:h="16838"/>
      <w:pgMar w:top="1417" w:right="1588" w:bottom="1417"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56650"/>
    <w:multiLevelType w:val="singleLevel"/>
    <w:tmpl w:val="25F56650"/>
    <w:lvl w:ilvl="0" w:tentative="0">
      <w:start w:val="2"/>
      <w:numFmt w:val="chineseCounting"/>
      <w:suff w:val="space"/>
      <w:lvlText w:val="第%1部分"/>
      <w:lvlJc w:val="left"/>
      <w:rPr>
        <w:rFonts w:hint="eastAsia"/>
      </w:rPr>
    </w:lvl>
  </w:abstractNum>
  <w:abstractNum w:abstractNumId="1">
    <w:nsid w:val="6AA1323E"/>
    <w:multiLevelType w:val="singleLevel"/>
    <w:tmpl w:val="6AA1323E"/>
    <w:lvl w:ilvl="0" w:tentative="0">
      <w:start w:val="3"/>
      <w:numFmt w:val="decimal"/>
      <w:suff w:val="nothing"/>
      <w:lvlText w:val="%1."/>
      <w:lvlJc w:val="left"/>
    </w:lvl>
  </w:abstractNum>
  <w:abstractNum w:abstractNumId="2">
    <w:nsid w:val="6AA138E2"/>
    <w:multiLevelType w:val="singleLevel"/>
    <w:tmpl w:val="6AA138E2"/>
    <w:lvl w:ilvl="0" w:tentative="0">
      <w:start w:val="3"/>
      <w:numFmt w:val="chineseCounting"/>
      <w:suff w:val="nothing"/>
      <w:lvlText w:val="（%1）"/>
      <w:lvlJc w:val="left"/>
    </w:lvl>
  </w:abstractNum>
  <w:abstractNum w:abstractNumId="3">
    <w:nsid w:val="6AA13CDA"/>
    <w:multiLevelType w:val="singleLevel"/>
    <w:tmpl w:val="6AA13CDA"/>
    <w:lvl w:ilvl="0" w:tentative="0">
      <w:start w:val="4"/>
      <w:numFmt w:val="decimal"/>
      <w:suff w:val="nothing"/>
      <w:lvlText w:val="%1、"/>
      <w:lvlJc w:val="left"/>
    </w:lvl>
  </w:abstractNum>
  <w:abstractNum w:abstractNumId="4">
    <w:nsid w:val="74AD7184"/>
    <w:multiLevelType w:val="singleLevel"/>
    <w:tmpl w:val="74AD7184"/>
    <w:lvl w:ilvl="0" w:tentative="0">
      <w:start w:val="5"/>
      <w:numFmt w:val="chineseCounting"/>
      <w:suff w:val="space"/>
      <w:lvlText w:val="第%1部分"/>
      <w:lvlJc w:val="left"/>
      <w:rPr>
        <w:rFonts w:hint="eastAsia"/>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mU5ZWU0YzczYzJkMDE3YjZmMDc5NDdmMGMyNzhjNDYifQ=="/>
  </w:docVars>
  <w:rsids>
    <w:rsidRoot w:val="00000000"/>
    <w:rsid w:val="03A55F83"/>
    <w:rsid w:val="17400A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100" w:beforeAutospacing="1" w:after="100" w:afterAutospacing="1"/>
      <w:ind w:left="0" w:right="0"/>
      <w:jc w:val="left"/>
    </w:pPr>
    <w:rPr>
      <w:kern w:val="0"/>
      <w:sz w:val="24"/>
      <w:lang w:val="en-US" w:eastAsia="zh-CN"/>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4">
    <w:name w:val="List Paragraph"/>
    <w:basedOn w:val="1"/>
    <w:qFormat/>
    <w:uiPriority w:val="34"/>
    <w:pPr>
      <w:ind w:firstLine="420" w:firstLineChars="200"/>
    </w:pPr>
  </w:style>
  <w:style w:type="character" w:customStyle="1" w:styleId="15">
    <w:name w:val="页眉 Char Char"/>
    <w:basedOn w:val="12"/>
    <w:link w:val="8"/>
    <w:uiPriority w:val="99"/>
    <w:rPr>
      <w:sz w:val="18"/>
      <w:szCs w:val="18"/>
    </w:rPr>
  </w:style>
  <w:style w:type="character" w:customStyle="1" w:styleId="16">
    <w:name w:val="页脚 Char Char"/>
    <w:basedOn w:val="12"/>
    <w:link w:val="7"/>
    <w:uiPriority w:val="99"/>
    <w:rPr>
      <w:sz w:val="18"/>
      <w:szCs w:val="18"/>
    </w:rPr>
  </w:style>
  <w:style w:type="character" w:customStyle="1" w:styleId="17">
    <w:name w:val="批注框文本 Char Char"/>
    <w:basedOn w:val="12"/>
    <w:link w:val="6"/>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6720</Words>
  <Characters>8352</Characters>
  <Lines>69</Lines>
  <Paragraphs>19</Paragraphs>
  <TotalTime>2</TotalTime>
  <ScaleCrop>false</ScaleCrop>
  <LinksUpToDate>false</LinksUpToDate>
  <CharactersWithSpaces>9720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2026-09-15T01:06:32Z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2E516665F4994F41AEA8B3202DF331FF_13</vt:lpwstr>
  </property>
  <property fmtid="{D5CDD505-2E9C-101B-9397-08002B2CF9AE}" pid="4" name="KSOTemplateDocerSaveRecord">
    <vt:lpwstr>eyJoZGlkIjoiNDEyYTkxZWFhMjMzZDY2NTJiNzAzZDNkMTJlN2NmYjMiLCJ1c2VySWQiOiI2NjAzNzQ3NTEifQ==</vt:lpwstr>
  </property>
</Properties>
</file>