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CD345">
      <w:pPr>
        <w:spacing w:line="328" w:lineRule="auto"/>
        <w:rPr>
          <w:rFonts w:ascii="Arial"/>
          <w:sz w:val="21"/>
        </w:rPr>
      </w:pPr>
    </w:p>
    <w:p w14:paraId="3466C673">
      <w:pPr>
        <w:spacing w:line="328" w:lineRule="auto"/>
        <w:rPr>
          <w:rFonts w:ascii="Arial"/>
          <w:sz w:val="21"/>
        </w:rPr>
      </w:pPr>
    </w:p>
    <w:p w14:paraId="5D7A3556">
      <w:pPr>
        <w:pStyle w:val="2"/>
        <w:spacing w:before="143" w:line="235" w:lineRule="auto"/>
        <w:ind w:left="1519" w:right="865" w:hanging="730"/>
        <w:outlineLvl w:val="0"/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pacing w:val="5"/>
          <w:sz w:val="44"/>
          <w:szCs w:val="44"/>
        </w:rPr>
        <w:t>2025年</w:t>
      </w:r>
      <w:r>
        <w:rPr>
          <w:rFonts w:hint="eastAsia" w:asciiTheme="majorEastAsia" w:hAnsiTheme="majorEastAsia" w:eastAsiaTheme="majorEastAsia" w:cstheme="majorEastAsia"/>
          <w:b w:val="0"/>
          <w:bCs w:val="0"/>
          <w:spacing w:val="5"/>
          <w:sz w:val="44"/>
          <w:szCs w:val="44"/>
          <w:lang w:eastAsia="zh-CN"/>
        </w:rPr>
        <w:t>道县城市管理和综合执法局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606070"/>
          <w:spacing w:val="10"/>
          <w:sz w:val="44"/>
          <w:szCs w:val="44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 w:val="0"/>
          <w:spacing w:val="-5"/>
          <w:sz w:val="44"/>
          <w:szCs w:val="44"/>
        </w:rPr>
        <w:t>部门整体支出绩效评价报告</w:t>
      </w:r>
    </w:p>
    <w:p w14:paraId="4A5C9107">
      <w:pPr>
        <w:spacing w:line="437" w:lineRule="auto"/>
        <w:rPr>
          <w:rFonts w:ascii="Arial"/>
          <w:sz w:val="21"/>
        </w:rPr>
      </w:pPr>
    </w:p>
    <w:p w14:paraId="18E9C97A">
      <w:pPr>
        <w:pStyle w:val="2"/>
        <w:spacing w:before="94" w:line="222" w:lineRule="auto"/>
        <w:ind w:left="599"/>
        <w:rPr>
          <w:sz w:val="29"/>
          <w:szCs w:val="29"/>
        </w:rPr>
      </w:pPr>
      <w:r>
        <w:rPr>
          <w:spacing w:val="5"/>
          <w:sz w:val="29"/>
          <w:szCs w:val="29"/>
        </w:rPr>
        <w:t>一、部门概况</w:t>
      </w:r>
    </w:p>
    <w:p w14:paraId="3E53CA5E">
      <w:pPr>
        <w:pStyle w:val="2"/>
        <w:spacing w:before="311" w:line="222" w:lineRule="auto"/>
        <w:ind w:left="750"/>
      </w:pPr>
      <w:r>
        <w:rPr>
          <w:spacing w:val="6"/>
        </w:rPr>
        <w:t>(一)部门基本情况：</w:t>
      </w:r>
    </w:p>
    <w:p w14:paraId="30260486">
      <w:pPr>
        <w:pStyle w:val="2"/>
        <w:spacing w:before="209" w:line="222" w:lineRule="auto"/>
        <w:ind w:left="599"/>
      </w:pPr>
      <w:r>
        <w:rPr>
          <w:rFonts w:ascii="Times New Roman" w:hAnsi="Times New Roman" w:eastAsia="Times New Roman" w:cs="Times New Roman"/>
          <w:spacing w:val="-9"/>
        </w:rPr>
        <w:t xml:space="preserve">1. </w:t>
      </w:r>
      <w:r>
        <w:rPr>
          <w:spacing w:val="-9"/>
        </w:rPr>
        <w:t>主要职能。</w:t>
      </w:r>
    </w:p>
    <w:p w14:paraId="5C986449">
      <w:pPr>
        <w:pStyle w:val="2"/>
        <w:spacing w:before="305" w:line="372" w:lineRule="auto"/>
        <w:ind w:right="91" w:firstLine="599"/>
      </w:pPr>
      <w:r>
        <w:rPr>
          <w:spacing w:val="4"/>
        </w:rPr>
        <w:t>贯彻落实党中央关于城市管理和综合执法工作的方针和决</w:t>
      </w:r>
      <w:r>
        <w:rPr>
          <w:spacing w:val="18"/>
        </w:rPr>
        <w:t xml:space="preserve"> </w:t>
      </w:r>
      <w:r>
        <w:rPr>
          <w:spacing w:val="-5"/>
        </w:rPr>
        <w:t>策，全面落实省委、市委和县委关于城市管理工作的部署要求，</w:t>
      </w:r>
      <w:r>
        <w:t xml:space="preserve"> </w:t>
      </w:r>
      <w:r>
        <w:rPr>
          <w:spacing w:val="-9"/>
        </w:rPr>
        <w:t>在履行职责过程中坚持和加强城市管理工作的集中统一领导。主</w:t>
      </w:r>
      <w:r>
        <w:rPr>
          <w:spacing w:val="6"/>
        </w:rPr>
        <w:t xml:space="preserve"> </w:t>
      </w:r>
      <w:r>
        <w:rPr>
          <w:spacing w:val="-15"/>
        </w:rPr>
        <w:t>要职责是：</w:t>
      </w:r>
    </w:p>
    <w:p w14:paraId="2A45225A">
      <w:pPr>
        <w:pStyle w:val="2"/>
        <w:spacing w:before="96" w:line="294" w:lineRule="auto"/>
        <w:ind w:right="181" w:firstLine="750"/>
      </w:pPr>
      <w:r>
        <w:rPr>
          <w:spacing w:val="2"/>
        </w:rPr>
        <w:t>(1)负责拟定全县城市管理和综合执法中长期发展规划、</w:t>
      </w:r>
      <w:r>
        <w:rPr>
          <w:spacing w:val="17"/>
        </w:rPr>
        <w:t xml:space="preserve"> </w:t>
      </w:r>
      <w:r>
        <w:rPr>
          <w:spacing w:val="-6"/>
        </w:rPr>
        <w:t>专项规划，并组织实施。</w:t>
      </w:r>
    </w:p>
    <w:p w14:paraId="639CC32D">
      <w:pPr>
        <w:pStyle w:val="2"/>
        <w:spacing w:before="305" w:line="338" w:lineRule="auto"/>
        <w:ind w:right="91" w:firstLine="750"/>
      </w:pPr>
      <w:r>
        <w:rPr>
          <w:spacing w:val="4"/>
        </w:rPr>
        <w:t>(2)负责组织城市市政公用事业管理工作。负责组织</w:t>
      </w:r>
      <w:r>
        <w:rPr>
          <w:spacing w:val="3"/>
        </w:rPr>
        <w:t>实施</w:t>
      </w:r>
      <w:r>
        <w:t xml:space="preserve"> </w:t>
      </w:r>
      <w:r>
        <w:rPr>
          <w:spacing w:val="-15"/>
        </w:rPr>
        <w:t>国家制定的城市市容环卫、生活垃圾分类、园林绿</w:t>
      </w:r>
      <w:r>
        <w:rPr>
          <w:spacing w:val="-16"/>
        </w:rPr>
        <w:t>化、户外广告、</w:t>
      </w:r>
      <w:r>
        <w:t xml:space="preserve"> </w:t>
      </w:r>
      <w:r>
        <w:rPr>
          <w:spacing w:val="-10"/>
        </w:rPr>
        <w:t>城市照明、城市道路、桥涵、燃气热力、给排水、污水处理等市</w:t>
      </w:r>
      <w:r>
        <w:rPr>
          <w:spacing w:val="4"/>
        </w:rPr>
        <w:t xml:space="preserve">  </w:t>
      </w:r>
      <w:r>
        <w:rPr>
          <w:spacing w:val="-4"/>
        </w:rPr>
        <w:t>政公用设施的标准定额和行业规范。</w:t>
      </w:r>
    </w:p>
    <w:p w14:paraId="1A8CD42C">
      <w:pPr>
        <w:pStyle w:val="2"/>
        <w:spacing w:before="316" w:line="346" w:lineRule="auto"/>
        <w:ind w:right="63" w:firstLine="750"/>
      </w:pPr>
      <w:r>
        <w:rPr>
          <w:spacing w:val="-4"/>
        </w:rPr>
        <w:t>(3)负责拟定县城市政公用设施、城市环境卫生</w:t>
      </w:r>
      <w:r>
        <w:rPr>
          <w:spacing w:val="-5"/>
        </w:rPr>
        <w:t>、给排水、</w:t>
      </w:r>
      <w:r>
        <w:t xml:space="preserve"> </w:t>
      </w:r>
      <w:r>
        <w:rPr>
          <w:spacing w:val="-10"/>
        </w:rPr>
        <w:t>二次供水、污水处理、燃气、城市照明设施、市政设施、城市垃</w:t>
      </w:r>
      <w:r>
        <w:rPr>
          <w:spacing w:val="3"/>
        </w:rPr>
        <w:t xml:space="preserve">  </w:t>
      </w:r>
      <w:r>
        <w:rPr>
          <w:spacing w:val="-9"/>
        </w:rPr>
        <w:t>圾处理、园林绿化建设和维护项目的年度计划并组织实施。负责</w:t>
      </w:r>
      <w:r>
        <w:rPr>
          <w:spacing w:val="3"/>
        </w:rPr>
        <w:t xml:space="preserve">  </w:t>
      </w:r>
      <w:r>
        <w:rPr>
          <w:spacing w:val="-10"/>
        </w:rPr>
        <w:t>县城单位和个人挖掘市政道路，占用桥涵、照明、供气、给排水</w:t>
      </w:r>
      <w:r>
        <w:rPr>
          <w:spacing w:val="4"/>
        </w:rPr>
        <w:t xml:space="preserve">  </w:t>
      </w:r>
      <w:r>
        <w:rPr>
          <w:spacing w:val="8"/>
        </w:rPr>
        <w:t>(含二次供水)等市政公用设施的审批监管工作。</w:t>
      </w:r>
    </w:p>
    <w:p w14:paraId="46D900B3">
      <w:pPr>
        <w:spacing w:line="346" w:lineRule="auto"/>
        <w:sectPr>
          <w:pgSz w:w="11920" w:h="16830"/>
          <w:pgMar w:top="1430" w:right="1788" w:bottom="0" w:left="1780" w:header="0" w:footer="0" w:gutter="0"/>
          <w:cols w:space="720" w:num="1"/>
        </w:sectPr>
      </w:pPr>
    </w:p>
    <w:p w14:paraId="32FB9E07">
      <w:pPr>
        <w:pStyle w:val="2"/>
        <w:spacing w:before="257" w:line="334" w:lineRule="auto"/>
        <w:ind w:left="22" w:right="71" w:firstLine="769"/>
      </w:pPr>
      <w:r>
        <w:rPr>
          <w:spacing w:val="4"/>
        </w:rPr>
        <w:t>(4)参与城区户外广告专项规划编制。负责审批城</w:t>
      </w:r>
      <w:r>
        <w:rPr>
          <w:spacing w:val="3"/>
        </w:rPr>
        <w:t>区户外</w:t>
      </w:r>
      <w:r>
        <w:t xml:space="preserve"> </w:t>
      </w:r>
      <w:r>
        <w:rPr>
          <w:spacing w:val="-6"/>
        </w:rPr>
        <w:t>广告。负责城区户外广告、车身广告、标语牌、霓虹灯、画廊、</w:t>
      </w:r>
      <w:r>
        <w:rPr>
          <w:spacing w:val="17"/>
        </w:rPr>
        <w:t xml:space="preserve"> </w:t>
      </w:r>
      <w:r>
        <w:rPr>
          <w:spacing w:val="-6"/>
        </w:rPr>
        <w:t>橱窗等场地的规划制定，组织实施拍卖、招租等具体管理行为。</w:t>
      </w:r>
    </w:p>
    <w:p w14:paraId="39F180B9">
      <w:pPr>
        <w:pStyle w:val="2"/>
        <w:spacing w:before="262" w:line="297" w:lineRule="auto"/>
        <w:ind w:left="22" w:right="131" w:firstLine="769"/>
      </w:pPr>
      <w:r>
        <w:rPr>
          <w:spacing w:val="8"/>
        </w:rPr>
        <w:t>(5)负责全县废弃物(城市生活垃圾、建筑垃圾、渣土、</w:t>
      </w:r>
      <w:r>
        <w:rPr>
          <w:spacing w:val="11"/>
        </w:rPr>
        <w:t xml:space="preserve"> </w:t>
      </w:r>
      <w:r>
        <w:rPr>
          <w:spacing w:val="5"/>
        </w:rPr>
        <w:t>餐厨垃圾、污水)处置管理工作。</w:t>
      </w:r>
    </w:p>
    <w:p w14:paraId="0CE109BE">
      <w:pPr>
        <w:pStyle w:val="2"/>
        <w:spacing w:before="281" w:line="330" w:lineRule="auto"/>
        <w:ind w:left="22" w:right="118" w:firstLine="769"/>
      </w:pPr>
      <w:r>
        <w:rPr>
          <w:spacing w:val="3"/>
        </w:rPr>
        <w:t>(6)负责全县燃气经营许可的指导监督工作。负责全县燃</w:t>
      </w:r>
      <w:r>
        <w:rPr>
          <w:spacing w:val="4"/>
        </w:rPr>
        <w:t xml:space="preserve"> </w:t>
      </w:r>
      <w:r>
        <w:rPr>
          <w:spacing w:val="-3"/>
        </w:rPr>
        <w:t>气热力管理(包括燃气安全管理、资质管理、</w:t>
      </w:r>
      <w:r>
        <w:rPr>
          <w:spacing w:val="-4"/>
        </w:rPr>
        <w:t>器具经营管理和安</w:t>
      </w:r>
      <w:r>
        <w:t xml:space="preserve"> </w:t>
      </w:r>
      <w:r>
        <w:rPr>
          <w:spacing w:val="8"/>
        </w:rPr>
        <w:t>装使用维修监督管理工作),规范燃气热力市场。</w:t>
      </w:r>
    </w:p>
    <w:p w14:paraId="1B6DB908">
      <w:pPr>
        <w:pStyle w:val="2"/>
        <w:spacing w:before="244" w:line="349" w:lineRule="auto"/>
        <w:ind w:left="22" w:right="91" w:firstLine="769"/>
      </w:pPr>
      <w:r>
        <w:rPr>
          <w:spacing w:val="3"/>
        </w:rPr>
        <w:t>(7)负责会同有关部门共同编制城区绿化规划，经批准后</w:t>
      </w:r>
      <w:r>
        <w:rPr>
          <w:spacing w:val="6"/>
        </w:rPr>
        <w:t xml:space="preserve"> </w:t>
      </w:r>
      <w:r>
        <w:rPr>
          <w:spacing w:val="-9"/>
        </w:rPr>
        <w:t>组织实施；负责城区公共绿地、居住区绿地、风景林地和道路绿</w:t>
      </w:r>
      <w:r>
        <w:rPr>
          <w:spacing w:val="12"/>
        </w:rPr>
        <w:t xml:space="preserve"> </w:t>
      </w:r>
      <w:r>
        <w:rPr>
          <w:spacing w:val="-9"/>
        </w:rPr>
        <w:t>化等园林绿化设计方案的审查；负责组织城区新建、扩建、改建</w:t>
      </w:r>
      <w:r>
        <w:rPr>
          <w:spacing w:val="11"/>
        </w:rPr>
        <w:t xml:space="preserve"> </w:t>
      </w:r>
      <w:r>
        <w:rPr>
          <w:spacing w:val="-6"/>
        </w:rPr>
        <w:t>工程项目中附属绿化工程设计方案审查、工程质量及安全</w:t>
      </w:r>
      <w:r>
        <w:rPr>
          <w:spacing w:val="-7"/>
        </w:rPr>
        <w:t>监管、</w:t>
      </w:r>
      <w:r>
        <w:t xml:space="preserve"> </w:t>
      </w:r>
      <w:r>
        <w:rPr>
          <w:spacing w:val="-5"/>
        </w:rPr>
        <w:t>竣工验收和移交接收工作。</w:t>
      </w:r>
    </w:p>
    <w:p w14:paraId="0EEB470A">
      <w:pPr>
        <w:pStyle w:val="2"/>
        <w:spacing w:before="276" w:line="342" w:lineRule="auto"/>
        <w:ind w:left="22" w:right="32" w:firstLine="769"/>
      </w:pPr>
      <w:r>
        <w:rPr>
          <w:spacing w:val="9"/>
        </w:rPr>
        <w:t>(8)负责城区园林绿化管理(包括城市园林绿化、</w:t>
      </w:r>
      <w:r>
        <w:rPr>
          <w:spacing w:val="8"/>
        </w:rPr>
        <w:t>各类绿</w:t>
      </w:r>
      <w:r>
        <w:t xml:space="preserve"> </w:t>
      </w:r>
      <w:r>
        <w:rPr>
          <w:spacing w:val="-2"/>
        </w:rPr>
        <w:t>地、城市雕塑、公园、苗圃的保护和管理)等工作；负责城区改</w:t>
      </w:r>
      <w:r>
        <w:rPr>
          <w:spacing w:val="3"/>
        </w:rPr>
        <w:t xml:space="preserve"> </w:t>
      </w:r>
      <w:r>
        <w:rPr>
          <w:spacing w:val="-9"/>
        </w:rPr>
        <w:t>变绿化规划、绿化用地性质的审批以及临时占用城市绿地的审批</w:t>
      </w:r>
      <w:r>
        <w:rPr>
          <w:spacing w:val="4"/>
        </w:rPr>
        <w:t xml:space="preserve">  </w:t>
      </w:r>
      <w:r>
        <w:rPr>
          <w:spacing w:val="-4"/>
        </w:rPr>
        <w:t>工作；负责园林式单位(小区)评选报批及考核复查等相关工作。</w:t>
      </w:r>
    </w:p>
    <w:p w14:paraId="62BCA5A3">
      <w:pPr>
        <w:pStyle w:val="2"/>
        <w:spacing w:before="259" w:line="382" w:lineRule="auto"/>
        <w:ind w:left="22" w:right="121" w:firstLine="629"/>
        <w:jc w:val="both"/>
      </w:pPr>
      <w:r>
        <w:rPr>
          <w:spacing w:val="-10"/>
        </w:rPr>
        <w:t>负责动物园、植物园的资产评估和生物多样性保护工作；负</w:t>
      </w:r>
      <w:r>
        <w:rPr>
          <w:spacing w:val="7"/>
        </w:rPr>
        <w:t xml:space="preserve"> </w:t>
      </w:r>
      <w:r>
        <w:rPr>
          <w:spacing w:val="-8"/>
        </w:rPr>
        <w:t>责城区园林、风景的各行业标准和技术标准的执行</w:t>
      </w:r>
      <w:r>
        <w:rPr>
          <w:spacing w:val="-9"/>
        </w:rPr>
        <w:t>并组织验收和</w:t>
      </w:r>
      <w:r>
        <w:t xml:space="preserve"> </w:t>
      </w:r>
      <w:r>
        <w:rPr>
          <w:spacing w:val="-7"/>
        </w:rPr>
        <w:t>评定。负责城区风景名胜区古树名木的保护工作和古</w:t>
      </w:r>
      <w:r>
        <w:rPr>
          <w:spacing w:val="-8"/>
        </w:rPr>
        <w:t>树名木迁移</w:t>
      </w:r>
      <w:r>
        <w:t xml:space="preserve"> </w:t>
      </w:r>
      <w:r>
        <w:rPr>
          <w:spacing w:val="-9"/>
        </w:rPr>
        <w:t>审批。负责城区园林绿化设计、施工、生产、销售和花卉经营等</w:t>
      </w:r>
      <w:r>
        <w:rPr>
          <w:spacing w:val="18"/>
        </w:rPr>
        <w:t xml:space="preserve"> </w:t>
      </w:r>
      <w:r>
        <w:rPr>
          <w:spacing w:val="-2"/>
        </w:rPr>
        <w:t>单位的资质考核审批报批工作。</w:t>
      </w:r>
    </w:p>
    <w:p w14:paraId="0EB019FD">
      <w:pPr>
        <w:spacing w:line="382" w:lineRule="auto"/>
        <w:sectPr>
          <w:footerReference r:id="rId5" w:type="default"/>
          <w:pgSz w:w="11920" w:h="16830"/>
          <w:pgMar w:top="1430" w:right="1788" w:bottom="1263" w:left="1788" w:header="0" w:footer="1101" w:gutter="0"/>
          <w:cols w:space="720" w:num="1"/>
        </w:sectPr>
      </w:pPr>
    </w:p>
    <w:p w14:paraId="20F4B8BF">
      <w:pPr>
        <w:pStyle w:val="2"/>
        <w:spacing w:before="257" w:line="296" w:lineRule="auto"/>
        <w:ind w:right="114" w:firstLine="760"/>
      </w:pPr>
      <w:r>
        <w:rPr>
          <w:spacing w:val="15"/>
          <w:sz w:val="29"/>
          <w:szCs w:val="29"/>
        </w:rPr>
        <w:t>(9)负责城区占用城市公园、广场、人行道设置户外环境</w:t>
      </w:r>
      <w:r>
        <w:rPr>
          <w:spacing w:val="1"/>
          <w:sz w:val="29"/>
          <w:szCs w:val="29"/>
        </w:rPr>
        <w:t xml:space="preserve"> </w:t>
      </w:r>
      <w:r>
        <w:rPr>
          <w:spacing w:val="-6"/>
        </w:rPr>
        <w:t>设施的审批管理工作。</w:t>
      </w:r>
    </w:p>
    <w:p w14:paraId="62AA7EF8">
      <w:pPr>
        <w:pStyle w:val="2"/>
        <w:spacing w:before="312" w:line="220" w:lineRule="auto"/>
        <w:ind w:left="760"/>
        <w:rPr>
          <w:sz w:val="28"/>
          <w:szCs w:val="28"/>
        </w:rPr>
      </w:pPr>
      <w:r>
        <w:rPr>
          <w:spacing w:val="22"/>
          <w:sz w:val="28"/>
          <w:szCs w:val="28"/>
        </w:rPr>
        <w:t>(10)负责智慧城管建设和管理工作。</w:t>
      </w:r>
    </w:p>
    <w:p w14:paraId="2C1BF975">
      <w:pPr>
        <w:pStyle w:val="2"/>
        <w:spacing w:before="256" w:line="316" w:lineRule="auto"/>
        <w:ind w:right="144" w:firstLine="809"/>
      </w:pPr>
      <w:r>
        <w:rPr>
          <w:spacing w:val="8"/>
        </w:rPr>
        <w:t xml:space="preserve">(11)负责拟定城区市容环境卫生管理工作的相关规章制 </w:t>
      </w:r>
      <w:r>
        <w:rPr>
          <w:spacing w:val="-10"/>
        </w:rPr>
        <w:t>度。</w:t>
      </w:r>
    </w:p>
    <w:p w14:paraId="2B7457C0">
      <w:pPr>
        <w:pStyle w:val="2"/>
        <w:spacing w:before="216" w:line="329" w:lineRule="auto"/>
        <w:ind w:right="119" w:firstLine="760"/>
      </w:pPr>
      <w:r>
        <w:rPr>
          <w:spacing w:val="-1"/>
        </w:rPr>
        <w:t>(12)负责城区给排水、二次供水、计划用水、节约用水管</w:t>
      </w:r>
      <w:r>
        <w:rPr>
          <w:spacing w:val="18"/>
        </w:rPr>
        <w:t xml:space="preserve"> </w:t>
      </w:r>
      <w:r>
        <w:rPr>
          <w:spacing w:val="-6"/>
        </w:rPr>
        <w:t>理工作；负责城市排水许可证审定核发；负责城区公共供水的水</w:t>
      </w:r>
      <w:r>
        <w:rPr>
          <w:spacing w:val="6"/>
        </w:rPr>
        <w:t xml:space="preserve"> </w:t>
      </w:r>
      <w:r>
        <w:rPr>
          <w:spacing w:val="-3"/>
        </w:rPr>
        <w:t>质监测和指导，管理城区污水处理工作和污水管道维修工作。</w:t>
      </w:r>
    </w:p>
    <w:p w14:paraId="0A7281C9">
      <w:pPr>
        <w:pStyle w:val="2"/>
        <w:spacing w:before="262" w:line="303" w:lineRule="auto"/>
        <w:ind w:right="131" w:firstLine="649"/>
      </w:pPr>
      <w:r>
        <w:rPr>
          <w:spacing w:val="-8"/>
        </w:rPr>
        <w:t>(13)负责受理群众对城市管理工作的投诉或建议，并负责处</w:t>
      </w:r>
      <w:r>
        <w:rPr>
          <w:spacing w:val="13"/>
        </w:rPr>
        <w:t xml:space="preserve"> </w:t>
      </w:r>
      <w:r>
        <w:rPr>
          <w:spacing w:val="-4"/>
        </w:rPr>
        <w:t>理和解决。</w:t>
      </w:r>
    </w:p>
    <w:p w14:paraId="1A3A9B19">
      <w:pPr>
        <w:pStyle w:val="2"/>
        <w:spacing w:before="300" w:line="344" w:lineRule="auto"/>
        <w:ind w:right="135" w:firstLine="649"/>
      </w:pPr>
      <w:r>
        <w:rPr>
          <w:spacing w:val="-9"/>
        </w:rPr>
        <w:t>(14)行使市容环境卫生管理方面法律、法规、规章规定的行</w:t>
      </w:r>
      <w:r>
        <w:rPr>
          <w:spacing w:val="11"/>
        </w:rPr>
        <w:t xml:space="preserve"> </w:t>
      </w:r>
      <w:r>
        <w:rPr>
          <w:spacing w:val="-1"/>
        </w:rPr>
        <w:t>政处罚权；行使城市公用事业管理方面(给排水、二次供水、市</w:t>
      </w:r>
      <w:r>
        <w:rPr>
          <w:spacing w:val="6"/>
        </w:rPr>
        <w:t xml:space="preserve"> </w:t>
      </w:r>
      <w:r>
        <w:rPr>
          <w:spacing w:val="-2"/>
        </w:rPr>
        <w:t>政设施、园林绿化、照明设施、燃气等)法律、法规</w:t>
      </w:r>
      <w:r>
        <w:rPr>
          <w:spacing w:val="-3"/>
        </w:rPr>
        <w:t>、规章规定</w:t>
      </w:r>
      <w:r>
        <w:t xml:space="preserve"> </w:t>
      </w:r>
      <w:r>
        <w:rPr>
          <w:spacing w:val="5"/>
        </w:rPr>
        <w:t>属城市公共管理领域的行政处罚权；行使城市建筑垃</w:t>
      </w:r>
      <w:r>
        <w:rPr>
          <w:spacing w:val="4"/>
        </w:rPr>
        <w:t>圾(渣土)</w:t>
      </w:r>
      <w:r>
        <w:t xml:space="preserve"> </w:t>
      </w:r>
      <w:r>
        <w:rPr>
          <w:spacing w:val="-6"/>
        </w:rPr>
        <w:t>处置管理的行政处罚权。</w:t>
      </w:r>
    </w:p>
    <w:p w14:paraId="7E12B371">
      <w:pPr>
        <w:pStyle w:val="2"/>
        <w:spacing w:before="304" w:line="341" w:lineRule="auto"/>
        <w:ind w:right="71" w:firstLine="649"/>
      </w:pPr>
      <w:r>
        <w:rPr>
          <w:spacing w:val="-9"/>
        </w:rPr>
        <w:t>(15)行使环境保护管理方面法律、法规、规章规定的城区内</w:t>
      </w:r>
      <w:r>
        <w:rPr>
          <w:spacing w:val="17"/>
        </w:rPr>
        <w:t xml:space="preserve"> </w:t>
      </w:r>
      <w:r>
        <w:rPr>
          <w:spacing w:val="-14"/>
        </w:rPr>
        <w:t>城市社会生活噪声污染、城市道路扬尘污染、流动摊贩油烟污染、</w:t>
      </w:r>
      <w:r>
        <w:rPr>
          <w:spacing w:val="5"/>
        </w:rPr>
        <w:t xml:space="preserve"> </w:t>
      </w:r>
      <w:r>
        <w:rPr>
          <w:spacing w:val="-8"/>
        </w:rPr>
        <w:t>城市露天烧烤、焚烧秸秆落叶等烟尘污染、城市燃放烟花爆竹污</w:t>
      </w:r>
      <w:r>
        <w:rPr>
          <w:spacing w:val="14"/>
        </w:rPr>
        <w:t xml:space="preserve"> </w:t>
      </w:r>
      <w:r>
        <w:rPr>
          <w:spacing w:val="-7"/>
        </w:rPr>
        <w:t>染的行政处罚权。</w:t>
      </w:r>
    </w:p>
    <w:p w14:paraId="508C346B">
      <w:pPr>
        <w:pStyle w:val="2"/>
        <w:spacing w:before="262" w:line="336" w:lineRule="auto"/>
        <w:ind w:right="176" w:firstLine="649"/>
      </w:pPr>
      <w:r>
        <w:rPr>
          <w:spacing w:val="1"/>
        </w:rPr>
        <w:t>(16)行使户外公共场所无照经营违规设置户外广告的行政</w:t>
      </w:r>
      <w:r>
        <w:rPr>
          <w:spacing w:val="14"/>
        </w:rPr>
        <w:t xml:space="preserve"> </w:t>
      </w:r>
      <w:r>
        <w:rPr>
          <w:spacing w:val="-8"/>
        </w:rPr>
        <w:t>处罚权；行使城区内户外公共场所和餐饮摊点无证经营，以及违</w:t>
      </w:r>
      <w:r>
        <w:rPr>
          <w:spacing w:val="14"/>
        </w:rPr>
        <w:t xml:space="preserve"> </w:t>
      </w:r>
      <w:r>
        <w:rPr>
          <w:spacing w:val="-8"/>
        </w:rPr>
        <w:t>规回收贩卖药品等食品药品监督管理方面的行政处罚权；对破损</w:t>
      </w:r>
    </w:p>
    <w:p w14:paraId="5FF6995C">
      <w:pPr>
        <w:spacing w:line="336" w:lineRule="auto"/>
        <w:sectPr>
          <w:footerReference r:id="rId6" w:type="default"/>
          <w:pgSz w:w="11920" w:h="16830"/>
          <w:pgMar w:top="1430" w:right="1788" w:bottom="1338" w:left="1759" w:header="0" w:footer="1106" w:gutter="0"/>
          <w:cols w:space="720" w:num="1"/>
        </w:sectPr>
      </w:pPr>
    </w:p>
    <w:p w14:paraId="15E29F66">
      <w:pPr>
        <w:pStyle w:val="2"/>
        <w:spacing w:before="236" w:line="221" w:lineRule="auto"/>
        <w:ind w:left="2"/>
      </w:pPr>
      <w:r>
        <w:rPr>
          <w:spacing w:val="-5"/>
        </w:rPr>
        <w:t>或者残缺等影响市容的广告行为的行政处罚权。</w:t>
      </w:r>
    </w:p>
    <w:p w14:paraId="3905C25F">
      <w:pPr>
        <w:pStyle w:val="2"/>
        <w:spacing w:before="270" w:line="325" w:lineRule="auto"/>
        <w:ind w:left="2" w:right="122" w:firstLine="699"/>
      </w:pPr>
      <w:r>
        <w:t>(17)行使城区内向城市河道和其他水域倾倒废弃物和垃圾</w:t>
      </w:r>
      <w:r>
        <w:rPr>
          <w:spacing w:val="18"/>
        </w:rPr>
        <w:t xml:space="preserve"> </w:t>
      </w:r>
      <w:r>
        <w:rPr>
          <w:spacing w:val="-10"/>
        </w:rPr>
        <w:t>以及违规取土、城市河道违法建筑物拆除等水务管理方面的行政</w:t>
      </w:r>
      <w:r>
        <w:rPr>
          <w:spacing w:val="10"/>
        </w:rPr>
        <w:t xml:space="preserve"> </w:t>
      </w:r>
      <w:r>
        <w:rPr>
          <w:spacing w:val="-4"/>
        </w:rPr>
        <w:t>处罚权。</w:t>
      </w:r>
    </w:p>
    <w:p w14:paraId="41FF067A">
      <w:pPr>
        <w:pStyle w:val="2"/>
        <w:spacing w:before="327" w:line="306" w:lineRule="auto"/>
        <w:ind w:left="2" w:right="113" w:firstLine="699"/>
        <w:rPr>
          <w:sz w:val="29"/>
          <w:szCs w:val="29"/>
        </w:rPr>
      </w:pPr>
      <w:r>
        <w:rPr>
          <w:spacing w:val="-1"/>
          <w:sz w:val="29"/>
          <w:szCs w:val="29"/>
        </w:rPr>
        <w:t>(18)行使城区内侵占城市广场、人行道及管理范围内公共区</w:t>
      </w:r>
      <w:r>
        <w:rPr>
          <w:spacing w:val="15"/>
          <w:sz w:val="29"/>
          <w:szCs w:val="29"/>
        </w:rPr>
        <w:t xml:space="preserve"> </w:t>
      </w:r>
      <w:r>
        <w:rPr>
          <w:spacing w:val="5"/>
          <w:sz w:val="29"/>
          <w:szCs w:val="29"/>
        </w:rPr>
        <w:t>域违法停放非机动车辆等的行政处罚权。</w:t>
      </w:r>
    </w:p>
    <w:p w14:paraId="426F1482">
      <w:pPr>
        <w:pStyle w:val="2"/>
        <w:spacing w:before="260" w:line="327" w:lineRule="auto"/>
        <w:ind w:left="2" w:right="52" w:firstLine="699"/>
      </w:pPr>
      <w:r>
        <w:rPr>
          <w:spacing w:val="-8"/>
        </w:rPr>
        <w:t>(19)负责宣传和贯彻落实城市管理相关法律、法规和规章，</w:t>
      </w:r>
      <w:r>
        <w:rPr>
          <w:spacing w:val="13"/>
        </w:rPr>
        <w:t xml:space="preserve"> </w:t>
      </w:r>
      <w:r>
        <w:rPr>
          <w:spacing w:val="-9"/>
        </w:rPr>
        <w:t>组织开展城市管理行政执法调查研究，总结推广城市管理行政执</w:t>
      </w:r>
      <w:r>
        <w:rPr>
          <w:spacing w:val="14"/>
        </w:rPr>
        <w:t xml:space="preserve"> </w:t>
      </w:r>
      <w:r>
        <w:rPr>
          <w:spacing w:val="-6"/>
        </w:rPr>
        <w:t>法工作经验。</w:t>
      </w:r>
    </w:p>
    <w:p w14:paraId="3C20D028">
      <w:pPr>
        <w:pStyle w:val="2"/>
        <w:spacing w:before="281" w:line="301" w:lineRule="auto"/>
        <w:ind w:left="2" w:right="105" w:firstLine="799"/>
      </w:pPr>
      <w:r>
        <w:rPr>
          <w:spacing w:val="-3"/>
        </w:rPr>
        <w:t>(20)负责城市管理的综合协调、检查监督、考核评比和培</w:t>
      </w:r>
      <w:r>
        <w:rPr>
          <w:spacing w:val="16"/>
        </w:rPr>
        <w:t xml:space="preserve"> </w:t>
      </w:r>
      <w:r>
        <w:rPr>
          <w:spacing w:val="-4"/>
        </w:rPr>
        <w:t>训工作。</w:t>
      </w:r>
    </w:p>
    <w:p w14:paraId="482455E8">
      <w:pPr>
        <w:pStyle w:val="2"/>
        <w:spacing w:before="264" w:line="222" w:lineRule="auto"/>
        <w:ind w:left="791"/>
      </w:pPr>
      <w:r>
        <w:rPr>
          <w:spacing w:val="4"/>
        </w:rPr>
        <w:t>(21)承办县人民政府交办的其他事项。</w:t>
      </w:r>
    </w:p>
    <w:p w14:paraId="6A4065FD">
      <w:pPr>
        <w:pStyle w:val="2"/>
        <w:spacing w:before="301" w:line="222" w:lineRule="auto"/>
        <w:ind w:left="591"/>
      </w:pPr>
      <w:r>
        <w:rPr>
          <w:rFonts w:ascii="Times New Roman" w:hAnsi="Times New Roman" w:eastAsia="Times New Roman" w:cs="Times New Roman"/>
          <w:spacing w:val="-3"/>
        </w:rPr>
        <w:t xml:space="preserve">2. </w:t>
      </w:r>
      <w:r>
        <w:rPr>
          <w:spacing w:val="-3"/>
        </w:rPr>
        <w:t>机构情况，包括当年变动情况及原因。</w:t>
      </w:r>
    </w:p>
    <w:p w14:paraId="347E4612">
      <w:pPr>
        <w:pStyle w:val="2"/>
        <w:spacing w:before="308" w:line="336" w:lineRule="auto"/>
        <w:ind w:left="2" w:right="103" w:firstLine="699"/>
        <w:jc w:val="both"/>
        <w:rPr>
          <w:sz w:val="32"/>
          <w:szCs w:val="32"/>
        </w:rPr>
      </w:pPr>
      <w:r>
        <w:rPr>
          <w:spacing w:val="-6"/>
          <w:sz w:val="32"/>
          <w:szCs w:val="32"/>
        </w:rPr>
        <w:t>局机关内设办公室、政工股、财务股、公用事业管理与</w:t>
      </w:r>
      <w:r>
        <w:rPr>
          <w:spacing w:val="1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项目建设股、法规与行政审批股等五个机构，下</w:t>
      </w:r>
      <w:r>
        <w:rPr>
          <w:spacing w:val="-7"/>
          <w:sz w:val="32"/>
          <w:szCs w:val="32"/>
        </w:rPr>
        <w:t>辖道县城市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管理执法大队、道县自来水公司、道县城市环境</w:t>
      </w:r>
      <w:r>
        <w:rPr>
          <w:spacing w:val="-7"/>
          <w:sz w:val="32"/>
          <w:szCs w:val="32"/>
        </w:rPr>
        <w:t>卫生和园林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绿化服务中心、道县城市管理事务中心、道县</w:t>
      </w:r>
      <w:r>
        <w:rPr>
          <w:spacing w:val="-7"/>
          <w:sz w:val="32"/>
          <w:szCs w:val="32"/>
        </w:rPr>
        <w:t>市政设施管理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站、道县路灯管理所及道县燃气管理站等七个事业单位。</w:t>
      </w:r>
    </w:p>
    <w:p w14:paraId="1459A288">
      <w:pPr>
        <w:pStyle w:val="2"/>
        <w:spacing w:before="20" w:line="222" w:lineRule="auto"/>
        <w:ind w:left="591"/>
      </w:pPr>
      <w:r>
        <w:rPr>
          <w:rFonts w:ascii="Times New Roman" w:hAnsi="Times New Roman" w:eastAsia="Times New Roman" w:cs="Times New Roman"/>
          <w:spacing w:val="-4"/>
        </w:rPr>
        <w:t xml:space="preserve">3. </w:t>
      </w:r>
      <w:r>
        <w:rPr>
          <w:spacing w:val="-4"/>
        </w:rPr>
        <w:t>人员情况，包括当年变动情况及原因。</w:t>
      </w:r>
    </w:p>
    <w:p w14:paraId="735DF77E">
      <w:pPr>
        <w:pStyle w:val="2"/>
        <w:spacing w:before="275" w:line="385" w:lineRule="auto"/>
        <w:ind w:left="2" w:right="150" w:firstLine="589"/>
      </w:pPr>
      <w:r>
        <w:rPr>
          <w:spacing w:val="14"/>
        </w:rPr>
        <w:t>2025年度年末在职人员53人，因退休2人、辞职1人，较</w:t>
      </w:r>
      <w:r>
        <w:rPr>
          <w:spacing w:val="8"/>
        </w:rPr>
        <w:t xml:space="preserve"> </w:t>
      </w:r>
      <w:r>
        <w:rPr>
          <w:spacing w:val="28"/>
        </w:rPr>
        <w:t>2024年56人减少3人。</w:t>
      </w:r>
    </w:p>
    <w:p w14:paraId="09BD5F25">
      <w:pPr>
        <w:pStyle w:val="2"/>
        <w:spacing w:before="10" w:line="222" w:lineRule="auto"/>
        <w:ind w:left="591"/>
      </w:pPr>
      <w:r>
        <w:rPr>
          <w:spacing w:val="3"/>
        </w:rPr>
        <w:t>(二)部门整体支出规模、使用方向和主要内容</w:t>
      </w:r>
    </w:p>
    <w:p w14:paraId="431C0058">
      <w:pPr>
        <w:spacing w:line="222" w:lineRule="auto"/>
        <w:sectPr>
          <w:footerReference r:id="rId7" w:type="default"/>
          <w:pgSz w:w="11920" w:h="16830"/>
          <w:pgMar w:top="1430" w:right="1788" w:bottom="1262" w:left="1788" w:header="0" w:footer="1127" w:gutter="0"/>
          <w:cols w:space="720" w:num="1"/>
        </w:sectPr>
      </w:pPr>
    </w:p>
    <w:p w14:paraId="66317EF0">
      <w:pPr>
        <w:pStyle w:val="2"/>
        <w:spacing w:before="277" w:line="365" w:lineRule="auto"/>
        <w:ind w:left="31" w:right="120" w:firstLine="630"/>
        <w:jc w:val="both"/>
        <w:rPr>
          <w:sz w:val="31"/>
          <w:szCs w:val="31"/>
        </w:rPr>
      </w:pPr>
      <w:r>
        <w:rPr>
          <w:spacing w:val="-6"/>
          <w:sz w:val="31"/>
          <w:szCs w:val="31"/>
        </w:rPr>
        <w:t>2025年收入支出预算执行基本情况。当年收入14196</w:t>
      </w:r>
      <w:r>
        <w:rPr>
          <w:spacing w:val="-7"/>
          <w:sz w:val="31"/>
          <w:szCs w:val="31"/>
        </w:rPr>
        <w:t>.44万</w:t>
      </w:r>
      <w:r>
        <w:rPr>
          <w:sz w:val="31"/>
          <w:szCs w:val="31"/>
        </w:rPr>
        <w:t xml:space="preserve"> </w:t>
      </w:r>
      <w:r>
        <w:rPr>
          <w:spacing w:val="-1"/>
          <w:sz w:val="31"/>
          <w:szCs w:val="31"/>
        </w:rPr>
        <w:t>元，较上年35793.51万元减少21597.07万元，减幅达60.3</w:t>
      </w:r>
      <w:r>
        <w:rPr>
          <w:rFonts w:hint="eastAsia"/>
          <w:spacing w:val="-1"/>
          <w:sz w:val="31"/>
          <w:szCs w:val="31"/>
          <w:lang w:val="en-US" w:eastAsia="zh-CN"/>
        </w:rPr>
        <w:t>4</w:t>
      </w:r>
      <w:r>
        <w:rPr>
          <w:spacing w:val="-1"/>
          <w:sz w:val="31"/>
          <w:szCs w:val="31"/>
        </w:rPr>
        <w:t>%,</w:t>
      </w:r>
      <w:r>
        <w:rPr>
          <w:spacing w:val="11"/>
          <w:sz w:val="31"/>
          <w:szCs w:val="31"/>
        </w:rPr>
        <w:t xml:space="preserve"> </w:t>
      </w:r>
      <w:r>
        <w:rPr>
          <w:spacing w:val="-7"/>
          <w:sz w:val="31"/>
          <w:szCs w:val="31"/>
        </w:rPr>
        <w:t>主要是减少专项债券拨款。当年支出14196.44万</w:t>
      </w:r>
      <w:r>
        <w:rPr>
          <w:spacing w:val="-8"/>
          <w:sz w:val="31"/>
          <w:szCs w:val="31"/>
        </w:rPr>
        <w:t>元，其中基本</w:t>
      </w:r>
      <w:r>
        <w:rPr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支出683.12万元(人员经费610.65万元</w:t>
      </w:r>
      <w:r>
        <w:rPr>
          <w:spacing w:val="3"/>
          <w:sz w:val="31"/>
          <w:szCs w:val="31"/>
        </w:rPr>
        <w:t>，日常公用经费72.47</w:t>
      </w:r>
      <w:r>
        <w:rPr>
          <w:sz w:val="31"/>
          <w:szCs w:val="31"/>
        </w:rPr>
        <w:t xml:space="preserve"> </w:t>
      </w:r>
      <w:r>
        <w:rPr>
          <w:spacing w:val="11"/>
          <w:sz w:val="31"/>
          <w:szCs w:val="31"/>
        </w:rPr>
        <w:t>万元),项目支出13513.32万元。当年支出较上年35793.51</w:t>
      </w:r>
      <w:r>
        <w:rPr>
          <w:spacing w:val="7"/>
          <w:sz w:val="31"/>
          <w:szCs w:val="31"/>
        </w:rPr>
        <w:t xml:space="preserve"> 万元减少21597.07万元，减幅达60.3</w:t>
      </w:r>
      <w:r>
        <w:rPr>
          <w:rFonts w:hint="eastAsia"/>
          <w:spacing w:val="7"/>
          <w:sz w:val="31"/>
          <w:szCs w:val="31"/>
          <w:lang w:val="en-US" w:eastAsia="zh-CN"/>
        </w:rPr>
        <w:t>4</w:t>
      </w:r>
      <w:r>
        <w:rPr>
          <w:spacing w:val="7"/>
          <w:sz w:val="31"/>
          <w:szCs w:val="31"/>
        </w:rPr>
        <w:t>%,主要是减少专项债</w:t>
      </w:r>
      <w:r>
        <w:rPr>
          <w:spacing w:val="17"/>
          <w:sz w:val="31"/>
          <w:szCs w:val="31"/>
        </w:rPr>
        <w:t xml:space="preserve"> </w:t>
      </w:r>
      <w:r>
        <w:rPr>
          <w:spacing w:val="-18"/>
          <w:sz w:val="31"/>
          <w:szCs w:val="31"/>
        </w:rPr>
        <w:t>券项目支出。</w:t>
      </w:r>
    </w:p>
    <w:p w14:paraId="56EEB67A">
      <w:pPr>
        <w:pStyle w:val="2"/>
        <w:spacing w:before="40" w:line="222" w:lineRule="auto"/>
        <w:ind w:left="662"/>
        <w:rPr>
          <w:sz w:val="31"/>
          <w:szCs w:val="31"/>
        </w:rPr>
      </w:pPr>
      <w:r>
        <w:rPr>
          <w:spacing w:val="-11"/>
          <w:sz w:val="31"/>
          <w:szCs w:val="31"/>
        </w:rPr>
        <w:t>二、</w:t>
      </w:r>
      <w:r>
        <w:rPr>
          <w:spacing w:val="-62"/>
          <w:sz w:val="31"/>
          <w:szCs w:val="31"/>
        </w:rPr>
        <w:t xml:space="preserve"> </w:t>
      </w:r>
      <w:r>
        <w:rPr>
          <w:spacing w:val="-11"/>
          <w:sz w:val="31"/>
          <w:szCs w:val="31"/>
        </w:rPr>
        <w:t>一般公共预算支出情况</w:t>
      </w:r>
    </w:p>
    <w:p w14:paraId="436FA70C">
      <w:pPr>
        <w:pStyle w:val="2"/>
        <w:spacing w:before="249" w:line="222" w:lineRule="auto"/>
        <w:ind w:left="772"/>
        <w:rPr>
          <w:sz w:val="31"/>
          <w:szCs w:val="31"/>
        </w:rPr>
      </w:pPr>
      <w:r>
        <w:rPr>
          <w:spacing w:val="2"/>
          <w:sz w:val="31"/>
          <w:szCs w:val="31"/>
        </w:rPr>
        <w:t>(一)基本支出情况</w:t>
      </w:r>
    </w:p>
    <w:p w14:paraId="3284D86C">
      <w:pPr>
        <w:pStyle w:val="2"/>
        <w:spacing w:before="261" w:line="386" w:lineRule="auto"/>
        <w:ind w:left="31" w:right="120" w:firstLine="630"/>
      </w:pPr>
      <w:r>
        <w:rPr>
          <w:spacing w:val="-9"/>
        </w:rPr>
        <w:t>用于为保障我单位正常运转、完成日常工作任</w:t>
      </w:r>
      <w:r>
        <w:rPr>
          <w:spacing w:val="-10"/>
        </w:rPr>
        <w:t>务而发生的支</w:t>
      </w:r>
      <w:r>
        <w:t xml:space="preserve"> </w:t>
      </w:r>
      <w:r>
        <w:rPr>
          <w:spacing w:val="-6"/>
        </w:rPr>
        <w:t>出，包括人员经费和公用经费。</w:t>
      </w:r>
    </w:p>
    <w:p w14:paraId="7EDC3D43">
      <w:pPr>
        <w:pStyle w:val="2"/>
        <w:spacing w:before="2" w:line="362" w:lineRule="auto"/>
        <w:ind w:left="31" w:right="61" w:firstLine="740"/>
      </w:pPr>
      <w:r>
        <w:rPr>
          <w:spacing w:val="13"/>
        </w:rPr>
        <w:t>(1)2025年度财政拨款基本支出683.12万元，其中：人</w:t>
      </w:r>
      <w:r>
        <w:rPr>
          <w:spacing w:val="7"/>
        </w:rPr>
        <w:t xml:space="preserve"> </w:t>
      </w:r>
      <w:r>
        <w:t xml:space="preserve">员经费610.65万元，占基本支出的89.39%,主要包括基本工资、 </w:t>
      </w:r>
      <w:r>
        <w:rPr>
          <w:spacing w:val="-9"/>
        </w:rPr>
        <w:t>津贴补贴、奖金、绩效工资、机关事业单位基本养老保险费</w:t>
      </w:r>
      <w:r>
        <w:rPr>
          <w:spacing w:val="-10"/>
        </w:rPr>
        <w:t>、职</w:t>
      </w:r>
      <w:r>
        <w:t xml:space="preserve"> </w:t>
      </w:r>
      <w:r>
        <w:rPr>
          <w:spacing w:val="-10"/>
        </w:rPr>
        <w:t>工基本医疗保险缴费、其他工资福利支出；公用经费72.47万元，</w:t>
      </w:r>
      <w:r>
        <w:rPr>
          <w:spacing w:val="9"/>
        </w:rPr>
        <w:t xml:space="preserve"> </w:t>
      </w:r>
      <w:r>
        <w:t xml:space="preserve">占基本支出的10.61%,主要包括办公费、印刷费、水费、电费、 </w:t>
      </w:r>
      <w:r>
        <w:rPr>
          <w:spacing w:val="-5"/>
        </w:rPr>
        <w:t>邮电费、差旅费、维修(护)费、会议费、培训费、</w:t>
      </w:r>
      <w:r>
        <w:rPr>
          <w:spacing w:val="-6"/>
        </w:rPr>
        <w:t>专用材料费、</w:t>
      </w:r>
      <w:r>
        <w:t xml:space="preserve"> </w:t>
      </w:r>
      <w:r>
        <w:rPr>
          <w:spacing w:val="-10"/>
        </w:rPr>
        <w:t>劳务费、工会经费、福利费、公务用车运行维护费、其他交通费</w:t>
      </w:r>
      <w:r>
        <w:rPr>
          <w:spacing w:val="15"/>
        </w:rPr>
        <w:t xml:space="preserve"> </w:t>
      </w:r>
      <w:r>
        <w:rPr>
          <w:spacing w:val="-5"/>
        </w:rPr>
        <w:t>用、其他商品和服务支出。</w:t>
      </w:r>
    </w:p>
    <w:p w14:paraId="1D13F365">
      <w:pPr>
        <w:pStyle w:val="2"/>
        <w:spacing w:before="251" w:line="341" w:lineRule="auto"/>
        <w:ind w:left="22" w:right="75" w:firstLine="750"/>
        <w:rPr>
          <w:sz w:val="32"/>
          <w:szCs w:val="32"/>
        </w:rPr>
      </w:pPr>
      <w:r>
        <w:rPr>
          <w:spacing w:val="5"/>
        </w:rPr>
        <w:t>(2)2025年“三公”经费4.08万元，</w:t>
      </w:r>
      <w:r>
        <w:rPr>
          <w:spacing w:val="4"/>
        </w:rPr>
        <w:t>其中：因公出国(境)</w:t>
      </w:r>
      <w:r>
        <w:t xml:space="preserve"> </w:t>
      </w:r>
      <w:r>
        <w:rPr>
          <w:rFonts w:ascii="Times New Roman" w:hAnsi="Times New Roman" w:eastAsia="Times New Roman" w:cs="Times New Roman"/>
          <w:spacing w:val="4"/>
        </w:rPr>
        <w:t xml:space="preserve">0  </w:t>
      </w:r>
      <w:r>
        <w:rPr>
          <w:spacing w:val="4"/>
        </w:rPr>
        <w:t>万元、公务用车购置及运行维护费4.08万元、公务接待费0</w:t>
      </w:r>
      <w:r>
        <w:t xml:space="preserve">  </w:t>
      </w:r>
      <w:r>
        <w:rPr>
          <w:spacing w:val="-21"/>
          <w:sz w:val="32"/>
          <w:szCs w:val="32"/>
        </w:rPr>
        <w:t>万元。</w:t>
      </w:r>
    </w:p>
    <w:p w14:paraId="04183EA4">
      <w:pPr>
        <w:spacing w:line="341" w:lineRule="auto"/>
        <w:rPr>
          <w:sz w:val="32"/>
          <w:szCs w:val="32"/>
        </w:rPr>
        <w:sectPr>
          <w:footerReference r:id="rId8" w:type="default"/>
          <w:pgSz w:w="11920" w:h="16830"/>
          <w:pgMar w:top="1430" w:right="1788" w:bottom="1252" w:left="1788" w:header="0" w:footer="1119" w:gutter="0"/>
          <w:cols w:space="720" w:num="1"/>
        </w:sectPr>
      </w:pPr>
    </w:p>
    <w:p w14:paraId="0BCF1A8A">
      <w:pPr>
        <w:spacing w:line="243" w:lineRule="auto"/>
        <w:rPr>
          <w:rFonts w:ascii="Arial"/>
          <w:sz w:val="21"/>
        </w:rPr>
      </w:pPr>
    </w:p>
    <w:p w14:paraId="458CE21B">
      <w:pPr>
        <w:pStyle w:val="2"/>
        <w:spacing w:before="98" w:line="370" w:lineRule="auto"/>
        <w:ind w:left="92" w:right="72" w:firstLine="539"/>
      </w:pPr>
      <w:r>
        <w:rPr>
          <w:spacing w:val="-1"/>
        </w:rPr>
        <w:t>2025年为更好地贯彻落实中央厉行节约的有关规定，财务</w:t>
      </w:r>
      <w:r>
        <w:rPr>
          <w:spacing w:val="5"/>
        </w:rPr>
        <w:t xml:space="preserve">  </w:t>
      </w:r>
      <w:r>
        <w:rPr>
          <w:spacing w:val="4"/>
        </w:rPr>
        <w:t>管理不断加强，年度内“三公”经费预算4.08万</w:t>
      </w:r>
      <w:r>
        <w:rPr>
          <w:spacing w:val="3"/>
        </w:rPr>
        <w:t>元，2025年实</w:t>
      </w:r>
      <w:r>
        <w:t xml:space="preserve"> </w:t>
      </w:r>
      <w:r>
        <w:rPr>
          <w:spacing w:val="2"/>
        </w:rPr>
        <w:t>际支出是4.08万元，实际支出较2024年</w:t>
      </w:r>
      <w:r>
        <w:rPr>
          <w:spacing w:val="1"/>
        </w:rPr>
        <w:t>75.3</w:t>
      </w:r>
      <w:r>
        <w:rPr>
          <w:rFonts w:hint="eastAsia"/>
          <w:spacing w:val="1"/>
          <w:lang w:val="en-US" w:eastAsia="zh-CN"/>
        </w:rPr>
        <w:t>5</w:t>
      </w:r>
      <w:r>
        <w:rPr>
          <w:spacing w:val="1"/>
        </w:rPr>
        <w:t>万元减少了71.2</w:t>
      </w:r>
      <w:r>
        <w:rPr>
          <w:rFonts w:hint="eastAsia"/>
          <w:spacing w:val="1"/>
          <w:lang w:val="en-US" w:eastAsia="zh-CN"/>
        </w:rPr>
        <w:t>7</w:t>
      </w:r>
      <w:bookmarkStart w:id="0" w:name="_GoBack"/>
      <w:bookmarkEnd w:id="0"/>
      <w:r>
        <w:rPr>
          <w:spacing w:val="-3"/>
        </w:rPr>
        <w:t>万元，是因为减少了6台城市管理和综合执</w:t>
      </w:r>
      <w:r>
        <w:rPr>
          <w:spacing w:val="-4"/>
        </w:rPr>
        <w:t>法车辆购置费与公务</w:t>
      </w:r>
      <w:r>
        <w:t xml:space="preserve"> </w:t>
      </w:r>
      <w:r>
        <w:rPr>
          <w:spacing w:val="-3"/>
        </w:rPr>
        <w:t>接待费；实际支出与预算支出持平，</w:t>
      </w:r>
      <w:r>
        <w:rPr>
          <w:spacing w:val="-12"/>
        </w:rPr>
        <w:t xml:space="preserve"> </w:t>
      </w:r>
      <w:r>
        <w:rPr>
          <w:spacing w:val="-3"/>
        </w:rPr>
        <w:t>“三公”经费得到有效控</w:t>
      </w:r>
      <w:r>
        <w:t xml:space="preserve"> </w:t>
      </w:r>
      <w:r>
        <w:rPr>
          <w:spacing w:val="-6"/>
        </w:rPr>
        <w:t>制。</w:t>
      </w:r>
    </w:p>
    <w:p w14:paraId="7743CB9C">
      <w:pPr>
        <w:pStyle w:val="2"/>
        <w:spacing w:before="40" w:line="222" w:lineRule="auto"/>
        <w:ind w:left="862"/>
        <w:rPr>
          <w:sz w:val="32"/>
          <w:szCs w:val="32"/>
        </w:rPr>
      </w:pPr>
      <w:r>
        <w:rPr>
          <w:spacing w:val="-4"/>
          <w:sz w:val="32"/>
          <w:szCs w:val="32"/>
        </w:rPr>
        <w:t>(二)项目支出情况</w:t>
      </w:r>
    </w:p>
    <w:p w14:paraId="1A2CCB27">
      <w:pPr>
        <w:pStyle w:val="2"/>
        <w:spacing w:before="334" w:line="370" w:lineRule="auto"/>
        <w:ind w:left="92" w:firstLine="539"/>
        <w:jc w:val="both"/>
      </w:pPr>
      <w:r>
        <w:rPr>
          <w:spacing w:val="-3"/>
        </w:rPr>
        <w:t>一般公共预算财政拨款项目支出2372.59万元，具体使用情</w:t>
      </w:r>
      <w:r>
        <w:rPr>
          <w:spacing w:val="2"/>
        </w:rPr>
        <w:t xml:space="preserve">  </w:t>
      </w:r>
      <w:r>
        <w:rPr>
          <w:spacing w:val="-13"/>
        </w:rPr>
        <w:t>况如下：商品和服务支出147.40万元，为项目的印刷费、差旅费、</w:t>
      </w:r>
      <w:r>
        <w:rPr>
          <w:spacing w:val="4"/>
        </w:rPr>
        <w:t xml:space="preserve"> </w:t>
      </w:r>
      <w:r>
        <w:rPr>
          <w:spacing w:val="-3"/>
        </w:rPr>
        <w:t>专用材料费、专用燃料费、劳务费等支出；资本</w:t>
      </w:r>
      <w:r>
        <w:rPr>
          <w:spacing w:val="-4"/>
        </w:rPr>
        <w:t>性支出(基本建</w:t>
      </w:r>
      <w:r>
        <w:t xml:space="preserve"> </w:t>
      </w:r>
      <w:r>
        <w:rPr>
          <w:spacing w:val="11"/>
        </w:rPr>
        <w:t>设)2000.00万元，为基础设施建设支出；资本性支</w:t>
      </w:r>
      <w:r>
        <w:rPr>
          <w:spacing w:val="10"/>
        </w:rPr>
        <w:t>出225.19</w:t>
      </w:r>
      <w:r>
        <w:t xml:space="preserve">  </w:t>
      </w:r>
      <w:r>
        <w:rPr>
          <w:spacing w:val="-5"/>
        </w:rPr>
        <w:t>万元，为基础设施建设支出。</w:t>
      </w:r>
    </w:p>
    <w:p w14:paraId="40292967">
      <w:pPr>
        <w:pStyle w:val="2"/>
        <w:spacing w:line="220" w:lineRule="auto"/>
        <w:ind w:left="631"/>
      </w:pPr>
      <w:r>
        <w:rPr>
          <w:spacing w:val="-2"/>
        </w:rPr>
        <w:t>三、政府性基金预算支出情况</w:t>
      </w:r>
    </w:p>
    <w:p w14:paraId="71701EEC">
      <w:pPr>
        <w:rPr>
          <w:rFonts w:ascii="Arial"/>
          <w:sz w:val="21"/>
        </w:rPr>
      </w:pPr>
    </w:p>
    <w:p w14:paraId="28CDE448">
      <w:pPr>
        <w:pStyle w:val="2"/>
        <w:spacing w:before="97" w:line="373" w:lineRule="auto"/>
        <w:ind w:left="41" w:right="131" w:firstLine="590"/>
        <w:jc w:val="both"/>
      </w:pPr>
      <w:r>
        <w:rPr>
          <w:spacing w:val="2"/>
        </w:rPr>
        <w:t>2025年度本单位政府性基金预算支出11140.73万元，用于</w:t>
      </w:r>
      <w:r>
        <w:rPr>
          <w:spacing w:val="11"/>
        </w:rPr>
        <w:t xml:space="preserve"> </w:t>
      </w:r>
      <w:r>
        <w:rPr>
          <w:spacing w:val="-7"/>
        </w:rPr>
        <w:t>道县城东片区污水管网建设项目、道县城区老旧污水管网更新改</w:t>
      </w:r>
      <w:r>
        <w:rPr>
          <w:spacing w:val="3"/>
        </w:rPr>
        <w:t xml:space="preserve"> </w:t>
      </w:r>
      <w:r>
        <w:rPr>
          <w:spacing w:val="-8"/>
        </w:rPr>
        <w:t>造项目、道县敦颐学校周边污水治理项目、城区市政设施维修改</w:t>
      </w:r>
      <w:r>
        <w:rPr>
          <w:spacing w:val="11"/>
        </w:rPr>
        <w:t xml:space="preserve"> </w:t>
      </w:r>
      <w:r>
        <w:rPr>
          <w:spacing w:val="-9"/>
        </w:rPr>
        <w:t>造项目、道县城西片区排水箱涵建设项目、清偿拖欠企业账款等</w:t>
      </w:r>
      <w:r>
        <w:rPr>
          <w:spacing w:val="18"/>
        </w:rPr>
        <w:t xml:space="preserve"> </w:t>
      </w:r>
      <w:r>
        <w:rPr>
          <w:spacing w:val="-5"/>
        </w:rPr>
        <w:t>方面。</w:t>
      </w:r>
    </w:p>
    <w:p w14:paraId="45206CEA">
      <w:pPr>
        <w:pStyle w:val="2"/>
        <w:spacing w:before="33" w:line="222" w:lineRule="auto"/>
        <w:ind w:left="631"/>
      </w:pPr>
      <w:r>
        <w:rPr>
          <w:spacing w:val="-7"/>
        </w:rPr>
        <w:t>四</w:t>
      </w:r>
      <w:r>
        <w:rPr>
          <w:spacing w:val="-71"/>
        </w:rPr>
        <w:t xml:space="preserve"> </w:t>
      </w:r>
      <w:r>
        <w:rPr>
          <w:spacing w:val="-7"/>
        </w:rPr>
        <w:t>、国有资本经营预算支出情况</w:t>
      </w:r>
    </w:p>
    <w:p w14:paraId="1D5196EE">
      <w:pPr>
        <w:pStyle w:val="2"/>
        <w:spacing w:before="299" w:line="221" w:lineRule="auto"/>
        <w:ind w:left="621"/>
      </w:pPr>
      <w:r>
        <w:t>2025年度本单位无国有资本经营预算支出。</w:t>
      </w:r>
    </w:p>
    <w:p w14:paraId="7682CC56">
      <w:pPr>
        <w:pStyle w:val="2"/>
        <w:spacing w:before="231" w:line="221" w:lineRule="auto"/>
        <w:ind w:left="631"/>
      </w:pPr>
      <w:r>
        <w:rPr>
          <w:spacing w:val="-2"/>
        </w:rPr>
        <w:t>五、社会保险基金预算支出情况</w:t>
      </w:r>
    </w:p>
    <w:p w14:paraId="7E9CCB1F">
      <w:pPr>
        <w:pStyle w:val="2"/>
        <w:spacing w:before="321" w:line="221" w:lineRule="auto"/>
        <w:ind w:left="601"/>
      </w:pPr>
      <w:r>
        <w:rPr>
          <w:spacing w:val="1"/>
        </w:rPr>
        <w:t>2025年度本单位无社会保险基金预算支出。</w:t>
      </w:r>
    </w:p>
    <w:p w14:paraId="1000D672">
      <w:pPr>
        <w:spacing w:line="221" w:lineRule="auto"/>
        <w:sectPr>
          <w:footerReference r:id="rId9" w:type="default"/>
          <w:pgSz w:w="11920" w:h="16830"/>
          <w:pgMar w:top="1430" w:right="1750" w:bottom="1338" w:left="1788" w:header="0" w:footer="1106" w:gutter="0"/>
          <w:cols w:space="720" w:num="1"/>
        </w:sectPr>
      </w:pPr>
    </w:p>
    <w:p w14:paraId="09FFE003">
      <w:pPr>
        <w:pStyle w:val="2"/>
        <w:spacing w:before="237" w:line="222" w:lineRule="auto"/>
        <w:ind w:left="619"/>
        <w:rPr>
          <w:sz w:val="31"/>
          <w:szCs w:val="31"/>
        </w:rPr>
      </w:pPr>
      <w:r>
        <w:rPr>
          <w:spacing w:val="-12"/>
          <w:sz w:val="31"/>
          <w:szCs w:val="31"/>
        </w:rPr>
        <w:t>六、部门整体支出绩效情况</w:t>
      </w:r>
    </w:p>
    <w:p w14:paraId="2841A350">
      <w:pPr>
        <w:pStyle w:val="2"/>
        <w:spacing w:before="217" w:line="222" w:lineRule="auto"/>
        <w:ind w:left="619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5"/>
          <w:sz w:val="32"/>
          <w:szCs w:val="32"/>
        </w:rPr>
        <w:t xml:space="preserve">1. </w:t>
      </w:r>
      <w:r>
        <w:rPr>
          <w:spacing w:val="-5"/>
          <w:sz w:val="32"/>
          <w:szCs w:val="32"/>
        </w:rPr>
        <w:t>市容秩序与执法效能双提升</w:t>
      </w:r>
    </w:p>
    <w:p w14:paraId="2DA1AC07">
      <w:pPr>
        <w:pStyle w:val="2"/>
        <w:spacing w:before="308" w:line="336" w:lineRule="auto"/>
        <w:ind w:right="12" w:firstLine="619"/>
        <w:rPr>
          <w:sz w:val="32"/>
          <w:szCs w:val="32"/>
        </w:rPr>
      </w:pPr>
      <w:r>
        <w:rPr>
          <w:spacing w:val="7"/>
          <w:sz w:val="32"/>
          <w:szCs w:val="32"/>
        </w:rPr>
        <w:t xml:space="preserve">①专项整治成效显著。累计清理出店经营2000户次、  </w:t>
      </w:r>
      <w:r>
        <w:rPr>
          <w:spacing w:val="13"/>
          <w:sz w:val="32"/>
          <w:szCs w:val="32"/>
        </w:rPr>
        <w:t>流动摊点2000处次，规范设置小推车售卖点4处(管理130</w:t>
      </w:r>
      <w:r>
        <w:rPr>
          <w:sz w:val="32"/>
          <w:szCs w:val="32"/>
        </w:rPr>
        <w:t xml:space="preserve"> </w:t>
      </w:r>
      <w:r>
        <w:rPr>
          <w:spacing w:val="11"/>
          <w:sz w:val="32"/>
          <w:szCs w:val="32"/>
        </w:rPr>
        <w:t>余台)、自产自销果蔬集中销售点：23处(380余个摊位</w:t>
      </w:r>
      <w:r>
        <w:rPr>
          <w:spacing w:val="10"/>
          <w:sz w:val="32"/>
          <w:szCs w:val="32"/>
        </w:rPr>
        <w:t>);</w:t>
      </w:r>
      <w:r>
        <w:rPr>
          <w:sz w:val="32"/>
          <w:szCs w:val="32"/>
        </w:rPr>
        <w:t xml:space="preserve">  </w:t>
      </w:r>
      <w:r>
        <w:rPr>
          <w:spacing w:val="7"/>
          <w:sz w:val="32"/>
          <w:szCs w:val="32"/>
        </w:rPr>
        <w:t>处置违停机动车8000余台次、非机动车4000余</w:t>
      </w:r>
      <w:r>
        <w:rPr>
          <w:spacing w:val="6"/>
          <w:sz w:val="32"/>
          <w:szCs w:val="32"/>
        </w:rPr>
        <w:t>台次，录入</w:t>
      </w:r>
      <w:r>
        <w:rPr>
          <w:sz w:val="32"/>
          <w:szCs w:val="32"/>
        </w:rPr>
        <w:t xml:space="preserve">  </w:t>
      </w:r>
      <w:r>
        <w:rPr>
          <w:spacing w:val="16"/>
          <w:sz w:val="32"/>
          <w:szCs w:val="32"/>
        </w:rPr>
        <w:t>严重违停信息2361</w:t>
      </w:r>
      <w:r>
        <w:rPr>
          <w:spacing w:val="-84"/>
          <w:sz w:val="32"/>
          <w:szCs w:val="32"/>
        </w:rPr>
        <w:t xml:space="preserve"> </w:t>
      </w:r>
      <w:r>
        <w:rPr>
          <w:spacing w:val="16"/>
          <w:sz w:val="32"/>
          <w:szCs w:val="32"/>
        </w:rPr>
        <w:t>辆；拆除存量违建5处(9750平方</w:t>
      </w:r>
      <w:r>
        <w:rPr>
          <w:spacing w:val="15"/>
          <w:sz w:val="32"/>
          <w:szCs w:val="32"/>
        </w:rPr>
        <w:t>米),</w:t>
      </w:r>
      <w:r>
        <w:rPr>
          <w:sz w:val="32"/>
          <w:szCs w:val="32"/>
        </w:rPr>
        <w:t xml:space="preserve"> </w:t>
      </w:r>
      <w:r>
        <w:rPr>
          <w:spacing w:val="-16"/>
          <w:sz w:val="32"/>
          <w:szCs w:val="32"/>
        </w:rPr>
        <w:t>全年累计拆除违建5.4万平方米，新增违建实现“动态清零”。</w:t>
      </w:r>
    </w:p>
    <w:p w14:paraId="23EEA791">
      <w:pPr>
        <w:pStyle w:val="2"/>
        <w:spacing w:before="232" w:line="312" w:lineRule="auto"/>
        <w:ind w:right="145" w:firstLine="619"/>
        <w:rPr>
          <w:sz w:val="32"/>
          <w:szCs w:val="32"/>
        </w:rPr>
      </w:pPr>
      <w:r>
        <w:rPr>
          <w:spacing w:val="9"/>
          <w:sz w:val="32"/>
          <w:szCs w:val="32"/>
        </w:rPr>
        <w:t>②执法规范化推进。审批户外广告及招牌372件(通过</w:t>
      </w:r>
      <w:r>
        <w:rPr>
          <w:sz w:val="32"/>
          <w:szCs w:val="32"/>
        </w:rPr>
        <w:t xml:space="preserve"> </w:t>
      </w:r>
      <w:r>
        <w:rPr>
          <w:spacing w:val="38"/>
          <w:sz w:val="32"/>
          <w:szCs w:val="32"/>
        </w:rPr>
        <w:t>率100%),拆除违规广告227处(1000平方米);依托数</w:t>
      </w:r>
      <w:r>
        <w:rPr>
          <w:spacing w:val="18"/>
          <w:sz w:val="32"/>
          <w:szCs w:val="32"/>
        </w:rPr>
        <w:t xml:space="preserve"> </w:t>
      </w:r>
      <w:r>
        <w:rPr>
          <w:spacing w:val="6"/>
          <w:sz w:val="32"/>
          <w:szCs w:val="32"/>
        </w:rPr>
        <w:t>字城管平台受理案件超3000件，办结率96%。</w:t>
      </w:r>
    </w:p>
    <w:p w14:paraId="33D97B5F">
      <w:pPr>
        <w:pStyle w:val="2"/>
        <w:spacing w:before="236" w:line="221" w:lineRule="auto"/>
        <w:ind w:left="619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2. </w:t>
      </w:r>
      <w:r>
        <w:rPr>
          <w:spacing w:val="-1"/>
          <w:sz w:val="32"/>
          <w:szCs w:val="32"/>
        </w:rPr>
        <w:t>公共服务保障提质</w:t>
      </w:r>
    </w:p>
    <w:p w14:paraId="368657F9">
      <w:pPr>
        <w:pStyle w:val="2"/>
        <w:spacing w:before="273" w:line="331" w:lineRule="auto"/>
        <w:ind w:right="139" w:firstLine="619"/>
        <w:rPr>
          <w:sz w:val="32"/>
          <w:szCs w:val="32"/>
        </w:rPr>
      </w:pPr>
      <w:r>
        <w:rPr>
          <w:spacing w:val="2"/>
          <w:sz w:val="32"/>
          <w:szCs w:val="32"/>
        </w:rPr>
        <w:t xml:space="preserve">①燃气安全筑牢防线。排查燃气用户262户，整改隐患 </w:t>
      </w:r>
      <w:r>
        <w:rPr>
          <w:spacing w:val="28"/>
          <w:sz w:val="32"/>
          <w:szCs w:val="32"/>
        </w:rPr>
        <w:t>200项(整改率100%);新建燃气管道16.5公里、改</w:t>
      </w:r>
      <w:r>
        <w:rPr>
          <w:spacing w:val="27"/>
          <w:sz w:val="32"/>
          <w:szCs w:val="32"/>
        </w:rPr>
        <w:t>造老</w:t>
      </w:r>
      <w:r>
        <w:rPr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旧立管16.5公里；推行瓶装燃气“免费配送至一楼”及“小</w:t>
      </w:r>
      <w:r>
        <w:rPr>
          <w:spacing w:val="3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黄车”全覆盖，12公斤瓶装气价格稳定在</w:t>
      </w:r>
      <w:r>
        <w:rPr>
          <w:sz w:val="32"/>
          <w:szCs w:val="32"/>
        </w:rPr>
        <w:t xml:space="preserve">110元；查处非法 </w:t>
      </w:r>
      <w:r>
        <w:rPr>
          <w:spacing w:val="1"/>
          <w:sz w:val="32"/>
          <w:szCs w:val="32"/>
        </w:rPr>
        <w:t>燃气行为5起，罚款5万元；完成《道县燃气专项规划(2025</w:t>
      </w:r>
      <w:r>
        <w:rPr>
          <w:spacing w:val="10"/>
          <w:sz w:val="32"/>
          <w:szCs w:val="32"/>
        </w:rPr>
        <w:t xml:space="preserve"> </w:t>
      </w:r>
      <w:r>
        <w:rPr>
          <w:spacing w:val="12"/>
          <w:sz w:val="32"/>
          <w:szCs w:val="32"/>
        </w:rPr>
        <w:t>—2035年)》初稿评审。</w:t>
      </w:r>
    </w:p>
    <w:p w14:paraId="3D589EE8">
      <w:pPr>
        <w:pStyle w:val="2"/>
        <w:spacing w:before="304" w:line="305" w:lineRule="auto"/>
        <w:ind w:right="136" w:firstLine="619"/>
        <w:rPr>
          <w:sz w:val="32"/>
          <w:szCs w:val="32"/>
        </w:rPr>
      </w:pPr>
      <w:r>
        <w:rPr>
          <w:spacing w:val="3"/>
          <w:sz w:val="32"/>
          <w:szCs w:val="32"/>
        </w:rPr>
        <w:t>②供水安全持续巩固。新铺管网8.5公里、改造老旧管</w:t>
      </w:r>
      <w:r>
        <w:rPr>
          <w:sz w:val="32"/>
          <w:szCs w:val="32"/>
        </w:rPr>
        <w:t xml:space="preserve"> </w:t>
      </w:r>
      <w:r>
        <w:rPr>
          <w:spacing w:val="11"/>
          <w:sz w:val="32"/>
          <w:szCs w:val="32"/>
        </w:rPr>
        <w:t>网2000米，解决3000余人水压不足问题；抢修漏点600余</w:t>
      </w:r>
      <w:r>
        <w:rPr>
          <w:spacing w:val="8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处，出厂水水质达标率100%。</w:t>
      </w:r>
    </w:p>
    <w:p w14:paraId="54265769">
      <w:pPr>
        <w:pStyle w:val="2"/>
        <w:spacing w:before="265" w:line="222" w:lineRule="auto"/>
        <w:ind w:left="619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>3.</w:t>
      </w:r>
      <w:r>
        <w:rPr>
          <w:rFonts w:ascii="Times New Roman" w:hAnsi="Times New Roman" w:eastAsia="Times New Roman" w:cs="Times New Roman"/>
          <w:spacing w:val="26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市政设施与环境优化</w:t>
      </w:r>
    </w:p>
    <w:p w14:paraId="4D462639">
      <w:pPr>
        <w:spacing w:line="222" w:lineRule="auto"/>
        <w:rPr>
          <w:sz w:val="32"/>
          <w:szCs w:val="32"/>
        </w:rPr>
        <w:sectPr>
          <w:footerReference r:id="rId10" w:type="default"/>
          <w:pgSz w:w="11920" w:h="16830"/>
          <w:pgMar w:top="1430" w:right="1788" w:bottom="400" w:left="1780" w:header="0" w:footer="0" w:gutter="0"/>
          <w:cols w:space="720" w:num="1"/>
        </w:sectPr>
      </w:pPr>
    </w:p>
    <w:p w14:paraId="183CC42D">
      <w:pPr>
        <w:pStyle w:val="2"/>
        <w:spacing w:before="276" w:line="352" w:lineRule="auto"/>
        <w:ind w:left="41" w:right="20" w:firstLine="730"/>
        <w:jc w:val="both"/>
        <w:rPr>
          <w:sz w:val="32"/>
          <w:szCs w:val="32"/>
        </w:rPr>
      </w:pPr>
      <w:r>
        <w:rPr>
          <w:spacing w:val="1"/>
          <w:sz w:val="32"/>
          <w:szCs w:val="32"/>
        </w:rPr>
        <w:t>①市政维护及时到位。修复混凝土/沥青路面1000余平</w:t>
      </w:r>
      <w:r>
        <w:rPr>
          <w:spacing w:val="4"/>
          <w:sz w:val="32"/>
          <w:szCs w:val="32"/>
        </w:rPr>
        <w:t xml:space="preserve"> </w:t>
      </w:r>
      <w:r>
        <w:rPr>
          <w:spacing w:val="10"/>
          <w:sz w:val="32"/>
          <w:szCs w:val="32"/>
        </w:rPr>
        <w:t>方米、人行道板500余平方米，清淤排水管道1250余米，</w:t>
      </w:r>
    </w:p>
    <w:p w14:paraId="08C8DC01">
      <w:pPr>
        <w:pStyle w:val="2"/>
        <w:spacing w:before="1" w:line="354" w:lineRule="auto"/>
        <w:ind w:left="41" w:right="133"/>
        <w:jc w:val="both"/>
        <w:rPr>
          <w:sz w:val="32"/>
          <w:szCs w:val="32"/>
        </w:rPr>
      </w:pPr>
      <w:r>
        <w:rPr>
          <w:spacing w:val="6"/>
          <w:sz w:val="32"/>
          <w:szCs w:val="32"/>
        </w:rPr>
        <w:t>改造积水点5处，修复井盖39套；保障主次干道亮灯率97%</w:t>
      </w:r>
      <w:r>
        <w:rPr>
          <w:sz w:val="32"/>
          <w:szCs w:val="32"/>
        </w:rPr>
        <w:t xml:space="preserve"> </w:t>
      </w:r>
      <w:r>
        <w:rPr>
          <w:spacing w:val="5"/>
          <w:sz w:val="32"/>
          <w:szCs w:val="32"/>
        </w:rPr>
        <w:t>以上，背街小巷新增路灯850余盏。</w:t>
      </w:r>
    </w:p>
    <w:p w14:paraId="55D67205">
      <w:pPr>
        <w:pStyle w:val="2"/>
        <w:spacing w:before="104" w:line="337" w:lineRule="auto"/>
        <w:ind w:left="41" w:right="134" w:firstLine="690"/>
        <w:jc w:val="both"/>
        <w:rPr>
          <w:sz w:val="32"/>
          <w:szCs w:val="32"/>
        </w:rPr>
      </w:pPr>
      <w:r>
        <w:rPr>
          <w:spacing w:val="-3"/>
          <w:sz w:val="32"/>
          <w:szCs w:val="32"/>
        </w:rPr>
        <w:t>②环卫园林品质提升。成功创建“湖南省园林县城”;</w:t>
      </w:r>
      <w:r>
        <w:rPr>
          <w:spacing w:val="9"/>
          <w:sz w:val="32"/>
          <w:szCs w:val="32"/>
        </w:rPr>
        <w:t xml:space="preserve"> </w:t>
      </w:r>
      <w:r>
        <w:rPr>
          <w:spacing w:val="16"/>
          <w:sz w:val="32"/>
          <w:szCs w:val="32"/>
        </w:rPr>
        <w:t>建成4座营阳驿站(敦颐广场驿站获全省“百优驿站”);</w:t>
      </w:r>
      <w:r>
        <w:rPr>
          <w:spacing w:val="1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九井塘公园一期东侧基本完工，白马公园列入县委、县政府</w:t>
      </w:r>
      <w:r>
        <w:rPr>
          <w:spacing w:val="2"/>
          <w:sz w:val="32"/>
          <w:szCs w:val="32"/>
        </w:rPr>
        <w:t xml:space="preserve"> </w:t>
      </w:r>
      <w:r>
        <w:rPr>
          <w:spacing w:val="1"/>
          <w:sz w:val="32"/>
          <w:szCs w:val="32"/>
        </w:rPr>
        <w:t>“十大重点民生实事”。</w:t>
      </w:r>
    </w:p>
    <w:p w14:paraId="13A92506">
      <w:pPr>
        <w:pStyle w:val="2"/>
        <w:spacing w:before="73" w:line="222" w:lineRule="auto"/>
        <w:ind w:left="732"/>
        <w:rPr>
          <w:sz w:val="32"/>
          <w:szCs w:val="32"/>
        </w:rPr>
      </w:pPr>
      <w:r>
        <w:rPr>
          <w:spacing w:val="-1"/>
          <w:sz w:val="32"/>
          <w:szCs w:val="32"/>
        </w:rPr>
        <w:t>4.重点项目有力有序推进</w:t>
      </w:r>
    </w:p>
    <w:p w14:paraId="4507058A">
      <w:pPr>
        <w:pStyle w:val="2"/>
        <w:spacing w:before="324" w:line="358" w:lineRule="auto"/>
        <w:ind w:left="31" w:right="62" w:firstLine="700"/>
        <w:jc w:val="both"/>
        <w:rPr>
          <w:sz w:val="32"/>
          <w:szCs w:val="32"/>
        </w:rPr>
      </w:pPr>
      <w:r>
        <w:rPr>
          <w:spacing w:val="-6"/>
          <w:sz w:val="32"/>
          <w:szCs w:val="32"/>
        </w:rPr>
        <w:t>重大项目是经济社会高质量发展的“加速器”和“压舱</w:t>
      </w:r>
      <w:r>
        <w:rPr>
          <w:spacing w:val="12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石”。今年以来，我局坚持“项目为王”目标导</w:t>
      </w:r>
      <w:r>
        <w:rPr>
          <w:spacing w:val="-5"/>
          <w:sz w:val="32"/>
          <w:szCs w:val="32"/>
        </w:rPr>
        <w:t>向，紧盯建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设目标，抓住关键环节，强化协调配合，全力以赴推进重点</w:t>
      </w:r>
      <w:r>
        <w:rPr>
          <w:spacing w:val="18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项目建设。敦颐学校周边污水治理全面完工；道县城西污水</w:t>
      </w:r>
      <w:r>
        <w:rPr>
          <w:sz w:val="32"/>
          <w:szCs w:val="32"/>
        </w:rPr>
        <w:t xml:space="preserve"> </w:t>
      </w:r>
      <w:r>
        <w:rPr>
          <w:spacing w:val="13"/>
          <w:sz w:val="32"/>
          <w:szCs w:val="32"/>
        </w:rPr>
        <w:t>处理厂建设项目(一期)已完成300米管道铺设，施工有序</w:t>
      </w:r>
      <w:r>
        <w:rPr>
          <w:spacing w:val="9"/>
          <w:sz w:val="32"/>
          <w:szCs w:val="32"/>
        </w:rPr>
        <w:t xml:space="preserve"> </w:t>
      </w:r>
      <w:r>
        <w:rPr>
          <w:spacing w:val="8"/>
          <w:sz w:val="32"/>
          <w:szCs w:val="32"/>
        </w:rPr>
        <w:t>推进；县城生活污水处理厂建设项目二期(</w:t>
      </w:r>
      <w:r>
        <w:rPr>
          <w:spacing w:val="7"/>
          <w:sz w:val="32"/>
          <w:szCs w:val="32"/>
        </w:rPr>
        <w:t>一期)已完成招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投标工作，目前正在开展施工图设计及预算编制工作，启动</w:t>
      </w:r>
      <w:r>
        <w:rPr>
          <w:spacing w:val="10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青苗补偿及临时用地租赁工作；永州市南部餐厨垃圾再生利</w:t>
      </w:r>
      <w:r>
        <w:rPr>
          <w:spacing w:val="2"/>
          <w:sz w:val="32"/>
          <w:szCs w:val="32"/>
        </w:rPr>
        <w:t xml:space="preserve"> </w:t>
      </w:r>
      <w:r>
        <w:rPr>
          <w:spacing w:val="19"/>
          <w:sz w:val="32"/>
          <w:szCs w:val="32"/>
        </w:rPr>
        <w:t>用中心建设项目(一期)已挂网招标，预计12月26日在市</w:t>
      </w:r>
      <w:r>
        <w:rPr>
          <w:spacing w:val="17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公共资源交易中心开标、评标；城区老旧污水管网更新改造</w:t>
      </w:r>
      <w:r>
        <w:rPr>
          <w:spacing w:val="1"/>
          <w:sz w:val="32"/>
          <w:szCs w:val="32"/>
        </w:rPr>
        <w:t xml:space="preserve"> </w:t>
      </w:r>
      <w:r>
        <w:rPr>
          <w:spacing w:val="17"/>
          <w:sz w:val="32"/>
          <w:szCs w:val="32"/>
        </w:rPr>
        <w:t>项目(一)期已完成管道铺设1400米，占总工程量的78%;</w:t>
      </w:r>
      <w:r>
        <w:rPr>
          <w:spacing w:val="14"/>
          <w:sz w:val="32"/>
          <w:szCs w:val="32"/>
        </w:rPr>
        <w:t xml:space="preserve"> </w:t>
      </w:r>
      <w:r>
        <w:rPr>
          <w:spacing w:val="7"/>
          <w:sz w:val="32"/>
          <w:szCs w:val="32"/>
        </w:rPr>
        <w:t>城区老旧污水管网更新改造项目(二期)、</w:t>
      </w:r>
      <w:r>
        <w:rPr>
          <w:spacing w:val="6"/>
          <w:sz w:val="32"/>
          <w:szCs w:val="32"/>
        </w:rPr>
        <w:t>城西片区排水箱</w:t>
      </w:r>
      <w:r>
        <w:rPr>
          <w:sz w:val="32"/>
          <w:szCs w:val="32"/>
        </w:rPr>
        <w:t xml:space="preserve"> </w:t>
      </w:r>
      <w:r>
        <w:rPr>
          <w:spacing w:val="7"/>
          <w:sz w:val="32"/>
          <w:szCs w:val="32"/>
        </w:rPr>
        <w:t>涵建设项目(一期)已完成招投标工作并开工建设；城东污</w:t>
      </w:r>
    </w:p>
    <w:p w14:paraId="30E0FC1E">
      <w:pPr>
        <w:spacing w:line="358" w:lineRule="auto"/>
        <w:rPr>
          <w:sz w:val="32"/>
          <w:szCs w:val="32"/>
        </w:rPr>
        <w:sectPr>
          <w:footerReference r:id="rId11" w:type="default"/>
          <w:pgSz w:w="11920" w:h="16830"/>
          <w:pgMar w:top="1430" w:right="1788" w:bottom="1317" w:left="1788" w:header="0" w:footer="1112" w:gutter="0"/>
          <w:cols w:space="720" w:num="1"/>
        </w:sectPr>
      </w:pPr>
    </w:p>
    <w:p w14:paraId="526CABEC">
      <w:pPr>
        <w:pStyle w:val="2"/>
        <w:spacing w:before="247" w:line="368" w:lineRule="auto"/>
        <w:ind w:left="12" w:right="89"/>
        <w:jc w:val="both"/>
        <w:rPr>
          <w:sz w:val="32"/>
          <w:szCs w:val="32"/>
        </w:rPr>
      </w:pPr>
      <w:r>
        <w:rPr>
          <w:spacing w:val="28"/>
        </w:rPr>
        <w:t>水管网建设项目(一期)、城区老旧污水管网更新改造项目</w:t>
      </w:r>
      <w:r>
        <w:rPr>
          <w:spacing w:val="5"/>
        </w:rPr>
        <w:t xml:space="preserve"> </w:t>
      </w:r>
      <w:r>
        <w:rPr>
          <w:spacing w:val="21"/>
          <w:sz w:val="32"/>
          <w:szCs w:val="32"/>
        </w:rPr>
        <w:t>(三期)已完成施工图设计及预算，预计12月底可挂网招</w:t>
      </w:r>
      <w:r>
        <w:rPr>
          <w:spacing w:val="15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标；排涝泵站建设项目主体完工。</w:t>
      </w:r>
    </w:p>
    <w:p w14:paraId="07630E41">
      <w:pPr>
        <w:pStyle w:val="2"/>
        <w:spacing w:line="223" w:lineRule="auto"/>
        <w:ind w:left="621"/>
        <w:rPr>
          <w:sz w:val="32"/>
          <w:szCs w:val="32"/>
        </w:rPr>
      </w:pPr>
      <w:r>
        <w:rPr>
          <w:spacing w:val="-1"/>
          <w:sz w:val="32"/>
          <w:szCs w:val="32"/>
        </w:rPr>
        <w:t>5.智慧城管升级</w:t>
      </w:r>
    </w:p>
    <w:p w14:paraId="4FC7A842">
      <w:pPr>
        <w:pStyle w:val="2"/>
        <w:spacing w:before="228" w:line="306" w:lineRule="auto"/>
        <w:ind w:left="12" w:right="201" w:firstLine="609"/>
        <w:rPr>
          <w:sz w:val="31"/>
          <w:szCs w:val="31"/>
        </w:rPr>
      </w:pPr>
      <w:r>
        <w:rPr>
          <w:spacing w:val="15"/>
          <w:sz w:val="31"/>
          <w:szCs w:val="31"/>
        </w:rPr>
        <w:t>推广“非现场执法”“无人机巡检”;数字城管12345</w:t>
      </w:r>
      <w:r>
        <w:rPr>
          <w:sz w:val="31"/>
          <w:szCs w:val="31"/>
        </w:rPr>
        <w:t xml:space="preserve"> </w:t>
      </w:r>
      <w:r>
        <w:rPr>
          <w:spacing w:val="18"/>
          <w:sz w:val="31"/>
          <w:szCs w:val="31"/>
        </w:rPr>
        <w:t>联动处置案件投诉响应率100%,办结率96%。</w:t>
      </w:r>
    </w:p>
    <w:p w14:paraId="16830748">
      <w:pPr>
        <w:pStyle w:val="2"/>
        <w:spacing w:line="219" w:lineRule="auto"/>
        <w:ind w:left="621"/>
      </w:pPr>
      <w:r>
        <w:rPr>
          <w:spacing w:val="-2"/>
        </w:rPr>
        <w:t>七、存在的问题及原因分析</w:t>
      </w:r>
    </w:p>
    <w:p w14:paraId="0D5CB5B8">
      <w:pPr>
        <w:pStyle w:val="2"/>
        <w:spacing w:before="305" w:line="306" w:lineRule="auto"/>
        <w:ind w:left="12" w:right="104" w:firstLine="609"/>
      </w:pPr>
      <w:r>
        <w:rPr>
          <w:rFonts w:ascii="Times New Roman" w:hAnsi="Times New Roman" w:eastAsia="Times New Roman" w:cs="Times New Roman"/>
          <w:spacing w:val="-3"/>
        </w:rPr>
        <w:t>1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rFonts w:ascii="宋体" w:hAnsi="宋体" w:eastAsia="宋体" w:cs="宋体"/>
          <w:spacing w:val="-3"/>
        </w:rPr>
        <w:t>、</w:t>
      </w:r>
      <w:r>
        <w:rPr>
          <w:spacing w:val="-3"/>
        </w:rPr>
        <w:t>预算绩效管理机制有待进一步完善，需进一步结合工作</w:t>
      </w:r>
      <w:r>
        <w:t xml:space="preserve"> </w:t>
      </w:r>
      <w:r>
        <w:rPr>
          <w:spacing w:val="-5"/>
        </w:rPr>
        <w:t>实际完善资金管理文件办法等。</w:t>
      </w:r>
    </w:p>
    <w:p w14:paraId="31D42134">
      <w:pPr>
        <w:pStyle w:val="2"/>
        <w:spacing w:before="254" w:line="283" w:lineRule="auto"/>
        <w:ind w:left="12" w:right="86" w:firstLine="609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>2</w:t>
      </w:r>
      <w:r>
        <w:rPr>
          <w:rFonts w:ascii="Times New Roman" w:hAnsi="Times New Roman" w:eastAsia="Times New Roman" w:cs="Times New Roman"/>
          <w:spacing w:val="-37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-12"/>
          <w:sz w:val="31"/>
          <w:szCs w:val="31"/>
        </w:rPr>
        <w:t>、</w:t>
      </w:r>
      <w:r>
        <w:rPr>
          <w:spacing w:val="-12"/>
          <w:sz w:val="31"/>
          <w:szCs w:val="31"/>
        </w:rPr>
        <w:t>绩效目标设定不够细化，绩效目标的科学性、合理性以</w:t>
      </w:r>
      <w:r>
        <w:rPr>
          <w:sz w:val="31"/>
          <w:szCs w:val="31"/>
        </w:rPr>
        <w:t xml:space="preserve"> </w:t>
      </w:r>
      <w:r>
        <w:rPr>
          <w:spacing w:val="-14"/>
          <w:sz w:val="31"/>
          <w:szCs w:val="31"/>
        </w:rPr>
        <w:t>及量化可考核性有待进一步加强。</w:t>
      </w:r>
    </w:p>
    <w:p w14:paraId="2FA95703">
      <w:pPr>
        <w:pStyle w:val="2"/>
        <w:spacing w:before="302" w:line="221" w:lineRule="auto"/>
        <w:ind w:left="621"/>
      </w:pP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rFonts w:ascii="Times New Roman" w:hAnsi="Times New Roman" w:eastAsia="Times New Roman" w:cs="Times New Roman"/>
          <w:spacing w:val="-43"/>
        </w:rPr>
        <w:t xml:space="preserve"> </w:t>
      </w:r>
      <w:r>
        <w:rPr>
          <w:rFonts w:ascii="宋体" w:hAnsi="宋体" w:eastAsia="宋体" w:cs="宋体"/>
          <w:spacing w:val="-6"/>
        </w:rPr>
        <w:t>、</w:t>
      </w:r>
      <w:r>
        <w:rPr>
          <w:spacing w:val="-6"/>
        </w:rPr>
        <w:t>内控制度执行有待进一步规范。</w:t>
      </w:r>
    </w:p>
    <w:p w14:paraId="219FA093">
      <w:pPr>
        <w:pStyle w:val="2"/>
        <w:spacing w:before="269" w:line="219" w:lineRule="auto"/>
        <w:ind w:left="621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3"/>
          <w:sz w:val="31"/>
          <w:szCs w:val="31"/>
        </w:rPr>
        <w:t>4</w:t>
      </w:r>
      <w:r>
        <w:rPr>
          <w:rFonts w:ascii="Times New Roman" w:hAnsi="Times New Roman" w:eastAsia="Times New Roman" w:cs="Times New Roman"/>
          <w:spacing w:val="-31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3"/>
          <w:sz w:val="31"/>
          <w:szCs w:val="31"/>
        </w:rPr>
        <w:t>、</w:t>
      </w:r>
      <w:r>
        <w:rPr>
          <w:spacing w:val="3"/>
          <w:sz w:val="31"/>
          <w:szCs w:val="31"/>
        </w:rPr>
        <w:t>存在预算资金不够细，支出与预算不够专的问题。</w:t>
      </w:r>
    </w:p>
    <w:p w14:paraId="73F966B9">
      <w:pPr>
        <w:pStyle w:val="2"/>
        <w:spacing w:before="227" w:line="272" w:lineRule="auto"/>
        <w:ind w:left="12" w:right="100" w:firstLine="679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5</w:t>
      </w:r>
      <w:r>
        <w:rPr>
          <w:rFonts w:ascii="Times New Roman" w:hAnsi="Times New Roman" w:eastAsia="Times New Roman" w:cs="Times New Roman"/>
          <w:spacing w:val="-45"/>
          <w:sz w:val="32"/>
          <w:szCs w:val="32"/>
        </w:rPr>
        <w:t xml:space="preserve"> </w:t>
      </w:r>
      <w:r>
        <w:rPr>
          <w:rFonts w:ascii="宋体" w:hAnsi="宋体" w:eastAsia="宋体" w:cs="宋体"/>
          <w:sz w:val="32"/>
          <w:szCs w:val="32"/>
        </w:rPr>
        <w:t>、</w:t>
      </w:r>
      <w:r>
        <w:rPr>
          <w:sz w:val="32"/>
          <w:szCs w:val="32"/>
        </w:rPr>
        <w:t>资金到位比较滞后，甚至不到位，致使</w:t>
      </w:r>
      <w:r>
        <w:rPr>
          <w:spacing w:val="-1"/>
          <w:sz w:val="32"/>
          <w:szCs w:val="32"/>
        </w:rPr>
        <w:t>项目建设速</w:t>
      </w:r>
      <w:r>
        <w:rPr>
          <w:sz w:val="32"/>
          <w:szCs w:val="32"/>
        </w:rPr>
        <w:t xml:space="preserve"> </w:t>
      </w:r>
      <w:r>
        <w:rPr>
          <w:spacing w:val="-9"/>
          <w:sz w:val="32"/>
          <w:szCs w:val="32"/>
        </w:rPr>
        <w:t>度相对滞后。</w:t>
      </w:r>
    </w:p>
    <w:p w14:paraId="7F9E9EC4">
      <w:pPr>
        <w:pStyle w:val="2"/>
        <w:spacing w:before="158" w:line="222" w:lineRule="auto"/>
        <w:ind w:left="621"/>
        <w:rPr>
          <w:sz w:val="32"/>
          <w:szCs w:val="32"/>
        </w:rPr>
      </w:pPr>
      <w:r>
        <w:rPr>
          <w:spacing w:val="-21"/>
          <w:sz w:val="32"/>
          <w:szCs w:val="32"/>
        </w:rPr>
        <w:t>八、下一步改进措施</w:t>
      </w:r>
    </w:p>
    <w:p w14:paraId="2AD32846">
      <w:pPr>
        <w:pStyle w:val="2"/>
        <w:spacing w:before="297" w:line="369" w:lineRule="auto"/>
        <w:ind w:left="12" w:right="31" w:firstLine="609"/>
        <w:jc w:val="both"/>
        <w:rPr>
          <w:sz w:val="31"/>
          <w:szCs w:val="31"/>
        </w:rPr>
      </w:pP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1</w:t>
      </w:r>
      <w:r>
        <w:rPr>
          <w:rFonts w:ascii="宋体" w:hAnsi="宋体" w:eastAsia="宋体" w:cs="宋体"/>
          <w:spacing w:val="-1"/>
          <w:sz w:val="31"/>
          <w:szCs w:val="31"/>
        </w:rPr>
        <w:t>、</w:t>
      </w:r>
      <w:r>
        <w:rPr>
          <w:spacing w:val="-1"/>
          <w:sz w:val="31"/>
          <w:szCs w:val="31"/>
        </w:rPr>
        <w:t>规范账务处理，提高财务信息质量。严格按照《会计</w:t>
      </w:r>
      <w:r>
        <w:rPr>
          <w:spacing w:val="10"/>
          <w:sz w:val="31"/>
          <w:szCs w:val="31"/>
        </w:rPr>
        <w:t xml:space="preserve"> </w:t>
      </w:r>
      <w:r>
        <w:rPr>
          <w:spacing w:val="4"/>
          <w:sz w:val="31"/>
          <w:szCs w:val="31"/>
        </w:rPr>
        <w:t>法》、《政府会计制度》等规定执行财务核算，并结合实际</w:t>
      </w:r>
      <w:r>
        <w:rPr>
          <w:spacing w:val="2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情况，完整、准确地披露相关信息，做到决算与预算相衔接。</w:t>
      </w:r>
      <w:r>
        <w:rPr>
          <w:spacing w:val="10"/>
          <w:sz w:val="31"/>
          <w:szCs w:val="31"/>
        </w:rPr>
        <w:t xml:space="preserve"> </w:t>
      </w:r>
      <w:r>
        <w:rPr>
          <w:spacing w:val="-18"/>
          <w:sz w:val="31"/>
          <w:szCs w:val="31"/>
        </w:rPr>
        <w:t>财务部门应加强与各部门的沟通，了解具体的事</w:t>
      </w:r>
      <w:r>
        <w:rPr>
          <w:spacing w:val="-19"/>
          <w:sz w:val="31"/>
          <w:szCs w:val="31"/>
        </w:rPr>
        <w:t>项，合理安排资</w:t>
      </w:r>
      <w:r>
        <w:rPr>
          <w:sz w:val="31"/>
          <w:szCs w:val="31"/>
        </w:rPr>
        <w:t xml:space="preserve"> </w:t>
      </w:r>
      <w:r>
        <w:rPr>
          <w:spacing w:val="-19"/>
          <w:sz w:val="31"/>
          <w:szCs w:val="31"/>
        </w:rPr>
        <w:t>金支付，提高财务核算的准确性，加强人才队伍建设，提高业务</w:t>
      </w:r>
      <w:r>
        <w:rPr>
          <w:spacing w:val="4"/>
          <w:sz w:val="31"/>
          <w:szCs w:val="31"/>
        </w:rPr>
        <w:t xml:space="preserve">  </w:t>
      </w:r>
      <w:r>
        <w:rPr>
          <w:spacing w:val="-13"/>
          <w:sz w:val="31"/>
          <w:szCs w:val="31"/>
        </w:rPr>
        <w:t>能力水平。</w:t>
      </w:r>
    </w:p>
    <w:p w14:paraId="601BD65A">
      <w:pPr>
        <w:spacing w:line="369" w:lineRule="auto"/>
        <w:rPr>
          <w:sz w:val="31"/>
          <w:szCs w:val="31"/>
        </w:rPr>
        <w:sectPr>
          <w:footerReference r:id="rId12" w:type="default"/>
          <w:pgSz w:w="11920" w:h="16830"/>
          <w:pgMar w:top="1430" w:right="1788" w:bottom="1265" w:left="1788" w:header="0" w:footer="1103" w:gutter="0"/>
          <w:cols w:space="720" w:num="1"/>
        </w:sectPr>
      </w:pPr>
    </w:p>
    <w:p w14:paraId="01D33F6B">
      <w:pPr>
        <w:pStyle w:val="2"/>
        <w:spacing w:before="278" w:line="324" w:lineRule="auto"/>
        <w:ind w:left="123" w:firstLine="600"/>
      </w:pPr>
      <w:r>
        <w:rPr>
          <w:rFonts w:ascii="Times New Roman" w:hAnsi="Times New Roman" w:eastAsia="Times New Roman" w:cs="Times New Roman"/>
          <w:spacing w:val="-6"/>
        </w:rPr>
        <w:t>2</w:t>
      </w:r>
      <w:r>
        <w:rPr>
          <w:rFonts w:ascii="Times New Roman" w:hAnsi="Times New Roman" w:eastAsia="Times New Roman" w:cs="Times New Roman"/>
          <w:spacing w:val="-40"/>
        </w:rPr>
        <w:t xml:space="preserve"> </w:t>
      </w:r>
      <w:r>
        <w:rPr>
          <w:rFonts w:ascii="宋体" w:hAnsi="宋体" w:eastAsia="宋体" w:cs="宋体"/>
          <w:spacing w:val="-6"/>
        </w:rPr>
        <w:t>、</w:t>
      </w:r>
      <w:r>
        <w:rPr>
          <w:spacing w:val="-6"/>
        </w:rPr>
        <w:t>明确职责，加强项目管理。一是应针对每一个项目制定</w:t>
      </w:r>
      <w:r>
        <w:t xml:space="preserve"> </w:t>
      </w:r>
      <w:r>
        <w:rPr>
          <w:spacing w:val="-16"/>
        </w:rPr>
        <w:t>工作目标，科学编制和细化预算，做到预算有目标，</w:t>
      </w:r>
      <w:r>
        <w:rPr>
          <w:color w:val="606070"/>
          <w:spacing w:val="-16"/>
        </w:rPr>
        <w:t>执行有细则，</w:t>
      </w:r>
      <w:r>
        <w:rPr>
          <w:color w:val="606070"/>
          <w:spacing w:val="12"/>
        </w:rPr>
        <w:t xml:space="preserve"> </w:t>
      </w:r>
      <w:r>
        <w:rPr>
          <w:color w:val="606070"/>
          <w:spacing w:val="-4"/>
        </w:rPr>
        <w:t>控制专项支出，提高资金的使用效益。</w:t>
      </w:r>
    </w:p>
    <w:p w14:paraId="02C9A228">
      <w:pPr>
        <w:pStyle w:val="2"/>
        <w:spacing w:before="277" w:line="308" w:lineRule="auto"/>
        <w:ind w:left="123" w:right="75" w:firstLine="600"/>
        <w:rPr>
          <w:sz w:val="32"/>
          <w:szCs w:val="32"/>
        </w:rPr>
      </w:pPr>
      <w:r>
        <w:rPr>
          <w:spacing w:val="2"/>
          <w:sz w:val="32"/>
          <w:szCs w:val="32"/>
        </w:rPr>
        <w:t>3、通过对预算绩效管理工作的制度、流程和职责的梳</w:t>
      </w:r>
      <w:r>
        <w:rPr>
          <w:spacing w:val="1"/>
          <w:sz w:val="32"/>
          <w:szCs w:val="32"/>
        </w:rPr>
        <w:t xml:space="preserve"> </w:t>
      </w:r>
      <w:r>
        <w:rPr>
          <w:spacing w:val="7"/>
          <w:sz w:val="32"/>
          <w:szCs w:val="32"/>
        </w:rPr>
        <w:t>理，制定适应单位特点的预算绩效管理制度及相关</w:t>
      </w:r>
      <w:r>
        <w:rPr>
          <w:spacing w:val="6"/>
          <w:sz w:val="32"/>
          <w:szCs w:val="32"/>
        </w:rPr>
        <w:t>实施细</w:t>
      </w:r>
      <w:r>
        <w:rPr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则，以提升预算绩效管理工作的整体规划性。</w:t>
      </w:r>
    </w:p>
    <w:p w14:paraId="5E70B1EC">
      <w:pPr>
        <w:pStyle w:val="2"/>
        <w:spacing w:before="252" w:line="290" w:lineRule="auto"/>
        <w:ind w:left="123" w:right="89" w:firstLine="600"/>
        <w:rPr>
          <w:sz w:val="32"/>
          <w:szCs w:val="32"/>
        </w:rPr>
      </w:pPr>
      <w:r>
        <w:rPr>
          <w:spacing w:val="1"/>
          <w:sz w:val="32"/>
          <w:szCs w:val="32"/>
        </w:rPr>
        <w:t>4、构建更为科学合理的财政资金绩效评价体系，合理</w:t>
      </w:r>
      <w:r>
        <w:rPr>
          <w:spacing w:val="14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化设置绩效目标指标体系，充分激发科技创新活力。</w:t>
      </w:r>
    </w:p>
    <w:p w14:paraId="641E2624">
      <w:pPr>
        <w:pStyle w:val="2"/>
        <w:spacing w:before="230" w:line="312" w:lineRule="auto"/>
        <w:ind w:left="123" w:right="77" w:firstLine="600"/>
        <w:rPr>
          <w:sz w:val="32"/>
          <w:szCs w:val="32"/>
        </w:rPr>
      </w:pPr>
      <w:r>
        <w:rPr>
          <w:spacing w:val="2"/>
          <w:sz w:val="32"/>
          <w:szCs w:val="32"/>
        </w:rPr>
        <w:t xml:space="preserve">5、加强内控管理保障各项工作合规进行，通过定期绩 </w:t>
      </w:r>
      <w:r>
        <w:rPr>
          <w:spacing w:val="-6"/>
          <w:sz w:val="32"/>
          <w:szCs w:val="32"/>
        </w:rPr>
        <w:t>效评价规范内控执行，并根据绩效评价结果及时纠偏，确保</w:t>
      </w:r>
      <w:r>
        <w:rPr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内控执行的有效性。</w:t>
      </w:r>
    </w:p>
    <w:p w14:paraId="3E5E8C09">
      <w:pPr>
        <w:pStyle w:val="2"/>
        <w:spacing w:before="262" w:line="222" w:lineRule="auto"/>
        <w:ind w:left="563"/>
      </w:pPr>
      <w:r>
        <w:rPr>
          <w:spacing w:val="-1"/>
        </w:rPr>
        <w:t>九、绩效自评结果拟应用和公开情况</w:t>
      </w:r>
    </w:p>
    <w:p w14:paraId="26307C8C">
      <w:pPr>
        <w:pStyle w:val="2"/>
        <w:spacing w:before="264" w:line="219" w:lineRule="auto"/>
        <w:ind w:left="563"/>
      </w:pPr>
      <w:r>
        <w:rPr>
          <w:spacing w:val="-4"/>
        </w:rPr>
        <w:t>按照要求将部门整体支出自评结果在部门门户网站进行公</w:t>
      </w:r>
    </w:p>
    <w:p w14:paraId="6FABBBFA">
      <w:pPr>
        <w:pStyle w:val="2"/>
        <w:spacing w:before="257" w:line="379" w:lineRule="auto"/>
        <w:ind w:left="53" w:right="90"/>
      </w:pPr>
      <w:r>
        <w:rPr>
          <w:spacing w:val="-8"/>
        </w:rPr>
        <w:t>开，优化支出结构、完善相关办法、改进预算管理。强化结果应</w:t>
      </w:r>
      <w:r>
        <w:rPr>
          <w:spacing w:val="13"/>
        </w:rPr>
        <w:t xml:space="preserve"> </w:t>
      </w:r>
      <w:r>
        <w:rPr>
          <w:spacing w:val="-6"/>
        </w:rPr>
        <w:t>用，建立完善评价结果与预算调整、改进管理、完善</w:t>
      </w:r>
      <w:r>
        <w:rPr>
          <w:spacing w:val="-7"/>
        </w:rPr>
        <w:t>政策挂钩机</w:t>
      </w:r>
      <w:r>
        <w:t xml:space="preserve"> </w:t>
      </w:r>
      <w:r>
        <w:rPr>
          <w:spacing w:val="-16"/>
        </w:rPr>
        <w:t>制。</w:t>
      </w:r>
    </w:p>
    <w:p w14:paraId="28F58E48">
      <w:pPr>
        <w:pStyle w:val="2"/>
        <w:spacing w:before="22" w:line="222" w:lineRule="auto"/>
        <w:ind w:left="563"/>
      </w:pPr>
      <w:r>
        <w:rPr>
          <w:spacing w:val="-2"/>
        </w:rPr>
        <w:t>十、其他需要说明的情况</w:t>
      </w:r>
    </w:p>
    <w:p w14:paraId="080F693E">
      <w:pPr>
        <w:pStyle w:val="2"/>
        <w:spacing w:before="266" w:line="225" w:lineRule="auto"/>
        <w:ind w:left="523"/>
      </w:pPr>
      <w:r>
        <w:rPr>
          <w:spacing w:val="-12"/>
        </w:rPr>
        <w:t>无。</w:t>
      </w:r>
    </w:p>
    <w:p w14:paraId="3429F3F8">
      <w:pPr>
        <w:spacing w:line="255" w:lineRule="auto"/>
        <w:rPr>
          <w:rFonts w:ascii="Arial"/>
          <w:sz w:val="21"/>
        </w:rPr>
      </w:pPr>
    </w:p>
    <w:p w14:paraId="09AA8763">
      <w:pPr>
        <w:spacing w:line="255" w:lineRule="auto"/>
        <w:rPr>
          <w:rFonts w:ascii="Arial"/>
          <w:sz w:val="21"/>
        </w:rPr>
      </w:pPr>
    </w:p>
    <w:p w14:paraId="38AC8A19">
      <w:pPr>
        <w:spacing w:line="256" w:lineRule="auto"/>
        <w:rPr>
          <w:rFonts w:ascii="Arial"/>
          <w:sz w:val="21"/>
        </w:rPr>
      </w:pPr>
    </w:p>
    <w:p w14:paraId="7B0952B5">
      <w:pPr>
        <w:spacing w:line="256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-6021070</wp:posOffset>
            </wp:positionH>
            <wp:positionV relativeFrom="paragraph">
              <wp:posOffset>154940</wp:posOffset>
            </wp:positionV>
            <wp:extent cx="1466850" cy="15049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6689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440CF3">
      <w:pPr>
        <w:pStyle w:val="2"/>
        <w:spacing w:before="91" w:line="222" w:lineRule="auto"/>
        <w:ind w:left="4723"/>
        <w:rPr>
          <w:sz w:val="28"/>
          <w:szCs w:val="28"/>
        </w:rPr>
      </w:pPr>
      <w:r>
        <w:rPr>
          <w:spacing w:val="13"/>
          <w:sz w:val="28"/>
          <w:szCs w:val="28"/>
        </w:rPr>
        <w:t>道县城市管理和综合执法局</w:t>
      </w:r>
    </w:p>
    <w:p w14:paraId="419B0E3C">
      <w:pPr>
        <w:pStyle w:val="2"/>
        <w:spacing w:before="243" w:line="222" w:lineRule="auto"/>
        <w:ind w:left="5363"/>
        <w:rPr>
          <w:sz w:val="28"/>
          <w:szCs w:val="28"/>
        </w:rPr>
      </w:pPr>
      <w:r>
        <w:rPr>
          <w:spacing w:val="42"/>
          <w:w w:val="102"/>
          <w:sz w:val="28"/>
          <w:szCs w:val="28"/>
        </w:rPr>
        <w:t>2026年6月13日</w:t>
      </w:r>
    </w:p>
    <w:sectPr>
      <w:footerReference r:id="rId13" w:type="default"/>
      <w:pgSz w:w="11910" w:h="16830"/>
      <w:pgMar w:top="1430" w:right="1750" w:bottom="1265" w:left="1786" w:header="0" w:footer="110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39C3B">
    <w:pPr>
      <w:spacing w:line="176" w:lineRule="auto"/>
      <w:ind w:left="410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06633">
    <w:pPr>
      <w:spacing w:line="221" w:lineRule="exact"/>
      <w:ind w:left="4079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position w:val="1"/>
        <w:sz w:val="17"/>
        <w:szCs w:val="17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C3585">
    <w:pPr>
      <w:spacing w:line="174" w:lineRule="auto"/>
      <w:ind w:left="4102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07664">
    <w:pPr>
      <w:spacing w:line="171" w:lineRule="auto"/>
      <w:ind w:left="4071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71F9C">
    <w:pPr>
      <w:spacing w:line="221" w:lineRule="exact"/>
      <w:ind w:left="4102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position w:val="1"/>
        <w:sz w:val="17"/>
        <w:szCs w:val="17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3A3B8"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936B5">
    <w:pPr>
      <w:spacing w:line="194" w:lineRule="exact"/>
      <w:ind w:left="4102"/>
      <w:rPr>
        <w:rFonts w:ascii="Arial" w:hAnsi="Arial" w:eastAsia="Arial" w:cs="Arial"/>
        <w:sz w:val="15"/>
        <w:szCs w:val="15"/>
      </w:rPr>
    </w:pPr>
    <w:r>
      <w:rPr>
        <w:rFonts w:ascii="Arial" w:hAnsi="Arial" w:eastAsia="Arial" w:cs="Arial"/>
        <w:position w:val="1"/>
        <w:sz w:val="15"/>
        <w:szCs w:val="15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D1FBB">
    <w:pPr>
      <w:spacing w:line="176" w:lineRule="auto"/>
      <w:ind w:left="4102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64962">
    <w:pPr>
      <w:spacing w:line="176" w:lineRule="auto"/>
      <w:ind w:left="4083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6"/>
        <w:sz w:val="18"/>
        <w:szCs w:val="18"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196FAD"/>
    <w:rsid w:val="190C6389"/>
    <w:rsid w:val="4AD94B37"/>
    <w:rsid w:val="534944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.png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4465</Words>
  <Characters>4849</Characters>
  <TotalTime>0</TotalTime>
  <ScaleCrop>false</ScaleCrop>
  <LinksUpToDate>false</LinksUpToDate>
  <CharactersWithSpaces>5013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2026-09-05T14:51:00Z</dcterms:created>
  <dc:creator>pc</dc:creator>
  <cp:lastModifiedBy>道县城管局冯自成</cp:lastModifiedBy>
  <dcterms:modified xsi:type="dcterms:W3CDTF">2026-09-05T07:06:36Z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2026-09-05T14:51:17Z</vt:filetime>
  </property>
  <property fmtid="{D5CDD505-2E9C-101B-9397-08002B2CF9AE}" pid="4" name="UsrData">
    <vt:lpwstr>6a9bbbe3027ecd001ff1f359wl</vt:lpwstr>
  </property>
  <property fmtid="{D5CDD505-2E9C-101B-9397-08002B2CF9AE}" pid="5" name="KSOTemplateDocerSaveRecord">
    <vt:lpwstr>eyJoZGlkIjoiZjBmN2Q2NjNlM2M3NWQyODAxNzQyOGZiOTQ1MmZhZmUiLCJ1c2VySWQiOiI2MDMzNzQ5ODkifQ==</vt:lpwstr>
  </property>
  <property fmtid="{D5CDD505-2E9C-101B-9397-08002B2CF9AE}" pid="6" name="KSOProductBuildVer">
    <vt:lpwstr>2052-12.1.0.28505</vt:lpwstr>
  </property>
  <property fmtid="{D5CDD505-2E9C-101B-9397-08002B2CF9AE}" pid="7" name="ICV">
    <vt:lpwstr>E972B1A392F34EF689B6C0EE5060B18A_12</vt:lpwstr>
  </property>
</Properties>
</file>