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4"/>
        <w:jc w:val="center"/>
        <w:rPr>
          <w:sz w:val="56"/>
          <w:szCs w:val="56"/>
        </w:rPr>
      </w:pPr>
    </w:p>
    <w:p>
      <w:pPr>
        <w:pStyle w:val="14"/>
        <w:jc w:val="center"/>
        <w:rPr>
          <w:sz w:val="84"/>
          <w:szCs w:val="84"/>
        </w:rPr>
      </w:pPr>
    </w:p>
    <w:p>
      <w:pPr>
        <w:pStyle w:val="14"/>
        <w:jc w:val="center"/>
        <w:rPr>
          <w:sz w:val="84"/>
          <w:szCs w:val="84"/>
        </w:rPr>
      </w:pPr>
    </w:p>
    <w:p>
      <w:pPr>
        <w:pStyle w:val="14"/>
        <w:jc w:val="center"/>
        <w:rPr>
          <w:rFonts w:hint="eastAsia" w:ascii="Times New Roman" w:hAnsi="Times New Roman" w:eastAsia="方正小标宋简体" w:cs="Times New Roman"/>
          <w:kern w:val="0"/>
          <w:sz w:val="72"/>
          <w:szCs w:val="72"/>
          <w:lang w:eastAsia="zh-CN"/>
        </w:rPr>
      </w:pPr>
      <w:r>
        <w:rPr>
          <w:rFonts w:hint="eastAsia" w:ascii="Times New Roman" w:hAnsi="Times New Roman" w:eastAsia="方正小标宋简体" w:cs="Times New Roman"/>
          <w:kern w:val="0"/>
          <w:sz w:val="72"/>
          <w:szCs w:val="72"/>
          <w:lang w:eastAsia="zh-CN"/>
        </w:rPr>
        <w:t>202</w:t>
      </w:r>
      <w:r>
        <w:rPr>
          <w:rFonts w:hint="eastAsia" w:ascii="Times New Roman" w:hAnsi="Times New Roman" w:eastAsia="方正小标宋简体" w:cs="Times New Roman"/>
          <w:kern w:val="0"/>
          <w:sz w:val="72"/>
          <w:szCs w:val="72"/>
          <w:lang w:val="en-US" w:eastAsia="zh-CN"/>
        </w:rPr>
        <w:t>5</w:t>
      </w:r>
      <w:r>
        <w:rPr>
          <w:rFonts w:hint="eastAsia" w:ascii="Times New Roman" w:hAnsi="Times New Roman" w:eastAsia="方正小标宋简体" w:cs="Times New Roman"/>
          <w:kern w:val="0"/>
          <w:sz w:val="72"/>
          <w:szCs w:val="72"/>
          <w:lang w:eastAsia="zh-CN"/>
        </w:rPr>
        <w:t>年度</w:t>
      </w:r>
    </w:p>
    <w:p>
      <w:pPr>
        <w:pStyle w:val="14"/>
        <w:jc w:val="center"/>
        <w:rPr>
          <w:rFonts w:hint="eastAsia" w:ascii="Times New Roman" w:hAnsi="Times New Roman" w:eastAsia="方正小标宋简体" w:cs="Times New Roman"/>
          <w:kern w:val="0"/>
          <w:sz w:val="72"/>
          <w:szCs w:val="72"/>
          <w:lang w:val="en-US" w:eastAsia="zh-CN"/>
        </w:rPr>
      </w:pPr>
      <w:r>
        <w:rPr>
          <w:rFonts w:hint="eastAsia" w:ascii="Times New Roman" w:hAnsi="Times New Roman" w:eastAsia="方正小标宋简体" w:cs="Times New Roman"/>
          <w:kern w:val="0"/>
          <w:sz w:val="72"/>
          <w:szCs w:val="72"/>
          <w:lang w:val="en-US" w:eastAsia="zh-CN"/>
        </w:rPr>
        <w:t>道县住房和城乡建设局</w:t>
      </w:r>
    </w:p>
    <w:p>
      <w:pPr>
        <w:pStyle w:val="14"/>
        <w:jc w:val="center"/>
        <w:rPr>
          <w:rFonts w:hint="eastAsia" w:ascii="Times New Roman" w:hAnsi="Times New Roman" w:eastAsia="方正小标宋简体" w:cs="Times New Roman"/>
          <w:kern w:val="0"/>
          <w:sz w:val="72"/>
          <w:szCs w:val="72"/>
          <w:lang w:eastAsia="zh-CN"/>
        </w:rPr>
      </w:pPr>
      <w:r>
        <w:rPr>
          <w:rFonts w:hint="eastAsia" w:ascii="Times New Roman" w:hAnsi="Times New Roman" w:eastAsia="方正小标宋简体" w:cs="Times New Roman"/>
          <w:kern w:val="0"/>
          <w:sz w:val="72"/>
          <w:szCs w:val="72"/>
          <w:lang w:eastAsia="zh-CN"/>
        </w:rPr>
        <w:t>部门决算</w:t>
      </w:r>
    </w:p>
    <w:p>
      <w:pPr>
        <w:pStyle w:val="14"/>
        <w:jc w:val="center"/>
        <w:rPr>
          <w:rFonts w:hint="eastAsia" w:ascii="方正小标宋_GBK" w:hAnsi="方正小标宋_GBK" w:eastAsia="方正小标宋_GBK" w:cs="方正小标宋_GBK"/>
          <w:sz w:val="56"/>
          <w:szCs w:val="56"/>
        </w:rPr>
      </w:pPr>
    </w:p>
    <w:p>
      <w:pPr>
        <w:pStyle w:val="14"/>
        <w:jc w:val="center"/>
        <w:rPr>
          <w:sz w:val="56"/>
          <w:szCs w:val="56"/>
        </w:rPr>
      </w:pPr>
    </w:p>
    <w:p>
      <w:pPr>
        <w:pStyle w:val="14"/>
        <w:jc w:val="center"/>
        <w:rPr>
          <w:sz w:val="56"/>
          <w:szCs w:val="56"/>
        </w:rPr>
      </w:pPr>
    </w:p>
    <w:p>
      <w:pPr>
        <w:pStyle w:val="14"/>
        <w:jc w:val="center"/>
        <w:rPr>
          <w:sz w:val="56"/>
          <w:szCs w:val="56"/>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spacing w:line="540" w:lineRule="exact"/>
        <w:jc w:val="center"/>
        <w:rPr>
          <w:sz w:val="56"/>
          <w:szCs w:val="56"/>
        </w:rPr>
      </w:pPr>
    </w:p>
    <w:p>
      <w:pPr>
        <w:pStyle w:val="14"/>
        <w:spacing w:line="500" w:lineRule="exact"/>
        <w:jc w:val="both"/>
        <w:rPr>
          <w:b/>
          <w:sz w:val="36"/>
          <w:szCs w:val="28"/>
        </w:rPr>
      </w:pPr>
    </w:p>
    <w:p>
      <w:pPr>
        <w:pStyle w:val="14"/>
        <w:spacing w:line="500" w:lineRule="exact"/>
        <w:jc w:val="center"/>
        <w:rPr>
          <w:b/>
          <w:sz w:val="36"/>
          <w:szCs w:val="28"/>
        </w:rPr>
      </w:pPr>
      <w:r>
        <w:rPr>
          <w:rFonts w:hint="eastAsia"/>
          <w:b/>
          <w:sz w:val="36"/>
          <w:szCs w:val="28"/>
        </w:rPr>
        <w:t>目录</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道县住房和城乡建设局</w:t>
      </w:r>
      <w:r>
        <w:rPr>
          <w:rFonts w:hint="eastAsia" w:ascii="黑体" w:hAnsi="黑体" w:eastAsia="黑体" w:cs="黑体"/>
          <w:b w:val="0"/>
          <w:bCs/>
          <w:sz w:val="28"/>
          <w:szCs w:val="28"/>
        </w:rPr>
        <w:t>概况</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2024年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4"/>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 xml:space="preserve">第一部分 </w:t>
      </w: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val="en-US" w:eastAsia="zh-CN"/>
        </w:rPr>
        <w:t>道县住房和城乡建设局</w:t>
      </w:r>
      <w:r>
        <w:rPr>
          <w:rFonts w:hint="eastAsia" w:ascii="方正小标宋_GBK" w:hAnsi="方正小标宋_GBK" w:eastAsia="方正小标宋_GBK" w:cs="方正小标宋_GBK"/>
          <w:sz w:val="72"/>
          <w:szCs w:val="72"/>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jc w:val="both"/>
        <w:rPr>
          <w:sz w:val="72"/>
          <w:szCs w:val="72"/>
        </w:rPr>
      </w:pPr>
    </w:p>
    <w:p>
      <w:pPr>
        <w:jc w:val="both"/>
        <w:rPr>
          <w:sz w:val="10"/>
          <w:szCs w:val="10"/>
        </w:rPr>
      </w:pPr>
    </w:p>
    <w:p>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pStyle w:val="8"/>
        <w:widowControl/>
        <w:spacing w:before="168" w:beforeAutospacing="0" w:after="0" w:afterAutospacing="0" w:line="20" w:lineRule="atLeast"/>
        <w:rPr>
          <w:rFonts w:ascii="仿宋" w:hAnsi="仿宋" w:eastAsia="仿宋" w:cs="仿宋"/>
          <w:sz w:val="32"/>
          <w:szCs w:val="32"/>
        </w:rPr>
      </w:pPr>
      <w:r>
        <w:rPr>
          <w:rFonts w:hint="eastAsia" w:ascii="Times New Roman" w:hAnsi="Times New Roman" w:eastAsia="仿宋_GB2312" w:cs="仿宋_GB2312"/>
          <w:sz w:val="32"/>
          <w:szCs w:val="32"/>
        </w:rPr>
        <w:t>（一）</w:t>
      </w:r>
      <w:r>
        <w:rPr>
          <w:rFonts w:hint="eastAsia" w:ascii="仿宋" w:hAnsi="仿宋" w:eastAsia="仿宋" w:cs="仿宋"/>
          <w:sz w:val="32"/>
          <w:szCs w:val="32"/>
        </w:rPr>
        <w:t>(1)</w:t>
      </w:r>
      <w:r>
        <w:rPr>
          <w:rStyle w:val="11"/>
          <w:rFonts w:hint="eastAsia" w:ascii="仿宋" w:hAnsi="仿宋" w:eastAsia="仿宋" w:cs="仿宋"/>
          <w:bCs/>
          <w:sz w:val="32"/>
          <w:szCs w:val="32"/>
        </w:rPr>
        <w:t>贯彻执行与制定政策</w:t>
      </w:r>
    </w:p>
    <w:p>
      <w:pPr>
        <w:widowControl/>
        <w:numPr>
          <w:ilvl w:val="0"/>
          <w:numId w:val="2"/>
        </w:numPr>
        <w:spacing w:line="20" w:lineRule="atLeast"/>
        <w:rPr>
          <w:rFonts w:ascii="仿宋" w:hAnsi="仿宋" w:eastAsia="仿宋" w:cs="仿宋"/>
          <w:sz w:val="32"/>
          <w:szCs w:val="32"/>
        </w:rPr>
      </w:pPr>
      <w:r>
        <w:rPr>
          <w:rFonts w:hint="eastAsia" w:ascii="仿宋" w:hAnsi="仿宋" w:eastAsia="仿宋" w:cs="仿宋"/>
          <w:sz w:val="32"/>
          <w:szCs w:val="32"/>
        </w:rPr>
        <w:t>严格执行国家、省、市关于住房和城乡建设工作的法律法规和方针政策，确保行业的健康发展。</w:t>
      </w:r>
    </w:p>
    <w:p>
      <w:pPr>
        <w:widowControl/>
        <w:numPr>
          <w:ilvl w:val="0"/>
          <w:numId w:val="2"/>
        </w:numPr>
        <w:spacing w:line="20" w:lineRule="atLeast"/>
        <w:rPr>
          <w:rFonts w:ascii="仿宋" w:hAnsi="仿宋" w:eastAsia="仿宋" w:cs="仿宋"/>
          <w:sz w:val="32"/>
          <w:szCs w:val="32"/>
        </w:rPr>
      </w:pPr>
      <w:r>
        <w:rPr>
          <w:rFonts w:hint="eastAsia" w:ascii="仿宋" w:hAnsi="仿宋" w:eastAsia="仿宋" w:cs="仿宋"/>
          <w:sz w:val="32"/>
          <w:szCs w:val="32"/>
        </w:rPr>
        <w:t>拟定新型城市化、城乡建设、住房保障、工程建设、建筑业、住宅房地产业、勘察设计咨询业等领域的规范性文件，以及中长期规划和年度计划，并推动其实施。</w:t>
      </w:r>
    </w:p>
    <w:p>
      <w:pPr>
        <w:widowControl/>
        <w:numPr>
          <w:ilvl w:val="0"/>
          <w:numId w:val="2"/>
        </w:numPr>
        <w:spacing w:line="20" w:lineRule="atLeast"/>
        <w:rPr>
          <w:rFonts w:ascii="仿宋" w:hAnsi="仿宋" w:eastAsia="仿宋" w:cs="仿宋"/>
          <w:sz w:val="32"/>
          <w:szCs w:val="32"/>
        </w:rPr>
      </w:pPr>
      <w:r>
        <w:rPr>
          <w:rFonts w:hint="eastAsia" w:ascii="仿宋" w:hAnsi="仿宋" w:eastAsia="仿宋" w:cs="仿宋"/>
          <w:sz w:val="32"/>
          <w:szCs w:val="32"/>
        </w:rPr>
        <w:t>对上述领域进行行业管理，确保行业规范、有序发展。</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(2)</w:t>
      </w:r>
      <w:r>
        <w:rPr>
          <w:rStyle w:val="11"/>
          <w:rFonts w:hint="eastAsia" w:ascii="仿宋" w:hAnsi="仿宋" w:eastAsia="仿宋" w:cs="仿宋"/>
          <w:bCs/>
          <w:sz w:val="32"/>
          <w:szCs w:val="32"/>
        </w:rPr>
        <w:t>指导与管理小城镇建设</w:t>
      </w:r>
    </w:p>
    <w:p>
      <w:pPr>
        <w:widowControl/>
        <w:numPr>
          <w:ilvl w:val="0"/>
          <w:numId w:val="2"/>
        </w:numPr>
        <w:spacing w:line="20" w:lineRule="atLeast"/>
        <w:rPr>
          <w:rFonts w:ascii="仿宋" w:hAnsi="仿宋" w:eastAsia="仿宋" w:cs="仿宋"/>
          <w:sz w:val="32"/>
          <w:szCs w:val="32"/>
        </w:rPr>
      </w:pPr>
      <w:r>
        <w:rPr>
          <w:rFonts w:hint="eastAsia" w:ascii="仿宋" w:hAnsi="仿宋" w:eastAsia="仿宋" w:cs="仿宋"/>
          <w:sz w:val="32"/>
          <w:szCs w:val="32"/>
        </w:rPr>
        <w:t>指导全县小城镇的建设与管理，确保小城镇建设的科学性和合理性。</w:t>
      </w:r>
    </w:p>
    <w:p>
      <w:pPr>
        <w:widowControl/>
        <w:numPr>
          <w:ilvl w:val="0"/>
          <w:numId w:val="2"/>
        </w:numPr>
        <w:spacing w:before="72" w:line="20" w:lineRule="atLeast"/>
        <w:rPr>
          <w:rFonts w:ascii="仿宋" w:hAnsi="仿宋" w:eastAsia="仿宋" w:cs="仿宋"/>
          <w:sz w:val="32"/>
          <w:szCs w:val="32"/>
        </w:rPr>
      </w:pPr>
      <w:r>
        <w:rPr>
          <w:rFonts w:hint="eastAsia" w:ascii="仿宋" w:hAnsi="仿宋" w:eastAsia="仿宋" w:cs="仿宋"/>
          <w:sz w:val="32"/>
          <w:szCs w:val="32"/>
        </w:rPr>
        <w:t>负责全县基础设施建设的监督和管理，保障基础设施建设的顺利进行。</w:t>
      </w:r>
    </w:p>
    <w:p>
      <w:pPr>
        <w:widowControl/>
        <w:numPr>
          <w:ilvl w:val="0"/>
          <w:numId w:val="2"/>
        </w:numPr>
        <w:spacing w:before="72" w:line="20" w:lineRule="atLeast"/>
        <w:rPr>
          <w:rFonts w:ascii="仿宋" w:hAnsi="仿宋" w:eastAsia="仿宋" w:cs="仿宋"/>
          <w:sz w:val="32"/>
          <w:szCs w:val="32"/>
        </w:rPr>
      </w:pPr>
      <w:r>
        <w:rPr>
          <w:rFonts w:hint="eastAsia" w:ascii="仿宋" w:hAnsi="仿宋" w:eastAsia="仿宋" w:cs="仿宋"/>
          <w:sz w:val="32"/>
          <w:szCs w:val="32"/>
        </w:rPr>
        <w:t>对建筑行业、房地产行业违法违规案件进行查处，维护市场秩序。</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(3)</w:t>
      </w:r>
      <w:r>
        <w:rPr>
          <w:rStyle w:val="11"/>
          <w:rFonts w:hint="eastAsia" w:ascii="仿宋" w:hAnsi="仿宋" w:eastAsia="仿宋" w:cs="仿宋"/>
          <w:bCs/>
          <w:sz w:val="32"/>
          <w:szCs w:val="32"/>
        </w:rPr>
        <w:t>保障城镇低收入家庭住房</w:t>
      </w:r>
    </w:p>
    <w:p>
      <w:pPr>
        <w:widowControl/>
        <w:numPr>
          <w:ilvl w:val="0"/>
          <w:numId w:val="3"/>
        </w:numPr>
        <w:spacing w:line="20" w:lineRule="atLeast"/>
        <w:rPr>
          <w:rFonts w:ascii="仿宋" w:hAnsi="仿宋" w:eastAsia="仿宋" w:cs="仿宋"/>
          <w:sz w:val="32"/>
          <w:szCs w:val="32"/>
        </w:rPr>
      </w:pPr>
      <w:r>
        <w:rPr>
          <w:rFonts w:hint="eastAsia" w:ascii="仿宋" w:hAnsi="仿宋" w:eastAsia="仿宋" w:cs="仿宋"/>
          <w:sz w:val="32"/>
          <w:szCs w:val="32"/>
        </w:rPr>
        <w:t>拟定全县住房保障相关政策措施，确保低收入家庭的基本住房需求得到满足。</w:t>
      </w:r>
    </w:p>
    <w:p>
      <w:pPr>
        <w:widowControl/>
        <w:numPr>
          <w:ilvl w:val="0"/>
          <w:numId w:val="3"/>
        </w:numPr>
        <w:spacing w:before="72" w:line="20" w:lineRule="atLeast"/>
        <w:rPr>
          <w:rFonts w:ascii="仿宋" w:hAnsi="仿宋" w:eastAsia="仿宋" w:cs="仿宋"/>
          <w:sz w:val="32"/>
          <w:szCs w:val="32"/>
        </w:rPr>
      </w:pPr>
      <w:r>
        <w:rPr>
          <w:rFonts w:hint="eastAsia" w:ascii="仿宋" w:hAnsi="仿宋" w:eastAsia="仿宋" w:cs="仿宋"/>
          <w:sz w:val="32"/>
          <w:szCs w:val="32"/>
        </w:rPr>
        <w:t>编制保障性住房、棚户区改造发展规划及年度计划，并组织实施和监督。</w:t>
      </w:r>
    </w:p>
    <w:p>
      <w:pPr>
        <w:widowControl/>
        <w:numPr>
          <w:ilvl w:val="0"/>
          <w:numId w:val="3"/>
        </w:numPr>
        <w:spacing w:before="72" w:line="20" w:lineRule="atLeast"/>
        <w:rPr>
          <w:rFonts w:ascii="仿宋" w:hAnsi="仿宋" w:eastAsia="仿宋" w:cs="仿宋"/>
          <w:sz w:val="32"/>
          <w:szCs w:val="32"/>
        </w:rPr>
      </w:pPr>
      <w:r>
        <w:rPr>
          <w:rFonts w:hint="eastAsia" w:ascii="仿宋" w:hAnsi="仿宋" w:eastAsia="仿宋" w:cs="仿宋"/>
          <w:sz w:val="32"/>
          <w:szCs w:val="32"/>
        </w:rPr>
        <w:t>协同相关部门进行保障性住房资金的监管，确保资金的安全和有效使用。</w:t>
      </w:r>
    </w:p>
    <w:p>
      <w:pPr>
        <w:widowControl/>
        <w:numPr>
          <w:ilvl w:val="0"/>
          <w:numId w:val="3"/>
        </w:numPr>
        <w:spacing w:before="72" w:line="20" w:lineRule="atLeast"/>
        <w:rPr>
          <w:rFonts w:ascii="仿宋" w:hAnsi="仿宋" w:eastAsia="仿宋" w:cs="仿宋"/>
          <w:sz w:val="32"/>
          <w:szCs w:val="32"/>
        </w:rPr>
      </w:pPr>
      <w:r>
        <w:rPr>
          <w:rFonts w:hint="eastAsia" w:ascii="仿宋" w:hAnsi="仿宋" w:eastAsia="仿宋" w:cs="仿宋"/>
          <w:sz w:val="32"/>
          <w:szCs w:val="32"/>
        </w:rPr>
        <w:t>负责全县保障性住房的建设和管理，以及旧城改造、危房鉴定和改造的监管工作。</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(4)</w:t>
      </w:r>
      <w:r>
        <w:rPr>
          <w:rStyle w:val="11"/>
          <w:rFonts w:hint="eastAsia" w:ascii="仿宋" w:hAnsi="仿宋" w:eastAsia="仿宋" w:cs="仿宋"/>
          <w:bCs/>
          <w:sz w:val="32"/>
          <w:szCs w:val="32"/>
        </w:rPr>
        <w:t>规范房地产市场秩序</w:t>
      </w:r>
    </w:p>
    <w:p>
      <w:pPr>
        <w:widowControl/>
        <w:numPr>
          <w:ilvl w:val="0"/>
          <w:numId w:val="4"/>
        </w:numPr>
        <w:spacing w:line="20" w:lineRule="atLeast"/>
        <w:rPr>
          <w:rFonts w:ascii="仿宋" w:hAnsi="仿宋" w:eastAsia="仿宋" w:cs="仿宋"/>
          <w:sz w:val="32"/>
          <w:szCs w:val="32"/>
        </w:rPr>
      </w:pPr>
      <w:r>
        <w:rPr>
          <w:rFonts w:hint="eastAsia" w:ascii="仿宋" w:hAnsi="仿宋" w:eastAsia="仿宋" w:cs="仿宋"/>
          <w:sz w:val="32"/>
          <w:szCs w:val="32"/>
        </w:rPr>
        <w:t>拟定房地产市场监管政策措施，监督执行，确保房地产市场的健康发展。</w:t>
      </w:r>
    </w:p>
    <w:p>
      <w:pPr>
        <w:widowControl/>
        <w:numPr>
          <w:ilvl w:val="0"/>
          <w:numId w:val="4"/>
        </w:numPr>
        <w:spacing w:before="72" w:line="20" w:lineRule="atLeast"/>
        <w:rPr>
          <w:rFonts w:ascii="仿宋" w:hAnsi="仿宋" w:eastAsia="仿宋" w:cs="仿宋"/>
          <w:sz w:val="32"/>
          <w:szCs w:val="32"/>
        </w:rPr>
      </w:pPr>
      <w:r>
        <w:rPr>
          <w:rFonts w:hint="eastAsia" w:ascii="仿宋" w:hAnsi="仿宋" w:eastAsia="仿宋" w:cs="仿宋"/>
          <w:sz w:val="32"/>
          <w:szCs w:val="32"/>
        </w:rPr>
        <w:t>配合有关部门指导城镇土地使用权的有偿转让和开发利用工作。</w:t>
      </w:r>
    </w:p>
    <w:p>
      <w:pPr>
        <w:widowControl/>
        <w:numPr>
          <w:ilvl w:val="0"/>
          <w:numId w:val="4"/>
        </w:numPr>
        <w:spacing w:before="72" w:line="20" w:lineRule="atLeast"/>
        <w:rPr>
          <w:rFonts w:ascii="仿宋" w:hAnsi="仿宋" w:eastAsia="仿宋" w:cs="仿宋"/>
          <w:sz w:val="32"/>
          <w:szCs w:val="32"/>
        </w:rPr>
      </w:pPr>
      <w:r>
        <w:rPr>
          <w:rFonts w:hint="eastAsia" w:ascii="仿宋" w:hAnsi="仿宋" w:eastAsia="仿宋" w:cs="仿宋"/>
          <w:sz w:val="32"/>
          <w:szCs w:val="32"/>
        </w:rPr>
        <w:t>提出房地产业的行业发展规划和产业政策措施，拟定相关规章制度并监督执行。</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(5)</w:t>
      </w:r>
      <w:r>
        <w:rPr>
          <w:rStyle w:val="11"/>
          <w:rFonts w:hint="eastAsia" w:ascii="仿宋" w:hAnsi="仿宋" w:eastAsia="仿宋" w:cs="仿宋"/>
          <w:bCs/>
          <w:sz w:val="32"/>
          <w:szCs w:val="32"/>
        </w:rPr>
        <w:t>推进住房制度改革</w:t>
      </w:r>
    </w:p>
    <w:p>
      <w:pPr>
        <w:widowControl/>
        <w:numPr>
          <w:ilvl w:val="0"/>
          <w:numId w:val="5"/>
        </w:numPr>
        <w:spacing w:line="20" w:lineRule="atLeast"/>
        <w:rPr>
          <w:rFonts w:ascii="仿宋" w:hAnsi="仿宋" w:eastAsia="仿宋" w:cs="仿宋"/>
          <w:sz w:val="32"/>
          <w:szCs w:val="32"/>
        </w:rPr>
      </w:pPr>
      <w:r>
        <w:rPr>
          <w:rFonts w:hint="eastAsia" w:ascii="仿宋" w:hAnsi="仿宋" w:eastAsia="仿宋" w:cs="仿宋"/>
          <w:sz w:val="32"/>
          <w:szCs w:val="32"/>
        </w:rPr>
        <w:t>拟定适合县情的住房政策措施，指导住房建设和住房制度改革。</w:t>
      </w:r>
    </w:p>
    <w:p>
      <w:pPr>
        <w:widowControl/>
        <w:numPr>
          <w:ilvl w:val="0"/>
          <w:numId w:val="5"/>
        </w:numPr>
        <w:spacing w:before="72" w:line="20" w:lineRule="atLeast"/>
        <w:rPr>
          <w:rFonts w:ascii="仿宋" w:hAnsi="仿宋" w:eastAsia="仿宋" w:cs="仿宋"/>
          <w:sz w:val="32"/>
          <w:szCs w:val="32"/>
        </w:rPr>
      </w:pPr>
      <w:r>
        <w:rPr>
          <w:rFonts w:hint="eastAsia" w:ascii="仿宋" w:hAnsi="仿宋" w:eastAsia="仿宋" w:cs="仿宋"/>
          <w:sz w:val="32"/>
          <w:szCs w:val="32"/>
        </w:rPr>
        <w:t>拟定全县住房建设规划，并组织实施，以满足人民群众日益增长的住房需求。</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(6)</w:t>
      </w:r>
      <w:r>
        <w:rPr>
          <w:rStyle w:val="11"/>
          <w:rFonts w:hint="eastAsia" w:ascii="仿宋" w:hAnsi="仿宋" w:eastAsia="仿宋" w:cs="仿宋"/>
          <w:bCs/>
          <w:sz w:val="32"/>
          <w:szCs w:val="32"/>
        </w:rPr>
        <w:t>指导和管理建筑活动</w:t>
      </w:r>
    </w:p>
    <w:p>
      <w:pPr>
        <w:widowControl/>
        <w:numPr>
          <w:ilvl w:val="0"/>
          <w:numId w:val="6"/>
        </w:numPr>
        <w:spacing w:line="20" w:lineRule="atLeast"/>
        <w:rPr>
          <w:rFonts w:ascii="仿宋" w:hAnsi="仿宋" w:eastAsia="仿宋" w:cs="仿宋"/>
          <w:sz w:val="32"/>
          <w:szCs w:val="32"/>
        </w:rPr>
      </w:pPr>
      <w:r>
        <w:rPr>
          <w:rFonts w:hint="eastAsia" w:ascii="仿宋" w:hAnsi="仿宋" w:eastAsia="仿宋" w:cs="仿宋"/>
          <w:sz w:val="32"/>
          <w:szCs w:val="32"/>
        </w:rPr>
        <w:t>贯彻国家、省、市关于建筑行业、勘察设计咨询业的法律、法规、规章和规范性文件。</w:t>
      </w:r>
    </w:p>
    <w:p>
      <w:pPr>
        <w:widowControl/>
        <w:numPr>
          <w:ilvl w:val="0"/>
          <w:numId w:val="6"/>
        </w:numPr>
        <w:spacing w:before="72" w:line="20" w:lineRule="atLeast"/>
        <w:rPr>
          <w:rFonts w:ascii="仿宋" w:hAnsi="仿宋" w:eastAsia="仿宋" w:cs="仿宋"/>
          <w:sz w:val="32"/>
          <w:szCs w:val="32"/>
        </w:rPr>
      </w:pPr>
      <w:r>
        <w:rPr>
          <w:rFonts w:hint="eastAsia" w:ascii="仿宋" w:hAnsi="仿宋" w:eastAsia="仿宋" w:cs="仿宋"/>
          <w:sz w:val="32"/>
          <w:szCs w:val="32"/>
        </w:rPr>
        <w:t>拟定勘察设计咨询、工程施工、建筑监理和相关中介组织管理的制度，并监督执行。</w:t>
      </w:r>
    </w:p>
    <w:p>
      <w:pPr>
        <w:widowControl/>
        <w:numPr>
          <w:ilvl w:val="0"/>
          <w:numId w:val="6"/>
        </w:numPr>
        <w:spacing w:before="72" w:line="20" w:lineRule="atLeast"/>
        <w:rPr>
          <w:rFonts w:ascii="仿宋" w:hAnsi="仿宋" w:eastAsia="仿宋" w:cs="仿宋"/>
          <w:sz w:val="32"/>
          <w:szCs w:val="32"/>
        </w:rPr>
      </w:pPr>
      <w:r>
        <w:rPr>
          <w:rFonts w:hint="eastAsia" w:ascii="仿宋" w:hAnsi="仿宋" w:eastAsia="仿宋" w:cs="仿宋"/>
          <w:sz w:val="32"/>
          <w:szCs w:val="32"/>
        </w:rPr>
        <w:t>指导监督建筑市场准入、工程招投标、工程监理等活动，确保市场的公平竞争。</w:t>
      </w:r>
    </w:p>
    <w:p>
      <w:pPr>
        <w:widowControl/>
        <w:numPr>
          <w:ilvl w:val="0"/>
          <w:numId w:val="6"/>
        </w:numPr>
        <w:spacing w:before="72" w:line="20" w:lineRule="atLeast"/>
        <w:rPr>
          <w:rFonts w:ascii="仿宋" w:hAnsi="仿宋" w:eastAsia="仿宋" w:cs="仿宋"/>
          <w:sz w:val="32"/>
          <w:szCs w:val="32"/>
        </w:rPr>
      </w:pPr>
      <w:r>
        <w:rPr>
          <w:rFonts w:hint="eastAsia" w:ascii="仿宋" w:hAnsi="仿宋" w:eastAsia="仿宋" w:cs="仿宋"/>
          <w:sz w:val="32"/>
          <w:szCs w:val="32"/>
        </w:rPr>
        <w:t>组织建筑企业、勘察设计咨询企业参与对外工程承包、建筑劳务合作，推动行业的国际化发展。</w:t>
      </w:r>
    </w:p>
    <w:p>
      <w:pPr>
        <w:widowControl/>
        <w:numPr>
          <w:ilvl w:val="0"/>
          <w:numId w:val="6"/>
        </w:numPr>
        <w:spacing w:before="72" w:line="20" w:lineRule="atLeast"/>
        <w:rPr>
          <w:rFonts w:ascii="仿宋" w:hAnsi="仿宋" w:eastAsia="仿宋" w:cs="仿宋"/>
          <w:sz w:val="32"/>
          <w:szCs w:val="32"/>
        </w:rPr>
      </w:pPr>
      <w:r>
        <w:rPr>
          <w:rFonts w:hint="eastAsia" w:ascii="仿宋" w:hAnsi="仿宋" w:eastAsia="仿宋" w:cs="仿宋"/>
          <w:sz w:val="32"/>
          <w:szCs w:val="32"/>
        </w:rPr>
        <w:t>指导全县城建档案管理工作，确保城建档案的完整性和可利用性。</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(7)</w:t>
      </w:r>
      <w:r>
        <w:rPr>
          <w:rStyle w:val="11"/>
          <w:rFonts w:hint="eastAsia" w:ascii="仿宋" w:hAnsi="仿宋" w:eastAsia="仿宋" w:cs="仿宋"/>
          <w:bCs/>
          <w:sz w:val="32"/>
          <w:szCs w:val="32"/>
        </w:rPr>
        <w:t>实施科学规范的工程建设标准体系</w:t>
      </w:r>
    </w:p>
    <w:p>
      <w:pPr>
        <w:widowControl/>
        <w:numPr>
          <w:ilvl w:val="0"/>
          <w:numId w:val="7"/>
        </w:numPr>
        <w:spacing w:line="20" w:lineRule="atLeast"/>
        <w:rPr>
          <w:rFonts w:ascii="仿宋" w:hAnsi="仿宋" w:eastAsia="仿宋" w:cs="仿宋"/>
          <w:sz w:val="32"/>
          <w:szCs w:val="32"/>
        </w:rPr>
      </w:pPr>
      <w:r>
        <w:rPr>
          <w:rFonts w:hint="eastAsia" w:ascii="仿宋" w:hAnsi="仿宋" w:eastAsia="仿宋" w:cs="仿宋"/>
          <w:sz w:val="32"/>
          <w:szCs w:val="32"/>
        </w:rPr>
        <w:t>贯彻执行国家、省关于工程建设实施阶段的相关标准、定额和行业规定。</w:t>
      </w:r>
    </w:p>
    <w:p>
      <w:pPr>
        <w:widowControl/>
        <w:numPr>
          <w:ilvl w:val="0"/>
          <w:numId w:val="7"/>
        </w:numPr>
        <w:spacing w:before="72" w:line="20" w:lineRule="atLeast"/>
        <w:rPr>
          <w:rFonts w:ascii="仿宋" w:hAnsi="仿宋" w:eastAsia="仿宋" w:cs="仿宋"/>
          <w:sz w:val="32"/>
          <w:szCs w:val="32"/>
        </w:rPr>
      </w:pPr>
      <w:r>
        <w:rPr>
          <w:rFonts w:hint="eastAsia" w:ascii="仿宋" w:hAnsi="仿宋" w:eastAsia="仿宋" w:cs="仿宋"/>
          <w:sz w:val="32"/>
          <w:szCs w:val="32"/>
        </w:rPr>
        <w:t>组织拟定具体实施办法，并监督指导各类工程建设造价、标准定额的实施。</w:t>
      </w:r>
    </w:p>
    <w:p>
      <w:pPr>
        <w:widowControl/>
        <w:numPr>
          <w:ilvl w:val="0"/>
          <w:numId w:val="7"/>
        </w:numPr>
        <w:spacing w:before="72" w:line="20" w:lineRule="atLeast"/>
        <w:rPr>
          <w:rFonts w:ascii="仿宋" w:hAnsi="仿宋" w:eastAsia="仿宋" w:cs="仿宋"/>
          <w:sz w:val="32"/>
          <w:szCs w:val="32"/>
        </w:rPr>
      </w:pPr>
      <w:r>
        <w:rPr>
          <w:rFonts w:hint="eastAsia" w:ascii="仿宋" w:hAnsi="仿宋" w:eastAsia="仿宋" w:cs="仿宋"/>
          <w:sz w:val="32"/>
          <w:szCs w:val="32"/>
        </w:rPr>
        <w:t>拟定并发布全县工程建设地方性材料季节调差规范性文件，确保工程建设的科学性和经济性。</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(8)</w:t>
      </w:r>
      <w:r>
        <w:rPr>
          <w:rStyle w:val="11"/>
          <w:rFonts w:hint="eastAsia" w:ascii="仿宋" w:hAnsi="仿宋" w:eastAsia="仿宋" w:cs="仿宋"/>
          <w:bCs/>
          <w:sz w:val="32"/>
          <w:szCs w:val="32"/>
        </w:rPr>
        <w:t>质量安全监管</w:t>
      </w:r>
    </w:p>
    <w:p>
      <w:pPr>
        <w:widowControl/>
        <w:numPr>
          <w:ilvl w:val="0"/>
          <w:numId w:val="8"/>
        </w:numPr>
        <w:spacing w:line="20" w:lineRule="atLeast"/>
        <w:rPr>
          <w:rFonts w:ascii="仿宋" w:hAnsi="仿宋" w:eastAsia="仿宋" w:cs="仿宋"/>
          <w:sz w:val="32"/>
          <w:szCs w:val="32"/>
        </w:rPr>
      </w:pPr>
      <w:r>
        <w:rPr>
          <w:rFonts w:hint="eastAsia" w:ascii="仿宋" w:hAnsi="仿宋" w:eastAsia="仿宋" w:cs="仿宋"/>
          <w:sz w:val="32"/>
          <w:szCs w:val="32"/>
        </w:rPr>
        <w:t>拟定工程质量、安全生产和竣工验收备案的政策措施、规章制度，并监督执行。</w:t>
      </w:r>
    </w:p>
    <w:p>
      <w:pPr>
        <w:widowControl/>
        <w:numPr>
          <w:ilvl w:val="0"/>
          <w:numId w:val="8"/>
        </w:numPr>
        <w:spacing w:before="72" w:line="20" w:lineRule="atLeast"/>
        <w:rPr>
          <w:rFonts w:ascii="仿宋" w:hAnsi="仿宋" w:eastAsia="仿宋" w:cs="仿宋"/>
          <w:sz w:val="32"/>
          <w:szCs w:val="32"/>
        </w:rPr>
      </w:pPr>
      <w:r>
        <w:rPr>
          <w:rFonts w:hint="eastAsia" w:ascii="仿宋" w:hAnsi="仿宋" w:eastAsia="仿宋" w:cs="仿宋"/>
          <w:sz w:val="32"/>
          <w:szCs w:val="32"/>
        </w:rPr>
        <w:t>组织或参与工程质量、安全事故的调查处理，确保事故得到妥善处理。</w:t>
      </w:r>
    </w:p>
    <w:p>
      <w:pPr>
        <w:widowControl/>
        <w:numPr>
          <w:ilvl w:val="0"/>
          <w:numId w:val="8"/>
        </w:numPr>
        <w:spacing w:before="72" w:line="20" w:lineRule="atLeast"/>
        <w:rPr>
          <w:rFonts w:ascii="仿宋" w:hAnsi="仿宋" w:eastAsia="仿宋" w:cs="仿宋"/>
          <w:sz w:val="32"/>
          <w:szCs w:val="32"/>
        </w:rPr>
      </w:pPr>
      <w:r>
        <w:rPr>
          <w:rFonts w:hint="eastAsia" w:ascii="仿宋" w:hAnsi="仿宋" w:eastAsia="仿宋" w:cs="仿宋"/>
          <w:sz w:val="32"/>
          <w:szCs w:val="32"/>
        </w:rPr>
        <w:t>负责实施各类房屋建筑及其附属设施和城市市政设施的建设工程抗震设防工作，确保工程的安全性。</w:t>
      </w:r>
    </w:p>
    <w:p>
      <w:pPr>
        <w:widowControl/>
        <w:numPr>
          <w:ilvl w:val="0"/>
          <w:numId w:val="8"/>
        </w:numPr>
        <w:spacing w:before="72" w:line="20" w:lineRule="atLeast"/>
        <w:rPr>
          <w:rFonts w:ascii="仿宋" w:hAnsi="仿宋" w:eastAsia="仿宋" w:cs="仿宋"/>
          <w:bCs/>
          <w:sz w:val="32"/>
          <w:szCs w:val="32"/>
        </w:rPr>
      </w:pPr>
      <w:r>
        <w:rPr>
          <w:rFonts w:hint="eastAsia" w:ascii="仿宋" w:hAnsi="仿宋" w:eastAsia="仿宋" w:cs="仿宋"/>
          <w:sz w:val="32"/>
          <w:szCs w:val="32"/>
        </w:rPr>
        <w:t>指导城市地下空间的勘察设计、工程质量安全及开发利用，推动城市地下空间的合理利用。</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(9)</w:t>
      </w:r>
      <w:r>
        <w:rPr>
          <w:rStyle w:val="11"/>
          <w:rFonts w:hint="eastAsia" w:ascii="仿宋" w:hAnsi="仿宋" w:eastAsia="仿宋" w:cs="仿宋"/>
          <w:bCs/>
          <w:sz w:val="32"/>
          <w:szCs w:val="32"/>
        </w:rPr>
        <w:t>历史文化名城、名镇、名村的初审报批和保护监督工作</w:t>
      </w:r>
      <w:r>
        <w:rPr>
          <w:rFonts w:hint="eastAsia" w:ascii="仿宋" w:hAnsi="仿宋" w:eastAsia="仿宋" w:cs="仿宋"/>
          <w:sz w:val="32"/>
          <w:szCs w:val="32"/>
        </w:rPr>
        <w:t>：</w:t>
      </w:r>
    </w:p>
    <w:p>
      <w:pPr>
        <w:widowControl/>
        <w:numPr>
          <w:ilvl w:val="0"/>
          <w:numId w:val="8"/>
        </w:numPr>
        <w:spacing w:before="72" w:line="20" w:lineRule="atLeast"/>
        <w:rPr>
          <w:rFonts w:ascii="仿宋" w:hAnsi="仿宋" w:eastAsia="仿宋" w:cs="仿宋"/>
          <w:sz w:val="32"/>
          <w:szCs w:val="32"/>
        </w:rPr>
      </w:pPr>
      <w:r>
        <w:rPr>
          <w:rFonts w:hint="eastAsia" w:ascii="仿宋" w:hAnsi="仿宋" w:eastAsia="仿宋" w:cs="仿宋"/>
          <w:sz w:val="32"/>
          <w:szCs w:val="32"/>
        </w:rPr>
        <w:t>与相关部门合作，对申报的历史文化名城、名镇、名村进行初步审核，确保其符合相关标准和要求。</w:t>
      </w:r>
    </w:p>
    <w:p>
      <w:pPr>
        <w:widowControl/>
        <w:numPr>
          <w:ilvl w:val="0"/>
          <w:numId w:val="8"/>
        </w:numPr>
        <w:spacing w:before="72" w:line="20" w:lineRule="atLeast"/>
        <w:rPr>
          <w:rFonts w:ascii="仿宋" w:hAnsi="仿宋" w:eastAsia="仿宋" w:cs="仿宋"/>
          <w:sz w:val="32"/>
          <w:szCs w:val="32"/>
        </w:rPr>
      </w:pPr>
      <w:r>
        <w:rPr>
          <w:rFonts w:hint="eastAsia" w:ascii="仿宋" w:hAnsi="仿宋" w:eastAsia="仿宋" w:cs="仿宋"/>
          <w:sz w:val="32"/>
          <w:szCs w:val="32"/>
        </w:rPr>
        <w:t>对已认定的历史文化名城、名镇、名村进行保护监督，确保其历史文化遗产得到妥善保护和传承。</w:t>
      </w:r>
    </w:p>
    <w:p>
      <w:pPr>
        <w:widowControl/>
        <w:numPr>
          <w:ilvl w:val="0"/>
          <w:numId w:val="8"/>
        </w:numPr>
        <w:spacing w:before="72" w:line="20" w:lineRule="atLeast"/>
        <w:rPr>
          <w:rFonts w:ascii="仿宋" w:hAnsi="仿宋" w:eastAsia="仿宋" w:cs="仿宋"/>
          <w:sz w:val="32"/>
          <w:szCs w:val="32"/>
        </w:rPr>
      </w:pPr>
      <w:r>
        <w:rPr>
          <w:rFonts w:hint="eastAsia" w:ascii="仿宋" w:hAnsi="仿宋" w:eastAsia="仿宋" w:cs="仿宋"/>
          <w:sz w:val="32"/>
          <w:szCs w:val="32"/>
        </w:rPr>
        <w:t>制定并执行相关保护措施，防止历史文化名城、名镇、名村受到破坏或不当开发。</w:t>
      </w:r>
    </w:p>
    <w:p>
      <w:pPr>
        <w:widowControl/>
        <w:numPr>
          <w:ilvl w:val="0"/>
          <w:numId w:val="9"/>
        </w:numPr>
        <w:spacing w:before="72" w:line="20" w:lineRule="atLeast"/>
        <w:ind w:left="0"/>
        <w:rPr>
          <w:rFonts w:ascii="仿宋" w:hAnsi="仿宋" w:eastAsia="仿宋" w:cs="仿宋"/>
          <w:sz w:val="32"/>
          <w:szCs w:val="32"/>
        </w:rPr>
      </w:pP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(10)</w:t>
      </w:r>
      <w:r>
        <w:rPr>
          <w:rStyle w:val="11"/>
          <w:rFonts w:hint="eastAsia" w:ascii="仿宋" w:hAnsi="仿宋" w:eastAsia="仿宋" w:cs="仿宋"/>
          <w:bCs/>
          <w:sz w:val="32"/>
          <w:szCs w:val="32"/>
        </w:rPr>
        <w:t>推进新型城镇化工作</w:t>
      </w:r>
      <w:r>
        <w:rPr>
          <w:rFonts w:hint="eastAsia" w:ascii="仿宋" w:hAnsi="仿宋" w:eastAsia="仿宋" w:cs="仿宋"/>
          <w:sz w:val="32"/>
          <w:szCs w:val="32"/>
        </w:rPr>
        <w:t>：</w:t>
      </w:r>
    </w:p>
    <w:p>
      <w:pPr>
        <w:widowControl/>
        <w:numPr>
          <w:ilvl w:val="0"/>
          <w:numId w:val="10"/>
        </w:numPr>
        <w:spacing w:line="20" w:lineRule="atLeast"/>
        <w:rPr>
          <w:rFonts w:ascii="仿宋" w:hAnsi="仿宋" w:eastAsia="仿宋" w:cs="仿宋"/>
          <w:sz w:val="32"/>
          <w:szCs w:val="32"/>
        </w:rPr>
      </w:pPr>
      <w:r>
        <w:rPr>
          <w:rFonts w:hint="eastAsia" w:ascii="仿宋" w:hAnsi="仿宋" w:eastAsia="仿宋" w:cs="仿宋"/>
          <w:sz w:val="32"/>
          <w:szCs w:val="32"/>
        </w:rPr>
        <w:t>组织并推动全县范围内的新型城镇化工作，包括智慧城市、海绵城市的建设。</w:t>
      </w:r>
    </w:p>
    <w:p>
      <w:pPr>
        <w:widowControl/>
        <w:numPr>
          <w:ilvl w:val="0"/>
          <w:numId w:val="10"/>
        </w:numPr>
        <w:spacing w:before="72" w:line="20" w:lineRule="atLeast"/>
        <w:rPr>
          <w:rFonts w:ascii="仿宋" w:hAnsi="仿宋" w:eastAsia="仿宋" w:cs="仿宋"/>
          <w:sz w:val="32"/>
          <w:szCs w:val="32"/>
        </w:rPr>
      </w:pPr>
      <w:r>
        <w:rPr>
          <w:rFonts w:hint="eastAsia" w:ascii="仿宋" w:hAnsi="仿宋" w:eastAsia="仿宋" w:cs="仿宋"/>
          <w:sz w:val="32"/>
          <w:szCs w:val="32"/>
        </w:rPr>
        <w:t>拟定并实施村镇建设政策措施，促进农村地区的城市化进程。</w:t>
      </w:r>
    </w:p>
    <w:p>
      <w:pPr>
        <w:widowControl/>
        <w:numPr>
          <w:ilvl w:val="0"/>
          <w:numId w:val="10"/>
        </w:numPr>
        <w:spacing w:before="72" w:line="20" w:lineRule="atLeast"/>
        <w:rPr>
          <w:rFonts w:ascii="仿宋" w:hAnsi="仿宋" w:eastAsia="仿宋" w:cs="仿宋"/>
          <w:sz w:val="32"/>
          <w:szCs w:val="32"/>
        </w:rPr>
      </w:pPr>
      <w:r>
        <w:rPr>
          <w:rFonts w:hint="eastAsia" w:ascii="仿宋" w:hAnsi="仿宋" w:eastAsia="仿宋" w:cs="仿宋"/>
          <w:sz w:val="32"/>
          <w:szCs w:val="32"/>
        </w:rPr>
        <w:t>指导示范镇、重点镇的建设工作，推动城乡一体化发展。</w:t>
      </w:r>
    </w:p>
    <w:p>
      <w:pPr>
        <w:widowControl/>
        <w:numPr>
          <w:ilvl w:val="0"/>
          <w:numId w:val="10"/>
        </w:numPr>
        <w:spacing w:before="72" w:line="20" w:lineRule="atLeast"/>
        <w:rPr>
          <w:rFonts w:ascii="仿宋" w:hAnsi="仿宋" w:eastAsia="仿宋" w:cs="仿宋"/>
          <w:sz w:val="32"/>
          <w:szCs w:val="32"/>
        </w:rPr>
      </w:pPr>
      <w:r>
        <w:rPr>
          <w:rFonts w:hint="eastAsia" w:ascii="仿宋" w:hAnsi="仿宋" w:eastAsia="仿宋" w:cs="仿宋"/>
          <w:sz w:val="32"/>
          <w:szCs w:val="32"/>
        </w:rPr>
        <w:t>对各类示范镇村、传统村落进行评审、推荐，提高农村地区的生活质量和发展水平。</w:t>
      </w:r>
    </w:p>
    <w:p>
      <w:pPr>
        <w:widowControl/>
        <w:numPr>
          <w:ilvl w:val="0"/>
          <w:numId w:val="10"/>
        </w:numPr>
        <w:spacing w:before="72" w:line="20" w:lineRule="atLeast"/>
        <w:rPr>
          <w:rFonts w:ascii="仿宋" w:hAnsi="仿宋" w:eastAsia="仿宋" w:cs="仿宋"/>
          <w:sz w:val="32"/>
          <w:szCs w:val="32"/>
        </w:rPr>
      </w:pPr>
      <w:r>
        <w:rPr>
          <w:rFonts w:hint="eastAsia" w:ascii="仿宋" w:hAnsi="仿宋" w:eastAsia="仿宋" w:cs="仿宋"/>
          <w:sz w:val="32"/>
          <w:szCs w:val="32"/>
        </w:rPr>
        <w:t>组织、指导规范农村建房工作和农村危房改造工作，改善农村居民的居住条件。</w:t>
      </w:r>
    </w:p>
    <w:p>
      <w:pPr>
        <w:widowControl/>
        <w:numPr>
          <w:ilvl w:val="0"/>
          <w:numId w:val="10"/>
        </w:numPr>
        <w:spacing w:before="72" w:line="20" w:lineRule="atLeast"/>
        <w:rPr>
          <w:rFonts w:ascii="仿宋" w:hAnsi="仿宋" w:eastAsia="仿宋" w:cs="仿宋"/>
          <w:sz w:val="32"/>
          <w:szCs w:val="32"/>
        </w:rPr>
      </w:pPr>
      <w:r>
        <w:rPr>
          <w:rFonts w:hint="eastAsia" w:ascii="仿宋" w:hAnsi="仿宋" w:eastAsia="仿宋" w:cs="仿宋"/>
          <w:sz w:val="32"/>
          <w:szCs w:val="32"/>
        </w:rPr>
        <w:t>与有关部门合作，指导乡镇污水处理设施建设和乡镇黑臭水体治理工作，改善农村生态环境。</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(11)</w:t>
      </w:r>
      <w:r>
        <w:rPr>
          <w:rStyle w:val="11"/>
          <w:rFonts w:hint="eastAsia" w:ascii="仿宋" w:hAnsi="仿宋" w:eastAsia="仿宋" w:cs="仿宋"/>
          <w:bCs/>
          <w:sz w:val="32"/>
          <w:szCs w:val="32"/>
        </w:rPr>
        <w:t>推进建筑节能与建设科技进步工作</w:t>
      </w:r>
      <w:r>
        <w:rPr>
          <w:rFonts w:hint="eastAsia" w:ascii="仿宋" w:hAnsi="仿宋" w:eastAsia="仿宋" w:cs="仿宋"/>
          <w:sz w:val="32"/>
          <w:szCs w:val="32"/>
        </w:rPr>
        <w:t>：</w:t>
      </w:r>
    </w:p>
    <w:p>
      <w:pPr>
        <w:widowControl/>
        <w:numPr>
          <w:ilvl w:val="0"/>
          <w:numId w:val="11"/>
        </w:numPr>
        <w:spacing w:line="20" w:lineRule="atLeast"/>
        <w:rPr>
          <w:rFonts w:ascii="仿宋" w:hAnsi="仿宋" w:eastAsia="仿宋" w:cs="仿宋"/>
          <w:sz w:val="32"/>
          <w:szCs w:val="32"/>
        </w:rPr>
      </w:pPr>
      <w:r>
        <w:rPr>
          <w:rFonts w:hint="eastAsia" w:ascii="仿宋" w:hAnsi="仿宋" w:eastAsia="仿宋" w:cs="仿宋"/>
          <w:sz w:val="32"/>
          <w:szCs w:val="32"/>
        </w:rPr>
        <w:t>拟定并监督实施全县建筑节能、绿色建筑、装配式建筑等政策、行业规划。</w:t>
      </w:r>
    </w:p>
    <w:p>
      <w:pPr>
        <w:widowControl/>
        <w:numPr>
          <w:ilvl w:val="0"/>
          <w:numId w:val="11"/>
        </w:numPr>
        <w:spacing w:before="72" w:line="20" w:lineRule="atLeast"/>
        <w:rPr>
          <w:rFonts w:ascii="仿宋" w:hAnsi="仿宋" w:eastAsia="仿宋" w:cs="仿宋"/>
          <w:sz w:val="32"/>
          <w:szCs w:val="32"/>
        </w:rPr>
      </w:pPr>
      <w:r>
        <w:rPr>
          <w:rFonts w:hint="eastAsia" w:ascii="仿宋" w:hAnsi="仿宋" w:eastAsia="仿宋" w:cs="仿宋"/>
          <w:sz w:val="32"/>
          <w:szCs w:val="32"/>
        </w:rPr>
        <w:t>组织住房和城乡建设领域的科技项目攻关，推动新技术、新产品的开发利用和科技成果转化。</w:t>
      </w:r>
    </w:p>
    <w:p>
      <w:pPr>
        <w:widowControl/>
        <w:numPr>
          <w:ilvl w:val="0"/>
          <w:numId w:val="11"/>
        </w:numPr>
        <w:spacing w:before="72" w:line="20" w:lineRule="atLeast"/>
        <w:rPr>
          <w:rFonts w:ascii="仿宋" w:hAnsi="仿宋" w:eastAsia="仿宋" w:cs="仿宋"/>
          <w:sz w:val="32"/>
          <w:szCs w:val="32"/>
        </w:rPr>
      </w:pPr>
      <w:r>
        <w:rPr>
          <w:rFonts w:hint="eastAsia" w:ascii="仿宋" w:hAnsi="仿宋" w:eastAsia="仿宋" w:cs="仿宋"/>
          <w:sz w:val="32"/>
          <w:szCs w:val="32"/>
        </w:rPr>
        <w:t>负责管理行业科技成果，提高建设行业的科技水平。</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(12)</w:t>
      </w:r>
      <w:r>
        <w:rPr>
          <w:rStyle w:val="11"/>
          <w:rFonts w:hint="eastAsia" w:ascii="仿宋" w:hAnsi="仿宋" w:eastAsia="仿宋" w:cs="仿宋"/>
          <w:bCs/>
          <w:sz w:val="32"/>
          <w:szCs w:val="32"/>
        </w:rPr>
        <w:t>勘察设计咨询行业发展规划与监管</w:t>
      </w:r>
      <w:r>
        <w:rPr>
          <w:rFonts w:hint="eastAsia" w:ascii="仿宋" w:hAnsi="仿宋" w:eastAsia="仿宋" w:cs="仿宋"/>
          <w:sz w:val="32"/>
          <w:szCs w:val="32"/>
        </w:rPr>
        <w:t>：</w:t>
      </w:r>
    </w:p>
    <w:p>
      <w:pPr>
        <w:widowControl/>
        <w:numPr>
          <w:ilvl w:val="0"/>
          <w:numId w:val="12"/>
        </w:numPr>
        <w:spacing w:line="20" w:lineRule="atLeast"/>
        <w:rPr>
          <w:rFonts w:ascii="仿宋" w:hAnsi="仿宋" w:eastAsia="仿宋" w:cs="仿宋"/>
          <w:sz w:val="32"/>
          <w:szCs w:val="32"/>
        </w:rPr>
      </w:pPr>
      <w:r>
        <w:rPr>
          <w:rFonts w:hint="eastAsia" w:ascii="仿宋" w:hAnsi="仿宋" w:eastAsia="仿宋" w:cs="仿宋"/>
          <w:sz w:val="32"/>
          <w:szCs w:val="32"/>
        </w:rPr>
        <w:t>拟定全县勘察设计咨询行业发展规划，促进该行业的健康发展。</w:t>
      </w:r>
    </w:p>
    <w:p>
      <w:pPr>
        <w:widowControl/>
        <w:numPr>
          <w:ilvl w:val="0"/>
          <w:numId w:val="12"/>
        </w:numPr>
        <w:spacing w:before="72" w:line="20" w:lineRule="atLeast"/>
        <w:rPr>
          <w:rFonts w:ascii="仿宋" w:hAnsi="仿宋" w:eastAsia="仿宋" w:cs="仿宋"/>
          <w:sz w:val="32"/>
          <w:szCs w:val="32"/>
        </w:rPr>
      </w:pPr>
      <w:r>
        <w:rPr>
          <w:rFonts w:hint="eastAsia" w:ascii="仿宋" w:hAnsi="仿宋" w:eastAsia="仿宋" w:cs="仿宋"/>
          <w:sz w:val="32"/>
          <w:szCs w:val="32"/>
        </w:rPr>
        <w:t>对勘察设计、装修装饰（含室内装修装饰）行业进行市场监管，确保市场秩序和公平竞争。</w:t>
      </w:r>
    </w:p>
    <w:p>
      <w:pPr>
        <w:widowControl/>
        <w:numPr>
          <w:ilvl w:val="0"/>
          <w:numId w:val="12"/>
        </w:numPr>
        <w:spacing w:before="72" w:line="20" w:lineRule="atLeast"/>
        <w:rPr>
          <w:rFonts w:ascii="仿宋" w:hAnsi="仿宋" w:eastAsia="仿宋" w:cs="仿宋"/>
          <w:sz w:val="32"/>
          <w:szCs w:val="32"/>
        </w:rPr>
      </w:pPr>
      <w:r>
        <w:rPr>
          <w:rFonts w:hint="eastAsia" w:ascii="仿宋" w:hAnsi="仿宋" w:eastAsia="仿宋" w:cs="仿宋"/>
          <w:sz w:val="32"/>
          <w:szCs w:val="32"/>
        </w:rPr>
        <w:t>负责建设工程初步设计审批、施工图审查工作，提高工程设计水平。</w:t>
      </w:r>
    </w:p>
    <w:p>
      <w:pPr>
        <w:widowControl/>
        <w:numPr>
          <w:ilvl w:val="0"/>
          <w:numId w:val="12"/>
        </w:numPr>
        <w:spacing w:before="72" w:line="20" w:lineRule="atLeast"/>
        <w:rPr>
          <w:rFonts w:ascii="仿宋" w:hAnsi="仿宋" w:eastAsia="仿宋" w:cs="仿宋"/>
          <w:sz w:val="32"/>
          <w:szCs w:val="32"/>
        </w:rPr>
      </w:pPr>
      <w:r>
        <w:rPr>
          <w:rFonts w:hint="eastAsia" w:ascii="仿宋" w:hAnsi="仿宋" w:eastAsia="仿宋" w:cs="仿宋"/>
          <w:sz w:val="32"/>
          <w:szCs w:val="32"/>
        </w:rPr>
        <w:t>负责建设工程人防、消防设计审查、验收、备案和抽查工作，确保建设工程符合安全要求。</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(13)</w:t>
      </w:r>
      <w:r>
        <w:rPr>
          <w:rStyle w:val="11"/>
          <w:rFonts w:hint="eastAsia" w:ascii="仿宋" w:hAnsi="仿宋" w:eastAsia="仿宋" w:cs="仿宋"/>
          <w:bCs/>
          <w:sz w:val="32"/>
          <w:szCs w:val="32"/>
        </w:rPr>
        <w:t>城市基础设施配套费征收与管理</w:t>
      </w:r>
      <w:r>
        <w:rPr>
          <w:rFonts w:hint="eastAsia" w:ascii="仿宋" w:hAnsi="仿宋" w:eastAsia="仿宋" w:cs="仿宋"/>
          <w:sz w:val="32"/>
          <w:szCs w:val="32"/>
        </w:rPr>
        <w:t>：</w:t>
      </w:r>
    </w:p>
    <w:p>
      <w:pPr>
        <w:widowControl/>
        <w:numPr>
          <w:ilvl w:val="0"/>
          <w:numId w:val="13"/>
        </w:numPr>
        <w:spacing w:line="20" w:lineRule="atLeast"/>
        <w:rPr>
          <w:rFonts w:ascii="仿宋" w:hAnsi="仿宋" w:eastAsia="仿宋" w:cs="仿宋"/>
          <w:sz w:val="32"/>
          <w:szCs w:val="32"/>
        </w:rPr>
      </w:pPr>
      <w:r>
        <w:rPr>
          <w:rFonts w:hint="eastAsia" w:ascii="仿宋" w:hAnsi="仿宋" w:eastAsia="仿宋" w:cs="仿宋"/>
          <w:sz w:val="32"/>
          <w:szCs w:val="32"/>
        </w:rPr>
        <w:t>负责全县城市基础设施配套费的征收工作，确保资金足额征收。</w:t>
      </w:r>
    </w:p>
    <w:p>
      <w:pPr>
        <w:widowControl/>
        <w:numPr>
          <w:ilvl w:val="0"/>
          <w:numId w:val="13"/>
        </w:numPr>
        <w:spacing w:before="72" w:line="20" w:lineRule="atLeast"/>
        <w:rPr>
          <w:rFonts w:ascii="仿宋" w:hAnsi="仿宋" w:eastAsia="仿宋" w:cs="仿宋"/>
          <w:sz w:val="32"/>
          <w:szCs w:val="32"/>
        </w:rPr>
      </w:pPr>
      <w:r>
        <w:rPr>
          <w:rFonts w:hint="eastAsia" w:ascii="仿宋" w:hAnsi="仿宋" w:eastAsia="仿宋" w:cs="仿宋"/>
          <w:sz w:val="32"/>
          <w:szCs w:val="32"/>
        </w:rPr>
        <w:t>与财政等有关部门合作，管理城市建设资金及其他专项资金，确保资金使用的合规性和有效性。</w:t>
      </w:r>
    </w:p>
    <w:p>
      <w:pPr>
        <w:widowControl/>
        <w:numPr>
          <w:ilvl w:val="0"/>
          <w:numId w:val="13"/>
        </w:numPr>
        <w:spacing w:before="72" w:line="20" w:lineRule="atLeast"/>
        <w:rPr>
          <w:rFonts w:ascii="仿宋" w:hAnsi="仿宋" w:eastAsia="仿宋" w:cs="仿宋"/>
          <w:sz w:val="32"/>
          <w:szCs w:val="32"/>
        </w:rPr>
      </w:pPr>
      <w:r>
        <w:rPr>
          <w:rFonts w:hint="eastAsia" w:ascii="仿宋" w:hAnsi="仿宋" w:eastAsia="仿宋" w:cs="仿宋"/>
          <w:sz w:val="32"/>
          <w:szCs w:val="32"/>
        </w:rPr>
        <w:t>监督各项资金使用情况，防止资金浪费和滥用。</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(14)</w:t>
      </w:r>
      <w:r>
        <w:rPr>
          <w:rStyle w:val="11"/>
          <w:rFonts w:hint="eastAsia" w:ascii="仿宋" w:hAnsi="仿宋" w:eastAsia="仿宋" w:cs="仿宋"/>
          <w:bCs/>
          <w:sz w:val="32"/>
          <w:szCs w:val="32"/>
        </w:rPr>
        <w:t>建设工程施工许可证核发</w:t>
      </w:r>
      <w:r>
        <w:rPr>
          <w:rFonts w:hint="eastAsia" w:ascii="仿宋" w:hAnsi="仿宋" w:eastAsia="仿宋" w:cs="仿宋"/>
          <w:sz w:val="32"/>
          <w:szCs w:val="32"/>
        </w:rPr>
        <w:t>：</w:t>
      </w:r>
    </w:p>
    <w:p>
      <w:pPr>
        <w:widowControl/>
        <w:numPr>
          <w:ilvl w:val="0"/>
          <w:numId w:val="14"/>
        </w:numPr>
        <w:spacing w:line="20" w:lineRule="atLeast"/>
        <w:rPr>
          <w:rFonts w:ascii="仿宋" w:hAnsi="仿宋" w:eastAsia="仿宋" w:cs="仿宋"/>
          <w:sz w:val="32"/>
          <w:szCs w:val="32"/>
        </w:rPr>
      </w:pPr>
      <w:r>
        <w:rPr>
          <w:rFonts w:hint="eastAsia" w:ascii="仿宋" w:hAnsi="仿宋" w:eastAsia="仿宋" w:cs="仿宋"/>
          <w:sz w:val="32"/>
          <w:szCs w:val="32"/>
        </w:rPr>
        <w:t>负责核发建设工程施工许可证，确保建设工程依法合规施工。</w:t>
      </w:r>
    </w:p>
    <w:p>
      <w:pPr>
        <w:widowControl/>
        <w:numPr>
          <w:ilvl w:val="0"/>
          <w:numId w:val="14"/>
        </w:numPr>
        <w:spacing w:before="72" w:line="20" w:lineRule="atLeast"/>
        <w:rPr>
          <w:rFonts w:ascii="仿宋" w:hAnsi="仿宋" w:eastAsia="仿宋" w:cs="仿宋"/>
          <w:sz w:val="32"/>
          <w:szCs w:val="32"/>
        </w:rPr>
      </w:pPr>
      <w:r>
        <w:rPr>
          <w:rFonts w:hint="eastAsia" w:ascii="仿宋" w:hAnsi="仿宋" w:eastAsia="仿宋" w:cs="仿宋"/>
          <w:sz w:val="32"/>
          <w:szCs w:val="32"/>
        </w:rPr>
        <w:t>按照国家改革要求，推进建设工程规划许可与施工许可的合并实施，简化审批流程。</w:t>
      </w:r>
    </w:p>
    <w:p>
      <w:pPr>
        <w:pStyle w:val="8"/>
        <w:widowControl/>
        <w:spacing w:before="168" w:beforeAutospacing="0" w:after="0" w:afterAutospacing="0" w:line="20" w:lineRule="atLeast"/>
        <w:rPr>
          <w:rFonts w:ascii="仿宋" w:hAnsi="仿宋" w:eastAsia="仿宋" w:cs="仿宋"/>
          <w:sz w:val="32"/>
          <w:szCs w:val="32"/>
        </w:rPr>
      </w:pPr>
      <w:r>
        <w:rPr>
          <w:rFonts w:hint="eastAsia" w:ascii="仿宋" w:hAnsi="仿宋" w:eastAsia="仿宋" w:cs="仿宋"/>
          <w:sz w:val="32"/>
          <w:szCs w:val="32"/>
        </w:rPr>
        <w:t>(15)</w:t>
      </w:r>
      <w:r>
        <w:rPr>
          <w:rStyle w:val="11"/>
          <w:rFonts w:hint="eastAsia" w:ascii="仿宋" w:hAnsi="仿宋" w:eastAsia="仿宋" w:cs="仿宋"/>
          <w:bCs/>
          <w:sz w:val="32"/>
          <w:szCs w:val="32"/>
        </w:rPr>
        <w:t>建设行业人才发展规划与培训</w:t>
      </w:r>
      <w:r>
        <w:rPr>
          <w:rFonts w:hint="eastAsia" w:ascii="仿宋" w:hAnsi="仿宋" w:eastAsia="仿宋" w:cs="仿宋"/>
          <w:sz w:val="32"/>
          <w:szCs w:val="32"/>
        </w:rPr>
        <w:t>：</w:t>
      </w:r>
    </w:p>
    <w:p>
      <w:pPr>
        <w:widowControl/>
        <w:numPr>
          <w:ilvl w:val="0"/>
          <w:numId w:val="15"/>
        </w:numPr>
        <w:spacing w:line="20" w:lineRule="atLeast"/>
        <w:rPr>
          <w:rFonts w:ascii="仿宋" w:hAnsi="仿宋" w:eastAsia="仿宋" w:cs="仿宋"/>
          <w:sz w:val="32"/>
          <w:szCs w:val="32"/>
        </w:rPr>
      </w:pPr>
      <w:r>
        <w:rPr>
          <w:rFonts w:hint="eastAsia" w:ascii="仿宋" w:hAnsi="仿宋" w:eastAsia="仿宋" w:cs="仿宋"/>
          <w:sz w:val="32"/>
          <w:szCs w:val="32"/>
        </w:rPr>
        <w:t>拟定建设行业人才发展规划，为行业发展提供人才保障。</w:t>
      </w:r>
    </w:p>
    <w:p>
      <w:pPr>
        <w:widowControl/>
        <w:numPr>
          <w:ilvl w:val="0"/>
          <w:numId w:val="15"/>
        </w:numPr>
        <w:spacing w:before="72" w:line="20" w:lineRule="atLeast"/>
        <w:rPr>
          <w:rFonts w:ascii="仿宋" w:hAnsi="仿宋" w:eastAsia="仿宋" w:cs="仿宋"/>
          <w:sz w:val="32"/>
          <w:szCs w:val="32"/>
        </w:rPr>
      </w:pPr>
      <w:r>
        <w:rPr>
          <w:rFonts w:hint="eastAsia" w:ascii="仿宋" w:hAnsi="仿宋" w:eastAsia="仿宋" w:cs="仿宋"/>
          <w:sz w:val="32"/>
          <w:szCs w:val="32"/>
        </w:rPr>
        <w:t>指导本系统行业人才（含农村工匠）队伍建设，提高行业人才队伍的整体素质。</w:t>
      </w:r>
    </w:p>
    <w:p>
      <w:pPr>
        <w:widowControl/>
        <w:numPr>
          <w:ilvl w:val="0"/>
          <w:numId w:val="15"/>
        </w:numPr>
        <w:spacing w:before="72" w:line="20" w:lineRule="atLeast"/>
        <w:rPr>
          <w:rFonts w:ascii="仿宋" w:hAnsi="仿宋" w:eastAsia="仿宋" w:cs="仿宋"/>
          <w:sz w:val="32"/>
          <w:szCs w:val="32"/>
        </w:rPr>
      </w:pPr>
      <w:r>
        <w:rPr>
          <w:rFonts w:hint="eastAsia" w:ascii="仿宋" w:hAnsi="仿宋" w:eastAsia="仿宋" w:cs="仿宋"/>
          <w:sz w:val="32"/>
          <w:szCs w:val="32"/>
        </w:rPr>
        <w:t>组织开展本系统职工队伍的培训和继续教育工作，提升职工的专业技能水平。</w:t>
      </w:r>
    </w:p>
    <w:p>
      <w:pPr>
        <w:widowControl/>
        <w:numPr>
          <w:ilvl w:val="0"/>
          <w:numId w:val="15"/>
        </w:numPr>
        <w:spacing w:before="72" w:line="20" w:lineRule="atLeast"/>
        <w:rPr>
          <w:rFonts w:ascii="仿宋" w:hAnsi="仿宋" w:eastAsia="仿宋" w:cs="仿宋"/>
          <w:sz w:val="32"/>
          <w:szCs w:val="32"/>
        </w:rPr>
      </w:pPr>
      <w:r>
        <w:rPr>
          <w:rFonts w:hint="eastAsia" w:ascii="仿宋" w:hAnsi="仿宋" w:eastAsia="仿宋" w:cs="仿宋"/>
          <w:sz w:val="32"/>
          <w:szCs w:val="32"/>
        </w:rPr>
        <w:t>负责本系统相关专业技术职称评定和职业资格管理工作，规范行业人才管理。</w:t>
      </w:r>
    </w:p>
    <w:p>
      <w:pPr>
        <w:widowControl/>
        <w:numPr>
          <w:ilvl w:val="0"/>
          <w:numId w:val="15"/>
        </w:numPr>
        <w:spacing w:before="72" w:line="20" w:lineRule="atLeast"/>
        <w:rPr>
          <w:rFonts w:hint="eastAsia" w:ascii="Times New Roman" w:hAnsi="Times New Roman" w:eastAsia="仿宋_GB2312" w:cs="仿宋_GB2312"/>
          <w:sz w:val="32"/>
          <w:szCs w:val="32"/>
        </w:rPr>
      </w:pPr>
      <w:r>
        <w:rPr>
          <w:rFonts w:hint="eastAsia" w:ascii="仿宋" w:hAnsi="仿宋" w:eastAsia="仿宋" w:cs="仿宋"/>
          <w:sz w:val="32"/>
          <w:szCs w:val="32"/>
        </w:rPr>
        <w:t>负责本系统的行业统计，为行业发展提供数据支持。</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ind w:firstLine="640" w:firstLineChars="200"/>
        <w:rPr>
          <w:rFonts w:ascii="仿宋" w:hAnsi="仿宋" w:eastAsia="仿宋" w:cs="仿宋"/>
          <w:b/>
          <w:bCs/>
          <w:sz w:val="32"/>
          <w:szCs w:val="32"/>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道县住房和城乡建设局</w:t>
      </w:r>
      <w:r>
        <w:rPr>
          <w:rFonts w:hint="eastAsia" w:ascii="Times New Roman" w:hAnsi="Times New Roman" w:eastAsia="仿宋_GB2312" w:cs="仿宋_GB2312"/>
          <w:bCs/>
          <w:kern w:val="0"/>
          <w:sz w:val="32"/>
          <w:szCs w:val="32"/>
        </w:rPr>
        <w:t>内设机构包括：</w:t>
      </w:r>
      <w:r>
        <w:rPr>
          <w:rFonts w:hint="eastAsia" w:ascii="仿宋" w:hAnsi="仿宋" w:eastAsia="仿宋" w:cs="仿宋"/>
          <w:bCs/>
          <w:kern w:val="0"/>
          <w:sz w:val="32"/>
          <w:szCs w:val="32"/>
        </w:rPr>
        <w:t>办公室、政策法规与执法稽查股、宣传教育股、行政审批股、勘察设计和建筑节能股、建筑业质量安全管理股、综合验收备案股、城市建设管理股、</w:t>
      </w:r>
      <w:r>
        <w:rPr>
          <w:rFonts w:hint="eastAsia" w:ascii="仿宋" w:hAnsi="仿宋" w:eastAsia="仿宋" w:cs="仿宋"/>
          <w:bCs/>
          <w:kern w:val="0"/>
          <w:sz w:val="32"/>
          <w:szCs w:val="32"/>
          <w:lang w:val="en-US" w:eastAsia="zh-CN"/>
        </w:rPr>
        <w:t>城乡建设事务中心、消防事务中心、</w:t>
      </w:r>
      <w:r>
        <w:rPr>
          <w:rFonts w:hint="eastAsia" w:ascii="仿宋" w:hAnsi="仿宋" w:eastAsia="仿宋" w:cs="仿宋"/>
          <w:bCs/>
          <w:kern w:val="0"/>
          <w:sz w:val="32"/>
          <w:szCs w:val="32"/>
        </w:rPr>
        <w:t>房地产市场监管股。</w:t>
      </w:r>
    </w:p>
    <w:p>
      <w:pPr>
        <w:ind w:left="412" w:leftChars="196"/>
        <w:rPr>
          <w:rFonts w:ascii="仿宋" w:hAnsi="仿宋" w:eastAsia="仿宋" w:cs="仿宋"/>
          <w:b/>
          <w:bCs/>
          <w:sz w:val="32"/>
          <w:szCs w:val="32"/>
        </w:rPr>
      </w:pPr>
    </w:p>
    <w:p>
      <w:pPr>
        <w:widowControl/>
        <w:spacing w:line="600" w:lineRule="exact"/>
        <w:ind w:firstLine="640" w:firstLineChars="200"/>
        <w:jc w:val="left"/>
        <w:rPr>
          <w:rFonts w:eastAsia="仿宋_GB2312"/>
          <w:sz w:val="32"/>
          <w:szCs w:val="32"/>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道县住房和城乡建设局</w:t>
      </w:r>
      <w:r>
        <w:rPr>
          <w:rFonts w:hint="eastAsia" w:ascii="Times New Roman" w:hAnsi="Times New Roman" w:eastAsia="仿宋_GB2312" w:cs="仿宋_GB2312"/>
          <w:bCs/>
          <w:kern w:val="0"/>
          <w:sz w:val="32"/>
          <w:szCs w:val="32"/>
          <w:lang w:eastAsia="zh-CN"/>
        </w:rPr>
        <w:t>2024年</w:t>
      </w:r>
      <w:r>
        <w:rPr>
          <w:rFonts w:hint="eastAsia" w:ascii="Times New Roman" w:hAnsi="Times New Roman" w:eastAsia="仿宋_GB2312" w:cs="仿宋_GB2312"/>
          <w:bCs/>
          <w:kern w:val="0"/>
          <w:sz w:val="32"/>
          <w:szCs w:val="32"/>
        </w:rPr>
        <w:t>部门决算汇总公开单位构成包括：</w:t>
      </w:r>
    </w:p>
    <w:p>
      <w:pPr>
        <w:widowControl/>
        <w:numPr>
          <w:ilvl w:val="0"/>
          <w:numId w:val="16"/>
        </w:numPr>
        <w:spacing w:line="600" w:lineRule="exact"/>
        <w:ind w:firstLine="627" w:firstLineChars="196"/>
        <w:jc w:val="left"/>
        <w:rPr>
          <w:rFonts w:eastAsia="仿宋_GB2312"/>
          <w:sz w:val="32"/>
          <w:szCs w:val="32"/>
        </w:rPr>
      </w:pPr>
      <w:r>
        <w:rPr>
          <w:rFonts w:hint="eastAsia" w:eastAsia="仿宋_GB2312"/>
          <w:sz w:val="32"/>
          <w:szCs w:val="32"/>
        </w:rPr>
        <w:t>道县住房和城乡规划建设局部门本级</w:t>
      </w:r>
    </w:p>
    <w:p>
      <w:pPr>
        <w:ind w:firstLine="640" w:firstLineChars="200"/>
        <w:rPr>
          <w:sz w:val="72"/>
          <w:szCs w:val="72"/>
        </w:rPr>
      </w:pPr>
      <w:r>
        <w:rPr>
          <w:rFonts w:hint="eastAsia" w:eastAsia="仿宋_GB2312"/>
          <w:sz w:val="32"/>
          <w:szCs w:val="32"/>
        </w:rPr>
        <w:t>2、道县建设工程质量安全监督站</w:t>
      </w:r>
    </w:p>
    <w:p>
      <w:pPr>
        <w:rPr>
          <w:rFonts w:hint="eastAsia"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both"/>
        <w:rPr>
          <w:sz w:val="72"/>
          <w:szCs w:val="72"/>
        </w:r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第二部分</w:t>
      </w: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428" w:type="dxa"/>
        <w:tblInd w:w="0" w:type="dxa"/>
        <w:tblLayout w:type="fixed"/>
        <w:tblCellMar>
          <w:top w:w="0" w:type="dxa"/>
          <w:left w:w="0" w:type="dxa"/>
          <w:bottom w:w="0" w:type="dxa"/>
          <w:right w:w="0" w:type="dxa"/>
        </w:tblCellMar>
      </w:tblPr>
      <w:tblGrid>
        <w:gridCol w:w="273"/>
        <w:gridCol w:w="732"/>
        <w:gridCol w:w="1909"/>
        <w:gridCol w:w="1132"/>
        <w:gridCol w:w="1405"/>
        <w:gridCol w:w="1994"/>
        <w:gridCol w:w="1806"/>
        <w:gridCol w:w="1806"/>
        <w:gridCol w:w="1806"/>
        <w:gridCol w:w="2565"/>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19"/>
              <w:gridCol w:w="574"/>
              <w:gridCol w:w="1309"/>
              <w:gridCol w:w="4665"/>
              <w:gridCol w:w="1609"/>
              <w:gridCol w:w="565"/>
              <w:gridCol w:w="708"/>
              <w:gridCol w:w="18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364"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596"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377"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944"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725"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392"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81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6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2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80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292"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699"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814"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部门：道县住房和城乡建设局</w:t>
                  </w:r>
                </w:p>
              </w:tc>
              <w:tc>
                <w:tcPr>
                  <w:tcW w:w="56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2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80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292"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699"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5600"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43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62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2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8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8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4762.01</w:t>
                  </w:r>
                </w:p>
              </w:tc>
              <w:tc>
                <w:tcPr>
                  <w:tcW w:w="48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9456.42</w:t>
                  </w:r>
                </w:p>
              </w:tc>
              <w:tc>
                <w:tcPr>
                  <w:tcW w:w="48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bookmarkStart w:id="3" w:name="_GoBack"/>
                  <w:bookmarkEnd w:id="3"/>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八、社会保障和就业支出</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八、其他收入</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8</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九、卫生健康支出</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59.47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十、节能环保支出</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22</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1167.62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十一、城乡社区支出</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23</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4326.78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0"/>
                      <w:szCs w:val="20"/>
                      <w:u w:val="none"/>
                      <w:lang w:val="en-US" w:eastAsia="zh-CN"/>
                    </w:rPr>
                    <w:t>十九、住房保障支出</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24</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十九、住房保障支出</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25</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b/>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890.01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二十三、其他支出</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26</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b w:val="0"/>
                      <w:bCs/>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7665.09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14218.43</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27</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rPr>
                  </w:pPr>
                  <w:r>
                    <w:rPr>
                      <w:rFonts w:hint="eastAsia" w:ascii="宋体" w:hAnsi="宋体" w:eastAsia="宋体" w:cs="宋体"/>
                      <w:i w:val="0"/>
                      <w:color w:val="000000"/>
                      <w:sz w:val="22"/>
                      <w:szCs w:val="22"/>
                      <w:u w:val="none"/>
                      <w:lang w:val="en-US" w:eastAsia="zh-CN"/>
                    </w:rPr>
                    <w:t>14218.43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28</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31" w:type="dxa"/>
                <w:trHeight w:val="62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29</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31" w:type="dxa"/>
                <w:trHeight w:val="448" w:hRule="atLeast"/>
              </w:trPr>
              <w:tc>
                <w:tcPr>
                  <w:tcW w:w="3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14218.43</w:t>
                  </w:r>
                </w:p>
              </w:tc>
              <w:tc>
                <w:tcPr>
                  <w:tcW w:w="48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w:t>
                  </w:r>
                </w:p>
              </w:tc>
              <w:tc>
                <w:tcPr>
                  <w:tcW w:w="13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r>
                    <w:rPr>
                      <w:rFonts w:hint="eastAsia" w:ascii="宋体" w:hAnsi="宋体" w:eastAsia="宋体" w:cs="宋体"/>
                      <w:i w:val="0"/>
                      <w:color w:val="000000"/>
                      <w:sz w:val="22"/>
                      <w:szCs w:val="22"/>
                      <w:u w:val="none"/>
                      <w:lang w:val="en-US" w:eastAsia="zh-CN"/>
                    </w:rPr>
                    <w:t>14218.43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96" w:hRule="atLeast"/>
        </w:trPr>
        <w:tc>
          <w:tcPr>
            <w:tcW w:w="27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73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0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3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9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500" w:hRule="atLeast"/>
        </w:trPr>
        <w:tc>
          <w:tcPr>
            <w:tcW w:w="1005"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3041"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both"/>
              <w:rPr>
                <w:rFonts w:hint="default" w:ascii="宋体" w:hAnsi="宋体" w:eastAsia="宋体" w:cs="宋体"/>
                <w:sz w:val="24"/>
                <w:szCs w:val="24"/>
                <w:lang w:val="en-US"/>
              </w:rPr>
            </w:pPr>
            <w:r>
              <w:rPr>
                <w:rFonts w:hint="eastAsia"/>
                <w:lang w:val="en-US" w:eastAsia="zh-CN"/>
              </w:rPr>
              <w:t>道县住房和城乡建设局</w:t>
            </w:r>
          </w:p>
          <w:p>
            <w:pPr>
              <w:jc w:val="right"/>
              <w:rPr>
                <w:rFonts w:ascii="宋体" w:hAnsi="宋体" w:eastAsia="宋体" w:cs="宋体"/>
                <w:sz w:val="24"/>
                <w:szCs w:val="24"/>
              </w:rPr>
            </w:pPr>
            <w:r>
              <w:rPr>
                <w:rFonts w:hint="eastAsia"/>
              </w:rPr>
              <w:t>　</w:t>
            </w:r>
          </w:p>
        </w:tc>
        <w:tc>
          <w:tcPr>
            <w:tcW w:w="14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94"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5" w:type="dxa"/>
            <w:tcBorders>
              <w:top w:val="nil"/>
              <w:left w:val="nil"/>
              <w:bottom w:val="nil"/>
              <w:right w:val="nil"/>
            </w:tcBorders>
            <w:shd w:val="clear" w:color="000000" w:fill="FFFFFF"/>
            <w:noWrap/>
            <w:tcMar>
              <w:top w:w="15" w:type="dxa"/>
              <w:left w:w="15" w:type="dxa"/>
              <w:bottom w:w="0" w:type="dxa"/>
              <w:right w:w="15" w:type="dxa"/>
            </w:tcMar>
            <w:vAlign w:val="center"/>
          </w:tcPr>
          <w:p>
            <w:pPr>
              <w:jc w:val="both"/>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291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13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40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99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8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8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8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005"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90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13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99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0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909"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13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99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6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291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1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4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99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592" w:hRule="atLeast"/>
        </w:trPr>
        <w:tc>
          <w:tcPr>
            <w:tcW w:w="291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sz w:val="22"/>
                <w:szCs w:val="22"/>
              </w:rPr>
            </w:pPr>
            <w:r>
              <w:rPr>
                <w:rFonts w:hint="eastAsia" w:ascii="宋体" w:hAnsi="宋体" w:eastAsia="宋体" w:cs="宋体"/>
                <w:sz w:val="22"/>
                <w:szCs w:val="22"/>
                <w:lang w:val="en-US" w:eastAsia="zh-CN"/>
              </w:rPr>
              <w:t>14218.43</w:t>
            </w:r>
            <w:r>
              <w:rPr>
                <w:rFonts w:hint="eastAsia" w:ascii="宋体" w:hAnsi="宋体" w:eastAsia="宋体" w:cs="宋体"/>
                <w:sz w:val="22"/>
                <w:szCs w:val="22"/>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sz w:val="22"/>
                <w:szCs w:val="22"/>
              </w:rPr>
            </w:pPr>
            <w:r>
              <w:rPr>
                <w:rFonts w:hint="eastAsia" w:ascii="宋体" w:hAnsi="宋体" w:eastAsia="宋体" w:cs="宋体"/>
                <w:sz w:val="22"/>
                <w:szCs w:val="22"/>
                <w:lang w:val="en-US" w:eastAsia="zh-CN"/>
              </w:rPr>
              <w:t>14218.43</w:t>
            </w:r>
            <w:r>
              <w:rPr>
                <w:rFonts w:hint="eastAsia" w:ascii="宋体" w:hAnsi="宋体" w:eastAsia="宋体" w:cs="宋体"/>
                <w:sz w:val="22"/>
                <w:szCs w:val="22"/>
              </w:rPr>
              <w:t>　</w:t>
            </w:r>
          </w:p>
        </w:tc>
        <w:tc>
          <w:tcPr>
            <w:tcW w:w="19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568" w:hRule="atLeast"/>
        </w:trPr>
        <w:tc>
          <w:tcPr>
            <w:tcW w:w="100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2080805</w:t>
            </w:r>
          </w:p>
        </w:tc>
        <w:tc>
          <w:tcPr>
            <w:tcW w:w="19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cs="宋体"/>
                <w:sz w:val="22"/>
                <w:szCs w:val="22"/>
                <w:lang w:val="en-US" w:eastAsia="zh-CN"/>
              </w:rPr>
              <w:t>机关事业单位基本养老保险缴费支出</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sz w:val="22"/>
                <w:szCs w:val="22"/>
              </w:rPr>
            </w:pPr>
            <w:r>
              <w:rPr>
                <w:rFonts w:hint="eastAsia" w:ascii="宋体" w:hAnsi="宋体" w:eastAsia="宋体" w:cs="宋体"/>
                <w:sz w:val="22"/>
                <w:szCs w:val="22"/>
                <w:lang w:val="en-US" w:eastAsia="zh-CN"/>
              </w:rPr>
              <w:t>109.46</w:t>
            </w:r>
            <w:r>
              <w:rPr>
                <w:rFonts w:hint="eastAsia" w:ascii="宋体" w:hAnsi="宋体" w:eastAsia="宋体" w:cs="宋体"/>
                <w:sz w:val="22"/>
                <w:szCs w:val="22"/>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szCs w:val="22"/>
              </w:rPr>
            </w:pPr>
            <w:r>
              <w:rPr>
                <w:rFonts w:hint="eastAsia" w:ascii="宋体" w:hAnsi="宋体" w:eastAsia="宋体" w:cs="宋体"/>
                <w:sz w:val="22"/>
                <w:szCs w:val="22"/>
                <w:lang w:val="en-US" w:eastAsia="zh-CN"/>
              </w:rPr>
              <w:t>109.46</w:t>
            </w:r>
            <w:r>
              <w:rPr>
                <w:rFonts w:hint="eastAsia" w:ascii="宋体" w:hAnsi="宋体" w:eastAsia="宋体" w:cs="宋体"/>
                <w:sz w:val="22"/>
                <w:szCs w:val="22"/>
              </w:rPr>
              <w:t>　</w:t>
            </w:r>
          </w:p>
        </w:tc>
        <w:tc>
          <w:tcPr>
            <w:tcW w:w="19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539" w:hRule="atLeast"/>
        </w:trPr>
        <w:tc>
          <w:tcPr>
            <w:tcW w:w="100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4"/>
                <w:szCs w:val="24"/>
                <w:lang w:val="en-US" w:eastAsia="zh-CN"/>
              </w:rPr>
            </w:pPr>
            <w:r>
              <w:rPr>
                <w:rFonts w:hint="eastAsia" w:ascii="宋体" w:hAnsi="宋体" w:eastAsia="宋体" w:cs="宋体"/>
                <w:sz w:val="22"/>
                <w:szCs w:val="22"/>
                <w:lang w:val="en-US" w:eastAsia="zh-CN"/>
              </w:rPr>
              <w:t>2101101</w:t>
            </w:r>
          </w:p>
        </w:tc>
        <w:tc>
          <w:tcPr>
            <w:tcW w:w="19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4"/>
                <w:szCs w:val="24"/>
                <w:lang w:val="en-US" w:eastAsia="zh-CN"/>
              </w:rPr>
            </w:pPr>
            <w:r>
              <w:rPr>
                <w:rFonts w:hint="eastAsia" w:ascii="宋体" w:hAnsi="宋体" w:eastAsia="宋体" w:cs="宋体"/>
                <w:sz w:val="22"/>
                <w:szCs w:val="22"/>
                <w:lang w:val="en-US" w:eastAsia="zh-CN"/>
              </w:rPr>
              <w:t>行政单位医疗</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59.48</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szCs w:val="22"/>
              </w:rPr>
            </w:pPr>
            <w:r>
              <w:rPr>
                <w:rFonts w:hint="eastAsia" w:ascii="宋体" w:hAnsi="宋体" w:eastAsia="宋体" w:cs="宋体"/>
                <w:sz w:val="22"/>
                <w:szCs w:val="22"/>
                <w:lang w:val="en-US" w:eastAsia="zh-CN"/>
              </w:rPr>
              <w:t>59.47</w:t>
            </w:r>
            <w:r>
              <w:rPr>
                <w:rFonts w:hint="eastAsia" w:ascii="宋体" w:hAnsi="宋体" w:eastAsia="宋体" w:cs="宋体"/>
                <w:sz w:val="22"/>
                <w:szCs w:val="22"/>
              </w:rPr>
              <w:t>　</w:t>
            </w:r>
          </w:p>
        </w:tc>
        <w:tc>
          <w:tcPr>
            <w:tcW w:w="19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00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2110302</w:t>
            </w:r>
          </w:p>
        </w:tc>
        <w:tc>
          <w:tcPr>
            <w:tcW w:w="19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2"/>
                <w:szCs w:val="22"/>
                <w:lang w:val="en-US" w:eastAsia="zh-CN"/>
              </w:rPr>
              <w:t>水体</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宋体" w:hAnsi="宋体" w:eastAsia="宋体" w:cs="宋体"/>
                <w:sz w:val="22"/>
                <w:szCs w:val="22"/>
              </w:rPr>
            </w:pPr>
            <w:r>
              <w:rPr>
                <w:rFonts w:hint="eastAsia" w:ascii="宋体" w:hAnsi="宋体" w:eastAsia="宋体" w:cs="宋体"/>
                <w:sz w:val="22"/>
                <w:szCs w:val="22"/>
                <w:lang w:val="en-US" w:eastAsia="zh-CN"/>
              </w:rPr>
              <w:t>1167.62</w:t>
            </w:r>
            <w:r>
              <w:rPr>
                <w:rFonts w:hint="eastAsia" w:ascii="宋体" w:hAnsi="宋体" w:eastAsia="宋体" w:cs="宋体"/>
                <w:sz w:val="22"/>
                <w:szCs w:val="22"/>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szCs w:val="22"/>
              </w:rPr>
            </w:pPr>
            <w:r>
              <w:rPr>
                <w:rFonts w:hint="eastAsia" w:ascii="宋体" w:hAnsi="宋体" w:eastAsia="宋体" w:cs="宋体"/>
                <w:sz w:val="22"/>
                <w:szCs w:val="22"/>
                <w:lang w:val="en-US" w:eastAsia="zh-CN"/>
              </w:rPr>
              <w:t>1167.62</w:t>
            </w:r>
            <w:r>
              <w:rPr>
                <w:rFonts w:hint="eastAsia" w:ascii="宋体" w:hAnsi="宋体" w:eastAsia="宋体" w:cs="宋体"/>
                <w:sz w:val="22"/>
                <w:szCs w:val="22"/>
              </w:rPr>
              <w:t>　</w:t>
            </w:r>
          </w:p>
        </w:tc>
        <w:tc>
          <w:tcPr>
            <w:tcW w:w="19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00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2120101</w:t>
            </w:r>
          </w:p>
        </w:tc>
        <w:tc>
          <w:tcPr>
            <w:tcW w:w="19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行政运行</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843.25</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843.25</w:t>
            </w:r>
          </w:p>
        </w:tc>
        <w:tc>
          <w:tcPr>
            <w:tcW w:w="19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0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2120201</w:t>
            </w:r>
          </w:p>
        </w:tc>
        <w:tc>
          <w:tcPr>
            <w:tcW w:w="19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城乡社区规划与管理</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1692.2</w:t>
            </w:r>
            <w:r>
              <w:rPr>
                <w:rFonts w:hint="eastAsia" w:asciiTheme="minorEastAsia" w:hAnsiTheme="minorEastAsia" w:eastAsiaTheme="minorEastAsia" w:cstheme="minorEastAsia"/>
                <w:sz w:val="22"/>
                <w:szCs w:val="22"/>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1692.2</w:t>
            </w:r>
            <w:r>
              <w:rPr>
                <w:rFonts w:hint="eastAsia" w:asciiTheme="minorEastAsia" w:hAnsiTheme="minorEastAsia" w:eastAsiaTheme="minorEastAsia" w:cstheme="minorEastAsia"/>
                <w:sz w:val="22"/>
                <w:szCs w:val="22"/>
              </w:rPr>
              <w:t>　</w:t>
            </w:r>
          </w:p>
        </w:tc>
        <w:tc>
          <w:tcPr>
            <w:tcW w:w="19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90" w:hRule="atLeast"/>
        </w:trPr>
        <w:tc>
          <w:tcPr>
            <w:tcW w:w="100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2120899</w:t>
            </w:r>
          </w:p>
        </w:tc>
        <w:tc>
          <w:tcPr>
            <w:tcW w:w="19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EastAsia" w:hAnsiTheme="minorEastAsia" w:eastAsiaTheme="minorEastAsia" w:cstheme="minorEastAsia"/>
                <w:sz w:val="22"/>
                <w:szCs w:val="22"/>
                <w:lang w:val="en-US" w:eastAsia="zh-CN"/>
              </w:rPr>
            </w:pPr>
            <w:r>
              <w:rPr>
                <w:rFonts w:hint="eastAsia" w:asciiTheme="minorEastAsia" w:hAnsiTheme="minorEastAsia" w:cstheme="minorEastAsia"/>
                <w:sz w:val="22"/>
                <w:szCs w:val="22"/>
                <w:lang w:val="en-US" w:eastAsia="zh-CN"/>
              </w:rPr>
              <w:t>1791.33</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EastAsia" w:hAnsiTheme="minorEastAsia" w:eastAsiaTheme="minorEastAsia" w:cstheme="minorEastAsia"/>
                <w:sz w:val="22"/>
                <w:szCs w:val="22"/>
                <w:lang w:val="en-US" w:eastAsia="zh-CN"/>
              </w:rPr>
            </w:pPr>
            <w:r>
              <w:rPr>
                <w:rFonts w:hint="eastAsia" w:asciiTheme="minorEastAsia" w:hAnsiTheme="minorEastAsia" w:cstheme="minorEastAsia"/>
                <w:sz w:val="22"/>
                <w:szCs w:val="22"/>
                <w:lang w:val="en-US" w:eastAsia="zh-CN"/>
              </w:rPr>
              <w:t>1791.33</w:t>
            </w:r>
          </w:p>
        </w:tc>
        <w:tc>
          <w:tcPr>
            <w:tcW w:w="19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61" w:hRule="atLeast"/>
        </w:trPr>
        <w:tc>
          <w:tcPr>
            <w:tcW w:w="100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2210108</w:t>
            </w:r>
          </w:p>
        </w:tc>
        <w:tc>
          <w:tcPr>
            <w:tcW w:w="190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老旧小区改造</w:t>
            </w:r>
          </w:p>
        </w:tc>
        <w:tc>
          <w:tcPr>
            <w:tcW w:w="113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890.01</w:t>
            </w:r>
            <w:r>
              <w:rPr>
                <w:rFonts w:hint="eastAsia" w:asciiTheme="minorEastAsia" w:hAnsiTheme="minorEastAsia" w:eastAsiaTheme="minorEastAsia" w:cstheme="minorEastAsia"/>
                <w:sz w:val="22"/>
                <w:szCs w:val="22"/>
              </w:rPr>
              <w:t>　</w:t>
            </w:r>
          </w:p>
        </w:tc>
        <w:tc>
          <w:tcPr>
            <w:tcW w:w="14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890.01</w:t>
            </w:r>
            <w:r>
              <w:rPr>
                <w:rFonts w:hint="eastAsia" w:asciiTheme="minorEastAsia" w:hAnsiTheme="minorEastAsia" w:eastAsiaTheme="minorEastAsia" w:cstheme="minorEastAsia"/>
                <w:sz w:val="22"/>
                <w:szCs w:val="22"/>
              </w:rPr>
              <w:t>　</w:t>
            </w:r>
          </w:p>
        </w:tc>
        <w:tc>
          <w:tcPr>
            <w:tcW w:w="199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661" w:hRule="atLeast"/>
        </w:trPr>
        <w:tc>
          <w:tcPr>
            <w:tcW w:w="100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190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13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EastAsia" w:hAnsiTheme="minorEastAsia" w:eastAsiaTheme="minorEastAsia" w:cstheme="minorEastAsia"/>
                <w:sz w:val="22"/>
                <w:szCs w:val="22"/>
                <w:lang w:val="en-US" w:eastAsia="zh-CN"/>
              </w:rPr>
            </w:pPr>
            <w:r>
              <w:rPr>
                <w:rFonts w:hint="eastAsia" w:asciiTheme="minorEastAsia" w:hAnsiTheme="minorEastAsia" w:cstheme="minorEastAsia"/>
                <w:sz w:val="22"/>
                <w:szCs w:val="22"/>
                <w:lang w:val="en-US" w:eastAsia="zh-CN"/>
              </w:rPr>
              <w:t>7181.37</w:t>
            </w:r>
          </w:p>
        </w:tc>
        <w:tc>
          <w:tcPr>
            <w:tcW w:w="14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EastAsia" w:hAnsiTheme="minorEastAsia" w:eastAsiaTheme="minorEastAsia" w:cstheme="minorEastAsia"/>
                <w:sz w:val="22"/>
                <w:szCs w:val="22"/>
                <w:lang w:val="en-US" w:eastAsia="zh-CN"/>
              </w:rPr>
            </w:pPr>
            <w:r>
              <w:rPr>
                <w:rFonts w:hint="eastAsia" w:asciiTheme="minorEastAsia" w:hAnsiTheme="minorEastAsia" w:cstheme="minorEastAsia"/>
                <w:sz w:val="22"/>
                <w:szCs w:val="22"/>
                <w:lang w:val="en-US" w:eastAsia="zh-CN"/>
              </w:rPr>
              <w:t>7181.38</w:t>
            </w:r>
          </w:p>
        </w:tc>
        <w:tc>
          <w:tcPr>
            <w:tcW w:w="199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6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61" w:hRule="atLeast"/>
        </w:trPr>
        <w:tc>
          <w:tcPr>
            <w:tcW w:w="100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2290403</w:t>
            </w:r>
          </w:p>
        </w:tc>
        <w:tc>
          <w:tcPr>
            <w:tcW w:w="190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13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EastAsia" w:hAnsiTheme="minorEastAsia" w:eastAsiaTheme="minorEastAsia" w:cstheme="minorEastAsia"/>
                <w:sz w:val="22"/>
                <w:szCs w:val="22"/>
                <w:lang w:val="en-US" w:eastAsia="zh-CN"/>
              </w:rPr>
            </w:pPr>
            <w:r>
              <w:rPr>
                <w:rFonts w:hint="eastAsia" w:asciiTheme="minorEastAsia" w:hAnsiTheme="minorEastAsia" w:cstheme="minorEastAsia"/>
                <w:sz w:val="22"/>
                <w:szCs w:val="22"/>
                <w:lang w:val="en-US" w:eastAsia="zh-CN"/>
              </w:rPr>
              <w:t>483.71</w:t>
            </w:r>
          </w:p>
        </w:tc>
        <w:tc>
          <w:tcPr>
            <w:tcW w:w="14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EastAsia" w:hAnsiTheme="minorEastAsia" w:eastAsiaTheme="minorEastAsia" w:cstheme="minorEastAsia"/>
                <w:sz w:val="22"/>
                <w:szCs w:val="22"/>
                <w:lang w:val="en-US" w:eastAsia="zh-CN"/>
              </w:rPr>
            </w:pPr>
            <w:r>
              <w:rPr>
                <w:rFonts w:hint="eastAsia" w:asciiTheme="minorEastAsia" w:hAnsiTheme="minorEastAsia" w:cstheme="minorEastAsia"/>
                <w:sz w:val="22"/>
                <w:szCs w:val="22"/>
                <w:lang w:val="en-US" w:eastAsia="zh-CN"/>
              </w:rPr>
              <w:t>483.71</w:t>
            </w:r>
          </w:p>
        </w:tc>
        <w:tc>
          <w:tcPr>
            <w:tcW w:w="199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6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15" w:hRule="atLeast"/>
        </w:trPr>
        <w:tc>
          <w:tcPr>
            <w:tcW w:w="15428" w:type="dxa"/>
            <w:gridSpan w:val="10"/>
            <w:tcBorders>
              <w:top w:val="single" w:color="auto" w:sz="4" w:space="0"/>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hint="eastAsia"/>
              </w:rPr>
            </w:pP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9"/>
        <w:tblW w:w="15640" w:type="dxa"/>
        <w:tblInd w:w="93" w:type="dxa"/>
        <w:tblLayout w:type="fixed"/>
        <w:tblCellMar>
          <w:top w:w="0" w:type="dxa"/>
          <w:left w:w="108" w:type="dxa"/>
          <w:bottom w:w="0" w:type="dxa"/>
          <w:right w:w="108" w:type="dxa"/>
        </w:tblCellMar>
      </w:tblPr>
      <w:tblGrid>
        <w:gridCol w:w="917"/>
        <w:gridCol w:w="240"/>
        <w:gridCol w:w="1989"/>
        <w:gridCol w:w="1786"/>
        <w:gridCol w:w="1787"/>
        <w:gridCol w:w="1936"/>
        <w:gridCol w:w="2250"/>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91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8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5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28" w:hRule="atLeast"/>
        </w:trPr>
        <w:tc>
          <w:tcPr>
            <w:tcW w:w="3146" w:type="dxa"/>
            <w:gridSpan w:val="3"/>
            <w:tcBorders>
              <w:top w:val="nil"/>
              <w:left w:val="nil"/>
              <w:bottom w:val="nil"/>
              <w:right w:val="nil"/>
            </w:tcBorders>
            <w:shd w:val="clear" w:color="000000" w:fill="FFFFFF"/>
            <w:noWrap/>
            <w:vAlign w:val="center"/>
          </w:tcPr>
          <w:p>
            <w:pPr>
              <w:widowControl/>
              <w:jc w:val="left"/>
              <w:rPr>
                <w:rFonts w:hint="default" w:ascii="宋体" w:hAnsi="宋体" w:eastAsia="宋体" w:cs="宋体"/>
                <w:kern w:val="0"/>
                <w:sz w:val="24"/>
                <w:szCs w:val="24"/>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道县住房和城乡建设局</w:t>
            </w:r>
          </w:p>
        </w:tc>
        <w:tc>
          <w:tcPr>
            <w:tcW w:w="178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36"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25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314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78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78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3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225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157"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989"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78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2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157"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8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8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2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314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78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787"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225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314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78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szCs w:val="22"/>
              </w:rPr>
            </w:pPr>
            <w:r>
              <w:rPr>
                <w:rFonts w:hint="eastAsia" w:ascii="宋体" w:hAnsi="宋体" w:eastAsia="宋体" w:cs="宋体"/>
                <w:sz w:val="22"/>
                <w:szCs w:val="22"/>
                <w:lang w:val="en-US" w:eastAsia="zh-CN"/>
              </w:rPr>
              <w:t>14218.43</w:t>
            </w:r>
            <w:r>
              <w:rPr>
                <w:rFonts w:hint="eastAsia" w:ascii="宋体" w:hAnsi="宋体" w:eastAsia="宋体" w:cs="宋体"/>
                <w:sz w:val="22"/>
                <w:szCs w:val="22"/>
              </w:rPr>
              <w:t>　</w:t>
            </w:r>
          </w:p>
        </w:tc>
        <w:tc>
          <w:tcPr>
            <w:tcW w:w="17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lang w:val="en-US" w:eastAsia="zh-CN"/>
              </w:rPr>
              <w:t>1184.14</w:t>
            </w:r>
            <w:r>
              <w:rPr>
                <w:rFonts w:hint="eastAsia" w:ascii="宋体" w:hAnsi="宋体" w:eastAsia="宋体" w:cs="宋体"/>
                <w:kern w:val="0"/>
                <w:sz w:val="22"/>
                <w:szCs w:val="22"/>
              </w:rPr>
              <w:t>　</w:t>
            </w:r>
          </w:p>
        </w:tc>
        <w:tc>
          <w:tcPr>
            <w:tcW w:w="19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lang w:val="en-US" w:eastAsia="zh-CN"/>
              </w:rPr>
              <w:t>13034.29</w:t>
            </w:r>
            <w:r>
              <w:rPr>
                <w:rFonts w:hint="eastAsia" w:ascii="宋体" w:hAnsi="宋体" w:eastAsia="宋体" w:cs="宋体"/>
                <w:kern w:val="0"/>
                <w:sz w:val="22"/>
                <w:szCs w:val="22"/>
              </w:rPr>
              <w:t>　</w:t>
            </w:r>
          </w:p>
        </w:tc>
        <w:tc>
          <w:tcPr>
            <w:tcW w:w="225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705" w:hRule="atLeast"/>
        </w:trPr>
        <w:tc>
          <w:tcPr>
            <w:tcW w:w="115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2080805</w:t>
            </w:r>
          </w:p>
        </w:tc>
        <w:tc>
          <w:tcPr>
            <w:tcW w:w="198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cs="宋体"/>
                <w:sz w:val="22"/>
                <w:szCs w:val="22"/>
                <w:lang w:val="en-US" w:eastAsia="zh-CN"/>
              </w:rPr>
              <w:t>机关事业单位基本养老保险缴费支出</w:t>
            </w:r>
          </w:p>
        </w:tc>
        <w:tc>
          <w:tcPr>
            <w:tcW w:w="178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szCs w:val="22"/>
              </w:rPr>
            </w:pPr>
            <w:r>
              <w:rPr>
                <w:rFonts w:hint="eastAsia" w:ascii="宋体" w:hAnsi="宋体" w:eastAsia="宋体" w:cs="宋体"/>
                <w:sz w:val="22"/>
                <w:szCs w:val="22"/>
                <w:lang w:val="en-US" w:eastAsia="zh-CN"/>
              </w:rPr>
              <w:t>109.46</w:t>
            </w:r>
            <w:r>
              <w:rPr>
                <w:rFonts w:hint="eastAsia" w:ascii="宋体" w:hAnsi="宋体" w:eastAsia="宋体" w:cs="宋体"/>
                <w:sz w:val="22"/>
                <w:szCs w:val="22"/>
              </w:rPr>
              <w:t>　</w:t>
            </w:r>
          </w:p>
        </w:tc>
        <w:tc>
          <w:tcPr>
            <w:tcW w:w="17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lang w:val="en-US" w:eastAsia="zh-CN"/>
              </w:rPr>
              <w:t>109.46</w:t>
            </w:r>
            <w:r>
              <w:rPr>
                <w:rFonts w:hint="eastAsia" w:ascii="宋体" w:hAnsi="宋体" w:eastAsia="宋体" w:cs="宋体"/>
                <w:kern w:val="0"/>
                <w:sz w:val="22"/>
                <w:szCs w:val="22"/>
              </w:rPr>
              <w:t>　</w:t>
            </w:r>
          </w:p>
        </w:tc>
        <w:tc>
          <w:tcPr>
            <w:tcW w:w="19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225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15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sz w:val="22"/>
                <w:szCs w:val="22"/>
                <w:lang w:val="en-US" w:eastAsia="zh-CN"/>
              </w:rPr>
              <w:t>2101101</w:t>
            </w:r>
          </w:p>
        </w:tc>
        <w:tc>
          <w:tcPr>
            <w:tcW w:w="198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sz w:val="22"/>
                <w:szCs w:val="22"/>
                <w:lang w:val="en-US" w:eastAsia="zh-CN"/>
              </w:rPr>
              <w:t>行政单位医疗</w:t>
            </w:r>
          </w:p>
        </w:tc>
        <w:tc>
          <w:tcPr>
            <w:tcW w:w="178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szCs w:val="22"/>
              </w:rPr>
            </w:pPr>
            <w:r>
              <w:rPr>
                <w:rFonts w:hint="eastAsia" w:ascii="宋体" w:hAnsi="宋体" w:eastAsia="宋体" w:cs="宋体"/>
                <w:sz w:val="22"/>
                <w:szCs w:val="22"/>
                <w:lang w:val="en-US" w:eastAsia="zh-CN"/>
              </w:rPr>
              <w:t>59.48</w:t>
            </w:r>
          </w:p>
        </w:tc>
        <w:tc>
          <w:tcPr>
            <w:tcW w:w="17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lang w:val="en-US" w:eastAsia="zh-CN"/>
              </w:rPr>
              <w:t>59.47</w:t>
            </w:r>
            <w:r>
              <w:rPr>
                <w:rFonts w:hint="eastAsia" w:ascii="宋体" w:hAnsi="宋体" w:eastAsia="宋体" w:cs="宋体"/>
                <w:kern w:val="0"/>
                <w:sz w:val="22"/>
                <w:szCs w:val="22"/>
              </w:rPr>
              <w:t>　</w:t>
            </w:r>
          </w:p>
        </w:tc>
        <w:tc>
          <w:tcPr>
            <w:tcW w:w="19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225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15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2110302</w:t>
            </w:r>
          </w:p>
        </w:tc>
        <w:tc>
          <w:tcPr>
            <w:tcW w:w="198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sz w:val="22"/>
                <w:szCs w:val="22"/>
                <w:lang w:val="en-US" w:eastAsia="zh-CN"/>
              </w:rPr>
              <w:t>水体</w:t>
            </w:r>
          </w:p>
        </w:tc>
        <w:tc>
          <w:tcPr>
            <w:tcW w:w="178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szCs w:val="22"/>
              </w:rPr>
            </w:pPr>
            <w:r>
              <w:rPr>
                <w:rFonts w:hint="eastAsia" w:ascii="宋体" w:hAnsi="宋体" w:eastAsia="宋体" w:cs="宋体"/>
                <w:sz w:val="22"/>
                <w:szCs w:val="22"/>
                <w:lang w:val="en-US" w:eastAsia="zh-CN"/>
              </w:rPr>
              <w:t>1167.62</w:t>
            </w:r>
            <w:r>
              <w:rPr>
                <w:rFonts w:hint="eastAsia" w:ascii="宋体" w:hAnsi="宋体" w:eastAsia="宋体" w:cs="宋体"/>
                <w:sz w:val="22"/>
                <w:szCs w:val="22"/>
              </w:rPr>
              <w:t>　</w:t>
            </w:r>
          </w:p>
        </w:tc>
        <w:tc>
          <w:tcPr>
            <w:tcW w:w="17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19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lang w:val="en-US" w:eastAsia="zh-CN"/>
              </w:rPr>
              <w:t>1167.62</w:t>
            </w:r>
            <w:r>
              <w:rPr>
                <w:rFonts w:hint="eastAsia" w:ascii="宋体" w:hAnsi="宋体" w:eastAsia="宋体" w:cs="宋体"/>
                <w:kern w:val="0"/>
                <w:sz w:val="22"/>
                <w:szCs w:val="22"/>
              </w:rPr>
              <w:t>　</w:t>
            </w:r>
          </w:p>
        </w:tc>
        <w:tc>
          <w:tcPr>
            <w:tcW w:w="225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15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2120101</w:t>
            </w:r>
          </w:p>
        </w:tc>
        <w:tc>
          <w:tcPr>
            <w:tcW w:w="198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sz w:val="22"/>
                <w:szCs w:val="22"/>
                <w:lang w:val="en-US" w:eastAsia="zh-CN"/>
              </w:rPr>
              <w:t>行政运行</w:t>
            </w:r>
          </w:p>
        </w:tc>
        <w:tc>
          <w:tcPr>
            <w:tcW w:w="178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szCs w:val="22"/>
              </w:rPr>
            </w:pPr>
            <w:r>
              <w:rPr>
                <w:rFonts w:hint="eastAsia" w:ascii="宋体" w:hAnsi="宋体" w:eastAsia="宋体" w:cs="宋体"/>
                <w:sz w:val="22"/>
                <w:szCs w:val="22"/>
                <w:lang w:val="en-US" w:eastAsia="zh-CN"/>
              </w:rPr>
              <w:t>843.25</w:t>
            </w:r>
          </w:p>
        </w:tc>
        <w:tc>
          <w:tcPr>
            <w:tcW w:w="17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lang w:val="en-US" w:eastAsia="zh-CN"/>
              </w:rPr>
              <w:t>843.25</w:t>
            </w:r>
            <w:r>
              <w:rPr>
                <w:rFonts w:hint="eastAsia" w:ascii="宋体" w:hAnsi="宋体" w:eastAsia="宋体" w:cs="宋体"/>
                <w:kern w:val="0"/>
                <w:sz w:val="22"/>
                <w:szCs w:val="22"/>
              </w:rPr>
              <w:t>　</w:t>
            </w:r>
          </w:p>
        </w:tc>
        <w:tc>
          <w:tcPr>
            <w:tcW w:w="19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225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820" w:hRule="atLeast"/>
        </w:trPr>
        <w:tc>
          <w:tcPr>
            <w:tcW w:w="115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2120201</w:t>
            </w:r>
          </w:p>
        </w:tc>
        <w:tc>
          <w:tcPr>
            <w:tcW w:w="198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城乡社区规划与管理</w:t>
            </w:r>
          </w:p>
        </w:tc>
        <w:tc>
          <w:tcPr>
            <w:tcW w:w="178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szCs w:val="22"/>
              </w:rPr>
            </w:pPr>
            <w:r>
              <w:rPr>
                <w:rFonts w:hint="eastAsia" w:asciiTheme="minorEastAsia" w:hAnsiTheme="minorEastAsia" w:eastAsiaTheme="minorEastAsia" w:cstheme="minorEastAsia"/>
                <w:sz w:val="22"/>
                <w:szCs w:val="22"/>
                <w:lang w:val="en-US" w:eastAsia="zh-CN"/>
              </w:rPr>
              <w:t>1692.2</w:t>
            </w:r>
            <w:r>
              <w:rPr>
                <w:rFonts w:hint="eastAsia" w:asciiTheme="minorEastAsia" w:hAnsiTheme="minorEastAsia" w:eastAsiaTheme="minorEastAsia" w:cstheme="minorEastAsia"/>
                <w:sz w:val="22"/>
                <w:szCs w:val="22"/>
              </w:rPr>
              <w:t>　</w:t>
            </w:r>
          </w:p>
        </w:tc>
        <w:tc>
          <w:tcPr>
            <w:tcW w:w="17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lang w:val="en-US" w:eastAsia="zh-CN"/>
              </w:rPr>
              <w:t>171.96</w:t>
            </w:r>
            <w:r>
              <w:rPr>
                <w:rFonts w:hint="eastAsia" w:ascii="宋体" w:hAnsi="宋体" w:eastAsia="宋体" w:cs="宋体"/>
                <w:kern w:val="0"/>
                <w:sz w:val="22"/>
                <w:szCs w:val="22"/>
              </w:rPr>
              <w:t>　</w:t>
            </w:r>
          </w:p>
        </w:tc>
        <w:tc>
          <w:tcPr>
            <w:tcW w:w="19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lang w:val="en-US" w:eastAsia="zh-CN"/>
              </w:rPr>
              <w:t>1520.24</w:t>
            </w:r>
            <w:r>
              <w:rPr>
                <w:rFonts w:hint="eastAsia" w:ascii="宋体" w:hAnsi="宋体" w:eastAsia="宋体" w:cs="宋体"/>
                <w:kern w:val="0"/>
                <w:sz w:val="22"/>
                <w:szCs w:val="22"/>
              </w:rPr>
              <w:t>　</w:t>
            </w:r>
          </w:p>
        </w:tc>
        <w:tc>
          <w:tcPr>
            <w:tcW w:w="225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15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198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78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szCs w:val="22"/>
              </w:rPr>
            </w:pPr>
            <w:r>
              <w:rPr>
                <w:rFonts w:hint="eastAsia" w:asciiTheme="minorEastAsia" w:hAnsiTheme="minorEastAsia" w:cstheme="minorEastAsia"/>
                <w:sz w:val="22"/>
                <w:szCs w:val="22"/>
                <w:lang w:val="en-US" w:eastAsia="zh-CN"/>
              </w:rPr>
              <w:t>1791.33</w:t>
            </w:r>
          </w:p>
        </w:tc>
        <w:tc>
          <w:tcPr>
            <w:tcW w:w="178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193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szCs w:val="22"/>
              </w:rPr>
            </w:pPr>
            <w:r>
              <w:rPr>
                <w:rFonts w:hint="eastAsia" w:ascii="宋体" w:hAnsi="宋体" w:eastAsia="宋体" w:cs="宋体"/>
                <w:kern w:val="0"/>
                <w:sz w:val="22"/>
                <w:szCs w:val="22"/>
                <w:lang w:val="en-US" w:eastAsia="zh-CN"/>
              </w:rPr>
              <w:t>1791.33</w:t>
            </w:r>
            <w:r>
              <w:rPr>
                <w:rFonts w:hint="eastAsia" w:ascii="宋体" w:hAnsi="宋体" w:eastAsia="宋体" w:cs="宋体"/>
                <w:kern w:val="0"/>
                <w:sz w:val="22"/>
                <w:szCs w:val="22"/>
              </w:rPr>
              <w:t>　</w:t>
            </w:r>
          </w:p>
        </w:tc>
        <w:tc>
          <w:tcPr>
            <w:tcW w:w="225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15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2210108</w:t>
            </w:r>
          </w:p>
        </w:tc>
        <w:tc>
          <w:tcPr>
            <w:tcW w:w="198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老旧小区改造</w:t>
            </w:r>
          </w:p>
        </w:tc>
        <w:tc>
          <w:tcPr>
            <w:tcW w:w="1786" w:type="dxa"/>
            <w:tcBorders>
              <w:top w:val="nil"/>
              <w:left w:val="nil"/>
              <w:bottom w:val="single" w:color="auto" w:sz="4" w:space="0"/>
              <w:right w:val="single" w:color="auto" w:sz="4" w:space="0"/>
            </w:tcBorders>
            <w:shd w:val="clear" w:color="auto" w:fill="auto"/>
            <w:noWrap/>
            <w:vAlign w:val="center"/>
          </w:tcPr>
          <w:p>
            <w:pPr>
              <w:jc w:val="right"/>
              <w:rPr>
                <w:rFonts w:hint="eastAsia" w:asciiTheme="minorEastAsia" w:hAnsi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890.01</w:t>
            </w:r>
            <w:r>
              <w:rPr>
                <w:rFonts w:hint="eastAsia" w:asciiTheme="minorEastAsia" w:hAnsiTheme="minorEastAsia" w:eastAsiaTheme="minorEastAsia" w:cstheme="minorEastAsia"/>
                <w:sz w:val="22"/>
                <w:szCs w:val="22"/>
              </w:rPr>
              <w:t>　</w:t>
            </w:r>
          </w:p>
        </w:tc>
        <w:tc>
          <w:tcPr>
            <w:tcW w:w="1787"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szCs w:val="22"/>
              </w:rPr>
            </w:pPr>
            <w:r>
              <w:rPr>
                <w:rFonts w:hint="eastAsia" w:asciiTheme="minorEastAsia" w:hAnsiTheme="minorEastAsia" w:eastAsiaTheme="minorEastAsia" w:cstheme="minorEastAsia"/>
                <w:sz w:val="22"/>
                <w:szCs w:val="22"/>
              </w:rPr>
              <w:t>　</w:t>
            </w:r>
          </w:p>
        </w:tc>
        <w:tc>
          <w:tcPr>
            <w:tcW w:w="1936"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szCs w:val="22"/>
                <w:lang w:val="en-US" w:eastAsia="zh-CN"/>
              </w:rPr>
            </w:pPr>
            <w:r>
              <w:rPr>
                <w:rFonts w:hint="eastAsia" w:asciiTheme="minorEastAsia" w:hAnsiTheme="minorEastAsia" w:eastAsiaTheme="minorEastAsia" w:cstheme="minorEastAsia"/>
                <w:sz w:val="22"/>
                <w:szCs w:val="22"/>
                <w:lang w:val="en-US" w:eastAsia="zh-CN"/>
              </w:rPr>
              <w:t>890.01</w:t>
            </w:r>
            <w:r>
              <w:rPr>
                <w:rFonts w:hint="eastAsia"/>
                <w:sz w:val="22"/>
                <w:szCs w:val="22"/>
              </w:rPr>
              <w:t>　</w:t>
            </w:r>
          </w:p>
        </w:tc>
        <w:tc>
          <w:tcPr>
            <w:tcW w:w="225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r>
              <w:rPr>
                <w:rFonts w:hint="eastAsia"/>
              </w:rPr>
              <w:t>　</w:t>
            </w:r>
          </w:p>
        </w:tc>
        <w:tc>
          <w:tcPr>
            <w:tcW w:w="274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r>
              <w:rPr>
                <w:rFonts w:hint="eastAsia"/>
              </w:rPr>
              <w:t>　</w:t>
            </w:r>
          </w:p>
        </w:tc>
      </w:tr>
      <w:tr>
        <w:tblPrEx>
          <w:tblCellMar>
            <w:top w:w="0" w:type="dxa"/>
            <w:left w:w="108" w:type="dxa"/>
            <w:bottom w:w="0" w:type="dxa"/>
            <w:right w:w="108" w:type="dxa"/>
          </w:tblCellMar>
        </w:tblPrEx>
        <w:trPr>
          <w:trHeight w:val="595" w:hRule="atLeast"/>
        </w:trPr>
        <w:tc>
          <w:tcPr>
            <w:tcW w:w="115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2290402</w:t>
            </w:r>
          </w:p>
        </w:tc>
        <w:tc>
          <w:tcPr>
            <w:tcW w:w="1989"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786" w:type="dxa"/>
            <w:tcBorders>
              <w:top w:val="single" w:color="auto" w:sz="4" w:space="0"/>
              <w:left w:val="nil"/>
              <w:bottom w:val="single" w:color="auto" w:sz="4" w:space="0"/>
              <w:right w:val="single" w:color="auto" w:sz="4" w:space="0"/>
            </w:tcBorders>
            <w:shd w:val="clear" w:color="auto" w:fill="auto"/>
            <w:noWrap/>
            <w:vAlign w:val="center"/>
          </w:tcPr>
          <w:p>
            <w:pPr>
              <w:jc w:val="right"/>
              <w:rPr>
                <w:rFonts w:hint="eastAsia" w:asciiTheme="minorEastAsia" w:hAnsiTheme="minorEastAsia" w:cstheme="minorEastAsia"/>
                <w:sz w:val="22"/>
                <w:szCs w:val="22"/>
                <w:lang w:val="en-US" w:eastAsia="zh-CN"/>
              </w:rPr>
            </w:pPr>
            <w:r>
              <w:rPr>
                <w:rFonts w:hint="eastAsia" w:asciiTheme="minorEastAsia" w:hAnsiTheme="minorEastAsia" w:cstheme="minorEastAsia"/>
                <w:sz w:val="22"/>
                <w:szCs w:val="22"/>
                <w:lang w:val="en-US" w:eastAsia="zh-CN"/>
              </w:rPr>
              <w:t>7181.37</w:t>
            </w:r>
          </w:p>
        </w:tc>
        <w:tc>
          <w:tcPr>
            <w:tcW w:w="1787" w:type="dxa"/>
            <w:tcBorders>
              <w:top w:val="single" w:color="auto" w:sz="4" w:space="0"/>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szCs w:val="22"/>
              </w:rPr>
            </w:pPr>
          </w:p>
        </w:tc>
        <w:tc>
          <w:tcPr>
            <w:tcW w:w="1936" w:type="dxa"/>
            <w:tcBorders>
              <w:top w:val="single" w:color="auto" w:sz="4" w:space="0"/>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7181.38</w:t>
            </w:r>
          </w:p>
        </w:tc>
        <w:tc>
          <w:tcPr>
            <w:tcW w:w="2250" w:type="dxa"/>
            <w:tcBorders>
              <w:top w:val="single" w:color="auto" w:sz="4" w:space="0"/>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991" w:type="dxa"/>
            <w:tcBorders>
              <w:top w:val="single" w:color="auto" w:sz="4" w:space="0"/>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744" w:type="dxa"/>
            <w:tcBorders>
              <w:top w:val="single" w:color="auto" w:sz="4" w:space="0"/>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15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2290403</w:t>
            </w:r>
          </w:p>
        </w:tc>
        <w:tc>
          <w:tcPr>
            <w:tcW w:w="1989"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786" w:type="dxa"/>
            <w:tcBorders>
              <w:top w:val="single" w:color="auto" w:sz="4" w:space="0"/>
              <w:left w:val="nil"/>
              <w:bottom w:val="single" w:color="auto" w:sz="4" w:space="0"/>
              <w:right w:val="single" w:color="auto" w:sz="4" w:space="0"/>
            </w:tcBorders>
            <w:shd w:val="clear" w:color="auto" w:fill="auto"/>
            <w:noWrap/>
            <w:vAlign w:val="center"/>
          </w:tcPr>
          <w:p>
            <w:pPr>
              <w:jc w:val="right"/>
              <w:rPr>
                <w:rFonts w:hint="eastAsia" w:asciiTheme="minorEastAsia" w:hAnsiTheme="minorEastAsia" w:cstheme="minorEastAsia"/>
                <w:sz w:val="22"/>
                <w:szCs w:val="22"/>
                <w:lang w:val="en-US" w:eastAsia="zh-CN"/>
              </w:rPr>
            </w:pPr>
            <w:r>
              <w:rPr>
                <w:rFonts w:hint="eastAsia" w:asciiTheme="minorEastAsia" w:hAnsiTheme="minorEastAsia" w:cstheme="minorEastAsia"/>
                <w:sz w:val="22"/>
                <w:szCs w:val="22"/>
                <w:lang w:val="en-US" w:eastAsia="zh-CN"/>
              </w:rPr>
              <w:t>483.71</w:t>
            </w:r>
          </w:p>
        </w:tc>
        <w:tc>
          <w:tcPr>
            <w:tcW w:w="1787" w:type="dxa"/>
            <w:tcBorders>
              <w:top w:val="single" w:color="auto" w:sz="4" w:space="0"/>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szCs w:val="22"/>
              </w:rPr>
            </w:pPr>
          </w:p>
        </w:tc>
        <w:tc>
          <w:tcPr>
            <w:tcW w:w="1936" w:type="dxa"/>
            <w:tcBorders>
              <w:top w:val="single" w:color="auto" w:sz="4" w:space="0"/>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483.71</w:t>
            </w:r>
          </w:p>
        </w:tc>
        <w:tc>
          <w:tcPr>
            <w:tcW w:w="2250" w:type="dxa"/>
            <w:tcBorders>
              <w:top w:val="single" w:color="auto" w:sz="4" w:space="0"/>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991" w:type="dxa"/>
            <w:tcBorders>
              <w:top w:val="single" w:color="auto" w:sz="4" w:space="0"/>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744" w:type="dxa"/>
            <w:tcBorders>
              <w:top w:val="single" w:color="auto" w:sz="4" w:space="0"/>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9"/>
        <w:tblW w:w="15521" w:type="dxa"/>
        <w:tblInd w:w="93" w:type="dxa"/>
        <w:tblLayout w:type="fixed"/>
        <w:tblCellMar>
          <w:top w:w="0" w:type="dxa"/>
          <w:left w:w="108" w:type="dxa"/>
          <w:bottom w:w="0" w:type="dxa"/>
          <w:right w:w="108" w:type="dxa"/>
        </w:tblCellMar>
      </w:tblPr>
      <w:tblGrid>
        <w:gridCol w:w="3144"/>
        <w:gridCol w:w="739"/>
        <w:gridCol w:w="1557"/>
        <w:gridCol w:w="3080"/>
        <w:gridCol w:w="632"/>
        <w:gridCol w:w="435"/>
        <w:gridCol w:w="1573"/>
        <w:gridCol w:w="1394"/>
        <w:gridCol w:w="1394"/>
        <w:gridCol w:w="1573"/>
      </w:tblGrid>
      <w:tr>
        <w:tblPrEx>
          <w:tblCellMar>
            <w:top w:w="0" w:type="dxa"/>
            <w:left w:w="108" w:type="dxa"/>
            <w:bottom w:w="0" w:type="dxa"/>
            <w:right w:w="108" w:type="dxa"/>
          </w:tblCellMar>
        </w:tblPrEx>
        <w:trPr>
          <w:trHeight w:val="671" w:hRule="atLeast"/>
        </w:trPr>
        <w:tc>
          <w:tcPr>
            <w:tcW w:w="15521"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bookmarkStart w:id="0" w:name="RANGE!A1:I22"/>
            <w:bookmarkEnd w:id="0"/>
            <w:bookmarkStart w:id="1" w:name="RANGE!A1:F16"/>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14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73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712"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144" w:type="dxa"/>
            <w:tcBorders>
              <w:top w:val="nil"/>
              <w:left w:val="nil"/>
              <w:bottom w:val="nil"/>
              <w:right w:val="nil"/>
            </w:tcBorders>
            <w:shd w:val="clear" w:color="000000" w:fill="FFFFFF"/>
            <w:noWrap/>
            <w:vAlign w:val="center"/>
          </w:tcPr>
          <w:p>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道县住房和城乡建设局</w:t>
            </w:r>
          </w:p>
        </w:tc>
        <w:tc>
          <w:tcPr>
            <w:tcW w:w="73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712"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44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081"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763"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0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5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0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4762.01</w:t>
            </w:r>
            <w:r>
              <w:rPr>
                <w:rFonts w:hint="eastAsia" w:ascii="宋体" w:hAnsi="宋体" w:eastAsia="宋体" w:cs="宋体"/>
                <w:kern w:val="0"/>
                <w:sz w:val="22"/>
              </w:rPr>
              <w:t>　</w:t>
            </w:r>
          </w:p>
        </w:tc>
        <w:tc>
          <w:tcPr>
            <w:tcW w:w="30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9456.42</w:t>
            </w:r>
            <w:r>
              <w:rPr>
                <w:rFonts w:hint="eastAsia" w:ascii="宋体" w:hAnsi="宋体" w:eastAsia="宋体" w:cs="宋体"/>
                <w:kern w:val="0"/>
                <w:sz w:val="22"/>
              </w:rPr>
              <w:t>　</w:t>
            </w:r>
          </w:p>
        </w:tc>
        <w:tc>
          <w:tcPr>
            <w:tcW w:w="30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4"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0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0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517"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08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19</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109.46</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109.46</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0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i w:val="0"/>
                <w:color w:val="000000"/>
                <w:sz w:val="22"/>
                <w:szCs w:val="22"/>
                <w:u w:val="none"/>
                <w:lang w:val="en-US" w:eastAsia="zh-CN"/>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kern w:val="0"/>
                <w:sz w:val="22"/>
                <w:szCs w:val="22"/>
                <w:u w:val="none"/>
                <w:lang w:val="en-US" w:eastAsia="zh-CN" w:bidi="ar"/>
              </w:rPr>
              <w:t>20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59.48</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59.47</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0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i w:val="0"/>
                <w:color w:val="000000"/>
                <w:sz w:val="22"/>
                <w:szCs w:val="22"/>
                <w:u w:val="none"/>
                <w:lang w:val="en-US" w:eastAsia="zh-CN"/>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kern w:val="0"/>
                <w:sz w:val="22"/>
                <w:szCs w:val="22"/>
                <w:u w:val="none"/>
                <w:lang w:val="en-US" w:eastAsia="zh-CN" w:bidi="ar"/>
              </w:rPr>
              <w:t>21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1167.62</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1167.62</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080" w:type="dxa"/>
            <w:tcBorders>
              <w:top w:val="nil"/>
              <w:left w:val="nil"/>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szCs w:val="22"/>
                <w:lang w:val="en-US" w:eastAsia="zh-CN"/>
              </w:rPr>
            </w:pPr>
            <w:r>
              <w:rPr>
                <w:rFonts w:hint="eastAsia" w:ascii="宋体" w:hAnsi="宋体" w:eastAsia="宋体" w:cs="宋体"/>
                <w:i w:val="0"/>
                <w:color w:val="000000"/>
                <w:sz w:val="22"/>
                <w:szCs w:val="22"/>
                <w:u w:val="none"/>
                <w:lang w:val="en-US" w:eastAsia="zh-CN"/>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kern w:val="0"/>
                <w:sz w:val="22"/>
                <w:szCs w:val="22"/>
                <w:u w:val="none"/>
                <w:lang w:val="en-US" w:eastAsia="zh-CN" w:bidi="ar"/>
              </w:rPr>
              <w:t>22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4326.78</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2535.45</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1791.33</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080" w:type="dxa"/>
            <w:tcBorders>
              <w:top w:val="nil"/>
              <w:left w:val="nil"/>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szCs w:val="22"/>
                <w:lang w:val="en-US" w:eastAsia="zh-CN"/>
              </w:rPr>
            </w:pPr>
            <w:r>
              <w:rPr>
                <w:rFonts w:hint="eastAsia" w:ascii="宋体" w:hAnsi="宋体" w:eastAsia="宋体" w:cs="宋体"/>
                <w:i w:val="0"/>
                <w:color w:val="000000"/>
                <w:sz w:val="22"/>
                <w:szCs w:val="22"/>
                <w:u w:val="none"/>
                <w:lang w:val="en-US" w:eastAsia="zh-CN"/>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kern w:val="0"/>
                <w:sz w:val="22"/>
                <w:szCs w:val="22"/>
                <w:u w:val="none"/>
                <w:lang w:val="en-US" w:eastAsia="zh-CN" w:bidi="ar"/>
              </w:rPr>
              <w:t>23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890.01</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890.01</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5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08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7665.09</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7665.09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14218.43</w:t>
            </w:r>
            <w:r>
              <w:rPr>
                <w:rFonts w:hint="eastAsia" w:ascii="宋体" w:hAnsi="宋体" w:eastAsia="宋体" w:cs="宋体"/>
                <w:kern w:val="0"/>
                <w:sz w:val="22"/>
              </w:rPr>
              <w:t>　</w:t>
            </w:r>
          </w:p>
        </w:tc>
        <w:tc>
          <w:tcPr>
            <w:tcW w:w="30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5</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14218.43</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4762.01</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9456.42</w:t>
            </w: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08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0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542"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0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515" w:hRule="atLeast"/>
        </w:trPr>
        <w:tc>
          <w:tcPr>
            <w:tcW w:w="314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73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0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144"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73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55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14218.43</w:t>
            </w:r>
            <w:r>
              <w:rPr>
                <w:rFonts w:hint="eastAsia" w:ascii="宋体" w:hAnsi="宋体" w:eastAsia="宋体" w:cs="宋体"/>
                <w:kern w:val="0"/>
                <w:sz w:val="22"/>
              </w:rPr>
              <w:t>　</w:t>
            </w:r>
          </w:p>
        </w:tc>
        <w:tc>
          <w:tcPr>
            <w:tcW w:w="308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14218.43</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4762.01</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宋体" w:hAnsi="宋体" w:eastAsia="宋体" w:cs="宋体"/>
                <w:b/>
                <w:bCs/>
                <w:kern w:val="0"/>
                <w:sz w:val="22"/>
                <w:lang w:val="en-US" w:eastAsia="zh-CN"/>
              </w:rPr>
            </w:pPr>
            <w:r>
              <w:rPr>
                <w:rFonts w:hint="eastAsia" w:ascii="宋体" w:hAnsi="宋体" w:eastAsia="宋体" w:cs="宋体"/>
                <w:b w:val="0"/>
                <w:bCs w:val="0"/>
                <w:kern w:val="0"/>
                <w:sz w:val="22"/>
                <w:lang w:val="en-US" w:eastAsia="zh-CN"/>
              </w:rPr>
              <w:t>9456.42</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176"/>
        <w:gridCol w:w="3351"/>
        <w:gridCol w:w="3492"/>
        <w:gridCol w:w="3000"/>
      </w:tblGrid>
      <w:tr>
        <w:tblPrEx>
          <w:tblCellMar>
            <w:top w:w="0" w:type="dxa"/>
            <w:left w:w="108" w:type="dxa"/>
            <w:bottom w:w="0" w:type="dxa"/>
            <w:right w:w="108" w:type="dxa"/>
          </w:tblCellMar>
        </w:tblPrEx>
        <w:trPr>
          <w:trHeight w:val="405" w:hRule="atLeast"/>
          <w:jc w:val="center"/>
        </w:trPr>
        <w:tc>
          <w:tcPr>
            <w:tcW w:w="4376"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843"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17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35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176"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35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176"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35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37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3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39" w:hRule="atLeast"/>
          <w:jc w:val="center"/>
        </w:trPr>
        <w:tc>
          <w:tcPr>
            <w:tcW w:w="437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351"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4762.01</w:t>
            </w:r>
            <w:r>
              <w:rPr>
                <w:rFonts w:hint="eastAsia" w:ascii="宋体" w:hAnsi="宋体" w:eastAsia="宋体" w:cs="宋体"/>
                <w:kern w:val="0"/>
                <w:sz w:val="22"/>
                <w:szCs w:val="22"/>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1184.14</w:t>
            </w:r>
            <w:r>
              <w:rPr>
                <w:rFonts w:hint="eastAsia" w:ascii="宋体" w:hAnsi="宋体" w:eastAsia="宋体" w:cs="宋体"/>
                <w:kern w:val="0"/>
                <w:sz w:val="22"/>
                <w:szCs w:val="22"/>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3577.87</w:t>
            </w:r>
            <w:r>
              <w:rPr>
                <w:rFonts w:hint="eastAsia" w:ascii="宋体" w:hAnsi="宋体" w:eastAsia="宋体" w:cs="宋体"/>
                <w:kern w:val="0"/>
                <w:sz w:val="22"/>
                <w:szCs w:val="22"/>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2080805</w:t>
            </w:r>
          </w:p>
        </w:tc>
        <w:tc>
          <w:tcPr>
            <w:tcW w:w="31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cs="宋体"/>
                <w:sz w:val="22"/>
                <w:szCs w:val="22"/>
                <w:lang w:val="en-US" w:eastAsia="zh-CN"/>
              </w:rPr>
              <w:t>机关事业单位基本养老保险缴费支出</w:t>
            </w:r>
          </w:p>
        </w:tc>
        <w:tc>
          <w:tcPr>
            <w:tcW w:w="335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szCs w:val="22"/>
              </w:rPr>
            </w:pPr>
            <w:r>
              <w:rPr>
                <w:rFonts w:hint="eastAsia" w:ascii="宋体" w:hAnsi="宋体" w:eastAsia="宋体" w:cs="宋体"/>
                <w:sz w:val="22"/>
                <w:szCs w:val="22"/>
                <w:lang w:val="en-US" w:eastAsia="zh-CN"/>
              </w:rPr>
              <w:t>109.46</w:t>
            </w:r>
            <w:r>
              <w:rPr>
                <w:rFonts w:hint="eastAsia" w:ascii="宋体" w:hAnsi="宋体" w:eastAsia="宋体" w:cs="宋体"/>
                <w:sz w:val="22"/>
                <w:szCs w:val="22"/>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szCs w:val="22"/>
              </w:rPr>
            </w:pPr>
            <w:r>
              <w:rPr>
                <w:rFonts w:hint="eastAsia" w:ascii="宋体" w:hAnsi="宋体" w:eastAsia="宋体" w:cs="宋体"/>
                <w:sz w:val="22"/>
                <w:szCs w:val="22"/>
                <w:lang w:val="en-US" w:eastAsia="zh-CN"/>
              </w:rPr>
              <w:t>109.46</w:t>
            </w:r>
            <w:r>
              <w:rPr>
                <w:rFonts w:hint="eastAsia" w:ascii="宋体" w:hAnsi="宋体" w:eastAsia="宋体" w:cs="宋体"/>
                <w:sz w:val="22"/>
                <w:szCs w:val="22"/>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sz w:val="22"/>
                <w:szCs w:val="22"/>
                <w:lang w:val="en-US" w:eastAsia="zh-CN"/>
              </w:rPr>
              <w:t>2101101</w:t>
            </w:r>
          </w:p>
        </w:tc>
        <w:tc>
          <w:tcPr>
            <w:tcW w:w="31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sz w:val="22"/>
                <w:szCs w:val="22"/>
                <w:lang w:val="en-US" w:eastAsia="zh-CN"/>
              </w:rPr>
              <w:t>行政单位医疗</w:t>
            </w:r>
          </w:p>
        </w:tc>
        <w:tc>
          <w:tcPr>
            <w:tcW w:w="335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szCs w:val="22"/>
              </w:rPr>
            </w:pPr>
            <w:r>
              <w:rPr>
                <w:rFonts w:hint="eastAsia" w:ascii="宋体" w:hAnsi="宋体" w:eastAsia="宋体" w:cs="宋体"/>
                <w:sz w:val="22"/>
                <w:szCs w:val="22"/>
                <w:lang w:val="en-US" w:eastAsia="zh-CN"/>
              </w:rPr>
              <w:t>59.48</w:t>
            </w:r>
          </w:p>
        </w:tc>
        <w:tc>
          <w:tcPr>
            <w:tcW w:w="3492" w:type="dxa"/>
            <w:tcBorders>
              <w:top w:val="nil"/>
              <w:left w:val="nil"/>
              <w:bottom w:val="single" w:color="auto" w:sz="4" w:space="0"/>
              <w:right w:val="single" w:color="auto" w:sz="4" w:space="0"/>
            </w:tcBorders>
            <w:shd w:val="clear" w:color="auto" w:fill="auto"/>
            <w:vAlign w:val="center"/>
          </w:tcPr>
          <w:p>
            <w:pPr>
              <w:jc w:val="right"/>
              <w:rPr>
                <w:rFonts w:hint="default" w:ascii="宋体" w:hAnsi="宋体" w:eastAsia="宋体" w:cs="宋体"/>
                <w:kern w:val="0"/>
                <w:sz w:val="22"/>
                <w:szCs w:val="22"/>
                <w:lang w:val="en-US"/>
              </w:rPr>
            </w:pPr>
            <w:r>
              <w:rPr>
                <w:rFonts w:hint="eastAsia" w:ascii="宋体" w:hAnsi="宋体" w:eastAsia="宋体" w:cs="宋体"/>
                <w:sz w:val="22"/>
                <w:szCs w:val="22"/>
                <w:lang w:val="en-US" w:eastAsia="zh-CN"/>
              </w:rPr>
              <w:t>59.47</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2110302</w:t>
            </w:r>
          </w:p>
        </w:tc>
        <w:tc>
          <w:tcPr>
            <w:tcW w:w="317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水体</w:t>
            </w:r>
          </w:p>
        </w:tc>
        <w:tc>
          <w:tcPr>
            <w:tcW w:w="3351" w:type="dxa"/>
            <w:tcBorders>
              <w:top w:val="single" w:color="auto" w:sz="4" w:space="0"/>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2"/>
                <w:szCs w:val="22"/>
                <w:lang w:val="en-US" w:eastAsia="zh-CN"/>
              </w:rPr>
              <w:t>1167.62</w:t>
            </w:r>
            <w:r>
              <w:rPr>
                <w:rFonts w:hint="eastAsia" w:ascii="宋体" w:hAnsi="宋体" w:eastAsia="宋体" w:cs="宋体"/>
                <w:kern w:val="0"/>
                <w:sz w:val="24"/>
                <w:szCs w:val="24"/>
              </w:rPr>
              <w:t>　</w:t>
            </w:r>
          </w:p>
        </w:tc>
        <w:tc>
          <w:tcPr>
            <w:tcW w:w="3492" w:type="dxa"/>
            <w:tcBorders>
              <w:top w:val="single" w:color="auto" w:sz="4" w:space="0"/>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宋体" w:hAnsi="宋体" w:eastAsia="宋体" w:cs="宋体"/>
                <w:kern w:val="0"/>
                <w:sz w:val="24"/>
                <w:szCs w:val="24"/>
              </w:rPr>
              <w:t>　</w:t>
            </w:r>
          </w:p>
        </w:tc>
        <w:tc>
          <w:tcPr>
            <w:tcW w:w="3000" w:type="dxa"/>
            <w:tcBorders>
              <w:top w:val="single" w:color="auto" w:sz="4" w:space="0"/>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hint="eastAsia" w:ascii="宋体" w:hAnsi="宋体" w:eastAsia="宋体" w:cs="宋体"/>
                <w:kern w:val="0"/>
                <w:sz w:val="22"/>
                <w:szCs w:val="22"/>
                <w:lang w:val="en-US" w:eastAsia="zh-CN"/>
              </w:rPr>
              <w:t>1167.62</w:t>
            </w: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2120101</w:t>
            </w:r>
          </w:p>
        </w:tc>
        <w:tc>
          <w:tcPr>
            <w:tcW w:w="317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sz w:val="22"/>
                <w:szCs w:val="22"/>
                <w:lang w:val="en-US" w:eastAsia="zh-CN"/>
              </w:rPr>
              <w:t>行政运行</w:t>
            </w:r>
          </w:p>
        </w:tc>
        <w:tc>
          <w:tcPr>
            <w:tcW w:w="3351" w:type="dxa"/>
            <w:tcBorders>
              <w:top w:val="single" w:color="auto" w:sz="4" w:space="0"/>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szCs w:val="22"/>
                <w:lang w:val="en-US" w:eastAsia="zh-CN"/>
              </w:rPr>
            </w:pPr>
            <w:r>
              <w:rPr>
                <w:rFonts w:hint="eastAsia" w:ascii="宋体" w:hAnsi="宋体" w:eastAsia="宋体" w:cs="宋体"/>
                <w:sz w:val="22"/>
                <w:szCs w:val="22"/>
                <w:lang w:val="en-US" w:eastAsia="zh-CN"/>
              </w:rPr>
              <w:t>843.25</w:t>
            </w:r>
          </w:p>
        </w:tc>
        <w:tc>
          <w:tcPr>
            <w:tcW w:w="3492" w:type="dxa"/>
            <w:tcBorders>
              <w:top w:val="single" w:color="auto" w:sz="4" w:space="0"/>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843.25</w:t>
            </w:r>
            <w:r>
              <w:rPr>
                <w:rFonts w:hint="eastAsia" w:ascii="宋体" w:hAnsi="宋体" w:eastAsia="宋体" w:cs="宋体"/>
                <w:kern w:val="0"/>
                <w:sz w:val="22"/>
                <w:szCs w:val="22"/>
              </w:rPr>
              <w:t>　</w:t>
            </w:r>
          </w:p>
        </w:tc>
        <w:tc>
          <w:tcPr>
            <w:tcW w:w="3000" w:type="dxa"/>
            <w:tcBorders>
              <w:top w:val="single" w:color="auto" w:sz="4" w:space="0"/>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4"/>
                <w:szCs w:val="24"/>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2120201</w:t>
            </w:r>
          </w:p>
        </w:tc>
        <w:tc>
          <w:tcPr>
            <w:tcW w:w="31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kern w:val="0"/>
                <w:sz w:val="22"/>
                <w:szCs w:val="22"/>
              </w:rPr>
            </w:pPr>
            <w:r>
              <w:rPr>
                <w:rFonts w:hint="eastAsia" w:ascii="宋体" w:hAnsi="宋体" w:eastAsia="宋体" w:cs="宋体"/>
                <w:i w:val="0"/>
                <w:iCs w:val="0"/>
                <w:color w:val="000000"/>
                <w:kern w:val="0"/>
                <w:sz w:val="22"/>
                <w:szCs w:val="22"/>
                <w:u w:val="none"/>
                <w:lang w:val="en-US" w:eastAsia="zh-CN" w:bidi="ar"/>
              </w:rPr>
              <w:t>城乡社区规划与管理</w:t>
            </w:r>
          </w:p>
        </w:tc>
        <w:tc>
          <w:tcPr>
            <w:tcW w:w="3351"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2"/>
                <w:szCs w:val="22"/>
              </w:rPr>
            </w:pPr>
            <w:r>
              <w:rPr>
                <w:rFonts w:hint="eastAsia" w:ascii="宋体" w:hAnsi="宋体" w:eastAsia="宋体" w:cs="宋体"/>
                <w:sz w:val="22"/>
                <w:szCs w:val="22"/>
                <w:lang w:val="en-US" w:eastAsia="zh-CN"/>
              </w:rPr>
              <w:t>1692.2</w:t>
            </w:r>
            <w:r>
              <w:rPr>
                <w:rFonts w:hint="eastAsia" w:ascii="宋体" w:hAnsi="宋体" w:eastAsia="宋体" w:cs="宋体"/>
                <w:sz w:val="22"/>
                <w:szCs w:val="22"/>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171.96</w:t>
            </w:r>
            <w:r>
              <w:rPr>
                <w:rFonts w:hint="eastAsia" w:ascii="宋体" w:hAnsi="宋体" w:eastAsia="宋体" w:cs="宋体"/>
                <w:kern w:val="0"/>
                <w:sz w:val="22"/>
                <w:szCs w:val="22"/>
              </w:rPr>
              <w:t>　</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1520.24</w:t>
            </w:r>
            <w:r>
              <w:rPr>
                <w:rFonts w:hint="eastAsia" w:ascii="宋体" w:hAnsi="宋体" w:eastAsia="宋体" w:cs="宋体"/>
                <w:kern w:val="0"/>
                <w:sz w:val="22"/>
                <w:szCs w:val="22"/>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2210108</w:t>
            </w:r>
          </w:p>
        </w:tc>
        <w:tc>
          <w:tcPr>
            <w:tcW w:w="317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老旧小区改造</w:t>
            </w:r>
          </w:p>
        </w:tc>
        <w:tc>
          <w:tcPr>
            <w:tcW w:w="3351" w:type="dxa"/>
            <w:tcBorders>
              <w:top w:val="single" w:color="auto" w:sz="4" w:space="0"/>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rPr>
              <w:t>890.01</w:t>
            </w:r>
          </w:p>
        </w:tc>
        <w:tc>
          <w:tcPr>
            <w:tcW w:w="3492"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22"/>
                <w:szCs w:val="22"/>
              </w:rPr>
            </w:pPr>
            <w:r>
              <w:rPr>
                <w:rFonts w:hint="eastAsia" w:ascii="宋体" w:hAnsi="宋体" w:eastAsia="宋体" w:cs="宋体"/>
                <w:kern w:val="0"/>
                <w:sz w:val="22"/>
                <w:szCs w:val="22"/>
              </w:rPr>
              <w:t>　</w:t>
            </w:r>
          </w:p>
        </w:tc>
        <w:tc>
          <w:tcPr>
            <w:tcW w:w="3000" w:type="dxa"/>
            <w:tcBorders>
              <w:top w:val="single" w:color="auto" w:sz="4" w:space="0"/>
              <w:left w:val="nil"/>
              <w:bottom w:val="single" w:color="auto" w:sz="4" w:space="0"/>
              <w:right w:val="single" w:color="auto" w:sz="8" w:space="0"/>
            </w:tcBorders>
            <w:shd w:val="clear" w:color="auto" w:fill="auto"/>
            <w:vAlign w:val="center"/>
          </w:tcPr>
          <w:p>
            <w:pPr>
              <w:widowControl/>
              <w:jc w:val="right"/>
              <w:rPr>
                <w:rFonts w:hint="default"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890.01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176"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351"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0" w:type="auto"/>
        <w:tblInd w:w="0" w:type="dxa"/>
        <w:tblLayout w:type="fixed"/>
        <w:tblCellMar>
          <w:top w:w="0" w:type="dxa"/>
          <w:left w:w="108" w:type="dxa"/>
          <w:bottom w:w="0" w:type="dxa"/>
          <w:right w:w="108" w:type="dxa"/>
        </w:tblCellMar>
      </w:tblPr>
      <w:tblGrid>
        <w:gridCol w:w="832"/>
        <w:gridCol w:w="240"/>
        <w:gridCol w:w="54"/>
        <w:gridCol w:w="2004"/>
        <w:gridCol w:w="927"/>
        <w:gridCol w:w="707"/>
        <w:gridCol w:w="587"/>
        <w:gridCol w:w="1036"/>
        <w:gridCol w:w="496"/>
        <w:gridCol w:w="1512"/>
        <w:gridCol w:w="607"/>
        <w:gridCol w:w="674"/>
        <w:gridCol w:w="1084"/>
        <w:gridCol w:w="361"/>
        <w:gridCol w:w="2119"/>
        <w:gridCol w:w="855"/>
        <w:gridCol w:w="1265"/>
        <w:gridCol w:w="254"/>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12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93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9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3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00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8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8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335"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51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ind w:firstLine="210" w:firstLineChars="100"/>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1012.18</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125.79</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307</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424.95</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8.55</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23.84</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1.65</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70.6</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25.55</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21.87</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282.65</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1.69</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1.32</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96.66</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11.19</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2.74</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46.48</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19.23</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3.75</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7.74</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1.02</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5.54</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37.62</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ind w:firstLine="210" w:firstLineChars="100"/>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20.62</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48</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5.35</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18.86</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1.66</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5.00</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0.23</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4.42</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43.78</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17.0</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9.02</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0.1</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93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00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28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9.63</w:t>
            </w:r>
          </w:p>
        </w:tc>
        <w:tc>
          <w:tcPr>
            <w:tcW w:w="10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3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057"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29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1032.8</w:t>
            </w:r>
          </w:p>
        </w:tc>
        <w:tc>
          <w:tcPr>
            <w:tcW w:w="8744"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519"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rPr>
              <w:t>　</w:t>
            </w:r>
            <w:r>
              <w:rPr>
                <w:rFonts w:hint="eastAsia" w:ascii="宋体" w:hAnsi="宋体" w:eastAsia="宋体" w:cs="宋体"/>
                <w:color w:val="000000"/>
                <w:kern w:val="0"/>
                <w:szCs w:val="18"/>
                <w:lang w:val="en-US" w:eastAsia="zh-CN"/>
              </w:rPr>
              <w:t>151.34</w:t>
            </w:r>
          </w:p>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83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058"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634"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78" w:hRule="atLeast"/>
        </w:trPr>
        <w:tc>
          <w:tcPr>
            <w:tcW w:w="4764" w:type="dxa"/>
            <w:gridSpan w:val="6"/>
            <w:tcBorders>
              <w:top w:val="nil"/>
              <w:left w:val="nil"/>
              <w:bottom w:val="nil"/>
              <w:right w:val="nil"/>
            </w:tcBorders>
            <w:shd w:val="clear" w:color="auto" w:fill="FFFFFF"/>
            <w:noWrap/>
            <w:vAlign w:val="center"/>
          </w:tcPr>
          <w:p>
            <w:pP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部门：道县住房和城乡建设局</w:t>
            </w: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31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7"/>
                <w:lang w:val="en-US" w:eastAsia="zh-CN" w:bidi="ar"/>
              </w:rPr>
              <w:t xml:space="preserve">   </w:t>
            </w:r>
            <w:r>
              <w:rPr>
                <w:rStyle w:val="18"/>
                <w:lang w:val="en-US" w:eastAsia="zh-CN" w:bidi="ar"/>
              </w:rPr>
              <w:t>目</w:t>
            </w:r>
          </w:p>
        </w:tc>
        <w:tc>
          <w:tcPr>
            <w:tcW w:w="16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0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0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6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31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6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925" w:hRule="atLeast"/>
        </w:trPr>
        <w:tc>
          <w:tcPr>
            <w:tcW w:w="31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6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9456.42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9456.42</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9456.42</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872" w:hRule="atLeast"/>
        </w:trPr>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2120899</w:t>
            </w: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6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both"/>
              <w:rPr>
                <w:rFonts w:hint="eastAsia" w:ascii="宋体" w:hAnsi="宋体" w:eastAsia="宋体" w:cs="宋体"/>
                <w:i w:val="0"/>
                <w:color w:val="000000"/>
                <w:sz w:val="24"/>
                <w:szCs w:val="24"/>
                <w:u w:val="none"/>
              </w:rPr>
            </w:pPr>
            <w:r>
              <w:rPr>
                <w:rFonts w:hint="eastAsia" w:ascii="宋体" w:hAnsi="宋体" w:eastAsia="宋体" w:cs="宋体"/>
                <w:kern w:val="0"/>
                <w:sz w:val="24"/>
                <w:szCs w:val="24"/>
              </w:rPr>
              <w:t>　</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1791.33</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1791.33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1791.33</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1088" w:hRule="atLeast"/>
        </w:trPr>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2290402</w:t>
            </w: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6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lang w:val="en-US"/>
              </w:rPr>
            </w:pPr>
            <w:r>
              <w:rPr>
                <w:rFonts w:hint="eastAsia" w:ascii="宋体" w:hAnsi="宋体" w:eastAsia="宋体" w:cs="宋体"/>
                <w:sz w:val="22"/>
                <w:szCs w:val="22"/>
                <w:lang w:val="en-US" w:eastAsia="zh-CN"/>
              </w:rPr>
              <w:t>7181.38</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kern w:val="0"/>
                <w:sz w:val="22"/>
                <w:szCs w:val="22"/>
                <w:lang w:val="en-US" w:eastAsia="zh-CN"/>
              </w:rPr>
              <w:t>7181.38</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lang w:val="en-US"/>
              </w:rPr>
            </w:pPr>
            <w:r>
              <w:rPr>
                <w:rFonts w:hint="eastAsia" w:ascii="宋体" w:hAnsi="宋体" w:eastAsia="宋体" w:cs="宋体"/>
                <w:sz w:val="22"/>
                <w:szCs w:val="22"/>
                <w:lang w:val="en-US" w:eastAsia="zh-CN"/>
              </w:rPr>
              <w:t>7181.38</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830" w:hRule="atLeast"/>
        </w:trPr>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2290403</w:t>
            </w: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6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sz w:val="22"/>
                <w:szCs w:val="22"/>
                <w:lang w:val="en-US" w:eastAsia="zh-CN"/>
              </w:rPr>
              <w:t>483.71</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kern w:val="0"/>
                <w:sz w:val="22"/>
                <w:szCs w:val="22"/>
                <w:lang w:val="en-US" w:eastAsia="zh-CN"/>
              </w:rPr>
              <w:t>483.71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sz w:val="22"/>
                <w:szCs w:val="22"/>
                <w:lang w:val="en-US" w:eastAsia="zh-CN"/>
              </w:rPr>
              <w:t>483.71</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6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6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9"/>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82" w:type="dxa"/>
            <w:gridSpan w:val="3"/>
            <w:tcBorders>
              <w:top w:val="nil"/>
              <w:left w:val="nil"/>
              <w:bottom w:val="nil"/>
              <w:right w:val="nil"/>
            </w:tcBorders>
            <w:shd w:val="clear" w:color="auto" w:fill="FFFFFF"/>
            <w:noWrap/>
            <w:vAlign w:val="center"/>
          </w:tcPr>
          <w:p>
            <w:pP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部门：道县住房和城乡建设局</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4"/>
        <w:rPr>
          <w:sz w:val="72"/>
          <w:szCs w:val="72"/>
        </w:rPr>
      </w:pPr>
    </w:p>
    <w:p>
      <w:pPr>
        <w:pStyle w:val="14"/>
        <w:rPr>
          <w:sz w:val="72"/>
          <w:szCs w:val="72"/>
        </w:rPr>
      </w:pPr>
    </w:p>
    <w:p>
      <w:pPr>
        <w:pStyle w:val="14"/>
        <w:rPr>
          <w:sz w:val="72"/>
          <w:szCs w:val="72"/>
        </w:rPr>
      </w:pPr>
    </w:p>
    <w:p>
      <w:pPr>
        <w:pStyle w:val="14"/>
        <w:rPr>
          <w:sz w:val="72"/>
          <w:szCs w:val="72"/>
        </w:rPr>
      </w:pPr>
    </w:p>
    <w:p>
      <w:pPr>
        <w:pStyle w:val="14"/>
        <w:jc w:val="center"/>
        <w:rPr>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eastAsia="zh-CN"/>
        </w:rPr>
        <w:t>202</w:t>
      </w:r>
      <w:r>
        <w:rPr>
          <w:rFonts w:hint="eastAsia" w:ascii="方正小标宋_GBK" w:hAnsi="方正小标宋_GBK" w:eastAsia="方正小标宋_GBK" w:cs="方正小标宋_GBK"/>
          <w:sz w:val="72"/>
          <w:szCs w:val="72"/>
          <w:lang w:val="en-US" w:eastAsia="zh-CN"/>
        </w:rPr>
        <w:t>5</w:t>
      </w:r>
      <w:r>
        <w:rPr>
          <w:rFonts w:hint="eastAsia" w:ascii="方正小标宋_GBK" w:hAnsi="方正小标宋_GBK" w:eastAsia="方正小标宋_GBK" w:cs="方正小标宋_GBK"/>
          <w:sz w:val="72"/>
          <w:szCs w:val="72"/>
          <w:lang w:eastAsia="zh-CN"/>
        </w:rPr>
        <w:t>年</w:t>
      </w:r>
      <w:r>
        <w:rPr>
          <w:rFonts w:hint="eastAsia" w:ascii="方正小标宋_GBK" w:hAnsi="方正小标宋_GBK" w:eastAsia="方正小标宋_GBK" w:cs="方正小标宋_GBK"/>
          <w:sz w:val="72"/>
          <w:szCs w:val="72"/>
        </w:rPr>
        <w:t>度</w:t>
      </w:r>
      <w:r>
        <w:rPr>
          <w:rFonts w:hint="eastAsia" w:ascii="方正小标宋_GBK" w:hAnsi="方正小标宋_GBK" w:eastAsia="方正小标宋_GBK" w:cs="方正小标宋_GBK"/>
          <w:sz w:val="72"/>
          <w:szCs w:val="72"/>
          <w:lang w:val="en-US" w:eastAsia="zh-CN"/>
        </w:rPr>
        <w:t>道县住房和城乡建设局</w:t>
      </w:r>
      <w:r>
        <w:rPr>
          <w:rFonts w:hint="eastAsia" w:ascii="方正小标宋_GBK" w:hAnsi="方正小标宋_GBK" w:eastAsia="方正小标宋_GBK" w:cs="方正小标宋_GBK"/>
          <w:sz w:val="72"/>
          <w:szCs w:val="72"/>
        </w:rPr>
        <w:t>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度收、支总计</w:t>
      </w:r>
      <w:r>
        <w:rPr>
          <w:rFonts w:hint="eastAsia" w:ascii="仿宋" w:hAnsi="仿宋" w:eastAsia="仿宋" w:cs="仿宋"/>
          <w:sz w:val="32"/>
          <w:szCs w:val="32"/>
          <w:lang w:val="en-US" w:eastAsia="zh-CN"/>
        </w:rPr>
        <w:t>14218.43</w:t>
      </w:r>
      <w:r>
        <w:rPr>
          <w:rFonts w:hint="eastAsia" w:ascii="仿宋" w:hAnsi="仿宋" w:eastAsia="仿宋" w:cs="仿宋"/>
          <w:sz w:val="32"/>
          <w:szCs w:val="32"/>
        </w:rPr>
        <w:t>万元。与上年相比</w:t>
      </w:r>
      <w:r>
        <w:rPr>
          <w:rFonts w:hint="eastAsia" w:ascii="仿宋" w:hAnsi="仿宋" w:eastAsia="仿宋" w:cs="仿宋"/>
          <w:sz w:val="32"/>
          <w:szCs w:val="32"/>
          <w:lang w:val="en-US" w:eastAsia="zh-CN"/>
        </w:rPr>
        <w:t>19982.283万元</w:t>
      </w:r>
      <w:r>
        <w:rPr>
          <w:rFonts w:hint="eastAsia" w:ascii="仿宋" w:hAnsi="仿宋" w:eastAsia="仿宋" w:cs="仿宋"/>
          <w:sz w:val="32"/>
          <w:szCs w:val="32"/>
        </w:rPr>
        <w:t>，减少</w:t>
      </w:r>
      <w:r>
        <w:rPr>
          <w:rFonts w:hint="eastAsia" w:ascii="仿宋" w:hAnsi="仿宋" w:eastAsia="仿宋" w:cs="仿宋"/>
          <w:sz w:val="32"/>
          <w:szCs w:val="32"/>
          <w:lang w:val="en-US" w:eastAsia="zh-CN"/>
        </w:rPr>
        <w:t>5763.853</w:t>
      </w:r>
      <w:r>
        <w:rPr>
          <w:rFonts w:hint="eastAsia" w:ascii="仿宋" w:hAnsi="仿宋" w:eastAsia="仿宋" w:cs="仿宋"/>
          <w:sz w:val="32"/>
          <w:szCs w:val="32"/>
        </w:rPr>
        <w:t>万元，减少</w:t>
      </w:r>
      <w:r>
        <w:rPr>
          <w:rFonts w:hint="eastAsia" w:ascii="仿宋" w:hAnsi="仿宋" w:eastAsia="仿宋" w:cs="仿宋"/>
          <w:sz w:val="32"/>
          <w:szCs w:val="32"/>
          <w:lang w:val="en-US" w:eastAsia="zh-CN"/>
        </w:rPr>
        <w:t>28.84</w:t>
      </w:r>
      <w:r>
        <w:rPr>
          <w:rFonts w:hint="eastAsia" w:ascii="仿宋" w:hAnsi="仿宋" w:eastAsia="仿宋" w:cs="仿宋"/>
          <w:sz w:val="32"/>
          <w:szCs w:val="32"/>
        </w:rPr>
        <w:t>%，主要是因为</w:t>
      </w:r>
      <w:r>
        <w:rPr>
          <w:rFonts w:hint="eastAsia" w:ascii="仿宋" w:hAnsi="仿宋" w:eastAsia="仿宋" w:cs="仿宋"/>
          <w:sz w:val="32"/>
          <w:szCs w:val="32"/>
          <w:lang w:val="en-US" w:eastAsia="zh-CN"/>
        </w:rPr>
        <w:t>2025年全县项目建设减少，建设项目支出减少了；加上人员减少了，人员经费也相继减少了。</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度收入合计</w:t>
      </w:r>
      <w:r>
        <w:rPr>
          <w:rFonts w:hint="eastAsia" w:ascii="仿宋" w:hAnsi="仿宋" w:eastAsia="仿宋" w:cs="仿宋"/>
          <w:sz w:val="32"/>
          <w:szCs w:val="32"/>
          <w:lang w:val="en-US" w:eastAsia="zh-CN"/>
        </w:rPr>
        <w:t>14218.43</w:t>
      </w:r>
      <w:r>
        <w:rPr>
          <w:rFonts w:hint="eastAsia" w:ascii="仿宋" w:hAnsi="仿宋" w:eastAsia="仿宋" w:cs="仿宋"/>
          <w:sz w:val="32"/>
          <w:szCs w:val="32"/>
        </w:rPr>
        <w:t>万元，其中：财政拨款收入</w:t>
      </w:r>
      <w:r>
        <w:rPr>
          <w:rFonts w:hint="eastAsia" w:ascii="仿宋" w:hAnsi="仿宋" w:eastAsia="仿宋" w:cs="仿宋"/>
          <w:sz w:val="32"/>
          <w:szCs w:val="32"/>
          <w:lang w:val="en-US" w:eastAsia="zh-CN"/>
        </w:rPr>
        <w:t>14218.43</w:t>
      </w:r>
      <w:r>
        <w:rPr>
          <w:rFonts w:hint="eastAsia" w:ascii="仿宋" w:hAnsi="仿宋" w:eastAsia="仿宋" w:cs="仿宋"/>
          <w:sz w:val="32"/>
          <w:szCs w:val="32"/>
        </w:rPr>
        <w:t>万元，占</w:t>
      </w:r>
      <w:r>
        <w:rPr>
          <w:rFonts w:hint="eastAsia" w:ascii="仿宋" w:hAnsi="仿宋" w:eastAsia="仿宋" w:cs="仿宋"/>
          <w:sz w:val="32"/>
          <w:szCs w:val="32"/>
          <w:lang w:val="en-US" w:eastAsia="zh-CN"/>
        </w:rPr>
        <w:t>100</w:t>
      </w:r>
      <w:r>
        <w:rPr>
          <w:rFonts w:hint="eastAsia" w:ascii="仿宋" w:hAnsi="仿宋" w:eastAsia="仿宋" w:cs="仿宋"/>
          <w:sz w:val="32"/>
          <w:szCs w:val="32"/>
        </w:rPr>
        <w:t>%；上级补助收入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%；事业收入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%；附属单位上缴收入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%；其他收入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度支出合计</w:t>
      </w:r>
      <w:r>
        <w:rPr>
          <w:rFonts w:hint="eastAsia" w:ascii="仿宋" w:hAnsi="仿宋" w:eastAsia="仿宋" w:cs="仿宋"/>
          <w:sz w:val="32"/>
          <w:szCs w:val="32"/>
          <w:lang w:val="en-US" w:eastAsia="zh-CN"/>
        </w:rPr>
        <w:t>14218.43</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1184.14</w:t>
      </w:r>
      <w:r>
        <w:rPr>
          <w:rFonts w:hint="eastAsia" w:ascii="仿宋" w:hAnsi="仿宋" w:eastAsia="仿宋" w:cs="仿宋"/>
          <w:sz w:val="32"/>
          <w:szCs w:val="32"/>
        </w:rPr>
        <w:t>万元，占</w:t>
      </w:r>
      <w:r>
        <w:rPr>
          <w:rFonts w:hint="eastAsia" w:ascii="仿宋" w:hAnsi="仿宋" w:eastAsia="仿宋" w:cs="仿宋"/>
          <w:sz w:val="32"/>
          <w:szCs w:val="32"/>
          <w:lang w:val="en-US" w:eastAsia="zh-CN"/>
        </w:rPr>
        <w:t>8.33</w:t>
      </w:r>
      <w:r>
        <w:rPr>
          <w:rFonts w:hint="eastAsia" w:ascii="仿宋" w:hAnsi="仿宋" w:eastAsia="仿宋" w:cs="仿宋"/>
          <w:sz w:val="32"/>
          <w:szCs w:val="32"/>
        </w:rPr>
        <w:t>%；项目支出</w:t>
      </w:r>
      <w:r>
        <w:rPr>
          <w:rFonts w:hint="eastAsia" w:ascii="仿宋" w:hAnsi="仿宋" w:eastAsia="仿宋" w:cs="仿宋"/>
          <w:sz w:val="32"/>
          <w:szCs w:val="32"/>
          <w:lang w:val="en-US" w:eastAsia="zh-CN"/>
        </w:rPr>
        <w:t>13034.29</w:t>
      </w:r>
      <w:r>
        <w:rPr>
          <w:rFonts w:hint="eastAsia" w:ascii="仿宋" w:hAnsi="仿宋" w:eastAsia="仿宋" w:cs="仿宋"/>
          <w:sz w:val="32"/>
          <w:szCs w:val="32"/>
        </w:rPr>
        <w:t>万元，占</w:t>
      </w:r>
      <w:r>
        <w:rPr>
          <w:rFonts w:hint="eastAsia" w:ascii="仿宋" w:hAnsi="仿宋" w:eastAsia="仿宋" w:cs="仿宋"/>
          <w:sz w:val="32"/>
          <w:szCs w:val="32"/>
          <w:lang w:val="en-US" w:eastAsia="zh-CN"/>
        </w:rPr>
        <w:t>91.67</w:t>
      </w:r>
      <w:r>
        <w:rPr>
          <w:rFonts w:hint="eastAsia" w:ascii="仿宋" w:hAnsi="仿宋" w:eastAsia="仿宋" w:cs="仿宋"/>
          <w:sz w:val="32"/>
          <w:szCs w:val="32"/>
        </w:rPr>
        <w:t>%；上缴上级支出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%；对附属单位补助支出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sz w:val="32"/>
          <w:szCs w:val="32"/>
        </w:rPr>
        <w:t xml:space="preserve">    </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度财政拨款收、支总计</w:t>
      </w:r>
      <w:r>
        <w:rPr>
          <w:rFonts w:hint="eastAsia" w:ascii="仿宋" w:hAnsi="仿宋" w:eastAsia="仿宋" w:cs="仿宋"/>
          <w:sz w:val="32"/>
          <w:szCs w:val="32"/>
          <w:lang w:val="en-US" w:eastAsia="zh-CN"/>
        </w:rPr>
        <w:t>14218.43</w:t>
      </w:r>
      <w:r>
        <w:rPr>
          <w:rFonts w:hint="eastAsia" w:ascii="仿宋" w:hAnsi="仿宋" w:eastAsia="仿宋" w:cs="仿宋"/>
          <w:sz w:val="32"/>
          <w:szCs w:val="32"/>
        </w:rPr>
        <w:t>万元，与上年</w:t>
      </w:r>
      <w:r>
        <w:rPr>
          <w:rFonts w:hint="eastAsia" w:ascii="仿宋" w:hAnsi="仿宋" w:eastAsia="仿宋" w:cs="仿宋"/>
          <w:sz w:val="32"/>
          <w:szCs w:val="32"/>
          <w:lang w:val="en-US" w:eastAsia="zh-CN"/>
        </w:rPr>
        <w:t>19982.283万元</w:t>
      </w:r>
      <w:r>
        <w:rPr>
          <w:rFonts w:hint="eastAsia" w:ascii="仿宋" w:hAnsi="仿宋" w:eastAsia="仿宋" w:cs="仿宋"/>
          <w:sz w:val="32"/>
          <w:szCs w:val="32"/>
        </w:rPr>
        <w:t>相比，减少</w:t>
      </w:r>
      <w:r>
        <w:rPr>
          <w:rFonts w:hint="eastAsia" w:ascii="仿宋" w:hAnsi="仿宋" w:eastAsia="仿宋" w:cs="仿宋"/>
          <w:sz w:val="32"/>
          <w:szCs w:val="32"/>
          <w:lang w:val="en-US" w:eastAsia="zh-CN"/>
        </w:rPr>
        <w:t>5763.853</w:t>
      </w:r>
      <w:r>
        <w:rPr>
          <w:rFonts w:hint="eastAsia" w:ascii="仿宋" w:hAnsi="仿宋" w:eastAsia="仿宋" w:cs="仿宋"/>
          <w:sz w:val="32"/>
          <w:szCs w:val="32"/>
        </w:rPr>
        <w:t>万元,减少</w:t>
      </w:r>
      <w:r>
        <w:rPr>
          <w:rFonts w:hint="eastAsia" w:ascii="仿宋" w:hAnsi="仿宋" w:eastAsia="仿宋" w:cs="仿宋"/>
          <w:sz w:val="32"/>
          <w:szCs w:val="32"/>
          <w:lang w:val="en-US" w:eastAsia="zh-CN"/>
        </w:rPr>
        <w:t>28.84</w:t>
      </w:r>
      <w:r>
        <w:rPr>
          <w:rFonts w:hint="eastAsia" w:ascii="仿宋" w:hAnsi="仿宋" w:eastAsia="仿宋" w:cs="仿宋"/>
          <w:sz w:val="32"/>
          <w:szCs w:val="32"/>
        </w:rPr>
        <w:t>%，主要是因为</w:t>
      </w:r>
      <w:r>
        <w:rPr>
          <w:rFonts w:hint="eastAsia" w:ascii="仿宋" w:hAnsi="仿宋" w:eastAsia="仿宋" w:cs="仿宋"/>
          <w:sz w:val="32"/>
          <w:szCs w:val="32"/>
          <w:lang w:val="en-US" w:eastAsia="zh-CN"/>
        </w:rPr>
        <w:t>2025年全县项目建设减少，建设项目支出减少了；加上人员减少了，人员经费也相继减少了。</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度财政拨款支出</w:t>
      </w:r>
      <w:r>
        <w:rPr>
          <w:rFonts w:hint="eastAsia" w:ascii="仿宋" w:hAnsi="仿宋" w:eastAsia="仿宋" w:cs="仿宋"/>
          <w:sz w:val="32"/>
          <w:szCs w:val="32"/>
          <w:lang w:val="en-US" w:eastAsia="zh-CN"/>
        </w:rPr>
        <w:t>4762.01</w:t>
      </w:r>
      <w:r>
        <w:rPr>
          <w:rFonts w:hint="eastAsia" w:ascii="仿宋" w:hAnsi="仿宋" w:eastAsia="仿宋" w:cs="仿宋"/>
          <w:sz w:val="32"/>
          <w:szCs w:val="32"/>
        </w:rPr>
        <w:t>万元，占本年支出合计的</w:t>
      </w:r>
      <w:r>
        <w:rPr>
          <w:rFonts w:hint="eastAsia" w:ascii="仿宋" w:hAnsi="仿宋" w:eastAsia="仿宋" w:cs="仿宋"/>
          <w:sz w:val="32"/>
          <w:szCs w:val="32"/>
          <w:lang w:val="en-US" w:eastAsia="zh-CN"/>
        </w:rPr>
        <w:t>33.49</w:t>
      </w:r>
      <w:r>
        <w:rPr>
          <w:rFonts w:hint="eastAsia" w:ascii="仿宋" w:hAnsi="仿宋" w:eastAsia="仿宋" w:cs="仿宋"/>
          <w:sz w:val="32"/>
          <w:szCs w:val="32"/>
        </w:rPr>
        <w:t>%，与上年</w:t>
      </w:r>
      <w:r>
        <w:rPr>
          <w:rFonts w:hint="eastAsia" w:ascii="仿宋" w:hAnsi="仿宋" w:eastAsia="仿宋" w:cs="仿宋"/>
          <w:sz w:val="32"/>
          <w:szCs w:val="32"/>
          <w:lang w:val="en-US" w:eastAsia="zh-CN"/>
        </w:rPr>
        <w:t>13607.486万元</w:t>
      </w:r>
      <w:r>
        <w:rPr>
          <w:rFonts w:hint="eastAsia" w:ascii="仿宋" w:hAnsi="仿宋" w:eastAsia="仿宋" w:cs="仿宋"/>
          <w:sz w:val="32"/>
          <w:szCs w:val="32"/>
        </w:rPr>
        <w:t>相比，财政拨款支出</w:t>
      </w:r>
      <w:r>
        <w:rPr>
          <w:rFonts w:hint="eastAsia" w:ascii="仿宋" w:hAnsi="仿宋" w:eastAsia="仿宋" w:cs="仿宋"/>
          <w:sz w:val="32"/>
          <w:szCs w:val="32"/>
          <w:lang w:val="en-US" w:eastAsia="zh-CN"/>
        </w:rPr>
        <w:t>减少8845.476</w:t>
      </w:r>
      <w:r>
        <w:rPr>
          <w:rFonts w:hint="eastAsia" w:ascii="仿宋" w:hAnsi="仿宋" w:eastAsia="仿宋" w:cs="仿宋"/>
          <w:sz w:val="32"/>
          <w:szCs w:val="32"/>
        </w:rPr>
        <w:t>万元，</w:t>
      </w:r>
      <w:r>
        <w:rPr>
          <w:rFonts w:hint="eastAsia" w:ascii="仿宋" w:hAnsi="仿宋" w:eastAsia="仿宋" w:cs="仿宋"/>
          <w:sz w:val="32"/>
          <w:szCs w:val="32"/>
          <w:lang w:val="en-US" w:eastAsia="zh-CN"/>
        </w:rPr>
        <w:t>下降65</w:t>
      </w:r>
      <w:r>
        <w:rPr>
          <w:rFonts w:hint="eastAsia" w:ascii="仿宋" w:hAnsi="仿宋" w:eastAsia="仿宋" w:cs="仿宋"/>
          <w:sz w:val="32"/>
          <w:szCs w:val="32"/>
        </w:rPr>
        <w:t>%，主要是因为</w:t>
      </w:r>
      <w:r>
        <w:rPr>
          <w:rFonts w:hint="eastAsia" w:ascii="仿宋" w:hAnsi="仿宋" w:eastAsia="仿宋" w:cs="仿宋"/>
          <w:sz w:val="32"/>
          <w:szCs w:val="32"/>
          <w:lang w:val="en-US" w:eastAsia="zh-CN"/>
        </w:rPr>
        <w:t>2025年项目支出大部分是从国有土地使用权出让收入安排的支出拨款。</w:t>
      </w:r>
    </w:p>
    <w:p>
      <w:pPr>
        <w:pStyle w:val="14"/>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度财政拨款支出</w:t>
      </w:r>
      <w:r>
        <w:rPr>
          <w:rFonts w:hint="eastAsia" w:ascii="仿宋" w:hAnsi="仿宋" w:eastAsia="仿宋" w:cs="仿宋"/>
          <w:sz w:val="32"/>
          <w:szCs w:val="32"/>
          <w:lang w:val="en-US" w:eastAsia="zh-CN"/>
        </w:rPr>
        <w:t>4762.01</w:t>
      </w:r>
      <w:r>
        <w:rPr>
          <w:rFonts w:hint="eastAsia" w:ascii="仿宋" w:hAnsi="仿宋" w:eastAsia="仿宋" w:cs="仿宋"/>
          <w:sz w:val="32"/>
          <w:szCs w:val="32"/>
        </w:rPr>
        <w:t>万元，主要用于以下方面：</w:t>
      </w:r>
      <w:r>
        <w:rPr>
          <w:rFonts w:hint="eastAsia" w:ascii="仿宋" w:hAnsi="仿宋" w:eastAsia="仿宋" w:cs="仿宋"/>
          <w:sz w:val="32"/>
          <w:szCs w:val="32"/>
          <w:lang w:val="en-US" w:eastAsia="zh-CN"/>
        </w:rPr>
        <w:t>社会保障和就业</w:t>
      </w:r>
      <w:r>
        <w:rPr>
          <w:rFonts w:hint="eastAsia" w:ascii="仿宋" w:hAnsi="仿宋" w:eastAsia="仿宋" w:cs="仿宋"/>
          <w:sz w:val="32"/>
          <w:szCs w:val="32"/>
        </w:rPr>
        <w:t>支出</w:t>
      </w:r>
      <w:r>
        <w:rPr>
          <w:rFonts w:hint="eastAsia" w:ascii="仿宋" w:hAnsi="仿宋" w:eastAsia="仿宋" w:cs="仿宋"/>
          <w:sz w:val="32"/>
          <w:szCs w:val="32"/>
          <w:lang w:val="en-US" w:eastAsia="zh-CN"/>
        </w:rPr>
        <w:t>109.46</w:t>
      </w:r>
      <w:r>
        <w:rPr>
          <w:rFonts w:hint="eastAsia" w:ascii="仿宋" w:hAnsi="仿宋" w:eastAsia="仿宋" w:cs="仿宋"/>
          <w:sz w:val="32"/>
          <w:szCs w:val="32"/>
        </w:rPr>
        <w:t>万元，占</w:t>
      </w:r>
      <w:r>
        <w:rPr>
          <w:rFonts w:hint="eastAsia" w:ascii="仿宋" w:hAnsi="仿宋" w:eastAsia="仿宋" w:cs="仿宋"/>
          <w:sz w:val="32"/>
          <w:szCs w:val="32"/>
          <w:lang w:val="en-US" w:eastAsia="zh-CN"/>
        </w:rPr>
        <w:t>2.29</w:t>
      </w:r>
      <w:r>
        <w:rPr>
          <w:rFonts w:hint="eastAsia" w:ascii="仿宋" w:hAnsi="仿宋" w:eastAsia="仿宋" w:cs="仿宋"/>
          <w:sz w:val="32"/>
          <w:szCs w:val="32"/>
        </w:rPr>
        <w:t>%；</w:t>
      </w:r>
      <w:r>
        <w:rPr>
          <w:rFonts w:hint="eastAsia" w:ascii="仿宋" w:hAnsi="仿宋" w:eastAsia="仿宋" w:cs="仿宋"/>
          <w:sz w:val="32"/>
          <w:szCs w:val="32"/>
          <w:lang w:val="en-US" w:eastAsia="zh-CN"/>
        </w:rPr>
        <w:t>卫生健康支出59.47万元，占1.25%；节能环保支出1167.62万元，占24.52%；城乡社区</w:t>
      </w:r>
      <w:r>
        <w:rPr>
          <w:rFonts w:hint="eastAsia" w:ascii="仿宋" w:hAnsi="仿宋" w:eastAsia="仿宋" w:cs="仿宋"/>
          <w:sz w:val="32"/>
          <w:szCs w:val="32"/>
        </w:rPr>
        <w:t>支出</w:t>
      </w:r>
      <w:r>
        <w:rPr>
          <w:rFonts w:hint="eastAsia" w:ascii="仿宋" w:hAnsi="仿宋" w:eastAsia="仿宋" w:cs="仿宋"/>
          <w:sz w:val="32"/>
          <w:szCs w:val="32"/>
          <w:lang w:val="en-US" w:eastAsia="zh-CN"/>
        </w:rPr>
        <w:t>2535.45</w:t>
      </w:r>
      <w:r>
        <w:rPr>
          <w:rFonts w:hint="eastAsia" w:ascii="仿宋" w:hAnsi="仿宋" w:eastAsia="仿宋" w:cs="仿宋"/>
          <w:sz w:val="32"/>
          <w:szCs w:val="32"/>
        </w:rPr>
        <w:t>万元，占</w:t>
      </w:r>
      <w:r>
        <w:rPr>
          <w:rFonts w:hint="eastAsia" w:ascii="仿宋" w:hAnsi="仿宋" w:eastAsia="仿宋" w:cs="仿宋"/>
          <w:sz w:val="32"/>
          <w:szCs w:val="32"/>
          <w:lang w:val="en-US" w:eastAsia="zh-CN"/>
        </w:rPr>
        <w:t>53.25</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住房保障支出890.01万元，占18.69%</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度财政拨款支出年初预算数为</w:t>
      </w:r>
      <w:r>
        <w:rPr>
          <w:rFonts w:hint="eastAsia" w:ascii="仿宋" w:hAnsi="仿宋" w:eastAsia="仿宋" w:cs="仿宋"/>
          <w:sz w:val="32"/>
          <w:szCs w:val="32"/>
          <w:lang w:val="en-US" w:eastAsia="zh-CN"/>
        </w:rPr>
        <w:t>4506.32</w:t>
      </w:r>
      <w:r>
        <w:rPr>
          <w:rFonts w:hint="eastAsia" w:ascii="仿宋" w:hAnsi="仿宋" w:eastAsia="仿宋" w:cs="仿宋"/>
          <w:sz w:val="32"/>
          <w:szCs w:val="32"/>
        </w:rPr>
        <w:t>万元，支出决算数为</w:t>
      </w:r>
      <w:r>
        <w:rPr>
          <w:rFonts w:hint="eastAsia" w:ascii="仿宋" w:hAnsi="仿宋" w:eastAsia="仿宋" w:cs="仿宋"/>
          <w:sz w:val="32"/>
          <w:szCs w:val="32"/>
          <w:lang w:val="en-US" w:eastAsia="zh-CN"/>
        </w:rPr>
        <w:t>4762.01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105.68</w:t>
      </w:r>
      <w:r>
        <w:rPr>
          <w:rFonts w:hint="eastAsia" w:ascii="仿宋" w:hAnsi="仿宋" w:eastAsia="仿宋" w:cs="仿宋"/>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w:t>
      </w:r>
      <w:r>
        <w:rPr>
          <w:rFonts w:hint="eastAsia" w:ascii="仿宋" w:hAnsi="仿宋" w:eastAsia="仿宋" w:cs="仿宋"/>
          <w:sz w:val="32"/>
          <w:szCs w:val="32"/>
          <w:lang w:val="en-US" w:eastAsia="zh-CN"/>
        </w:rPr>
        <w:t>社会保障和就业支出</w:t>
      </w:r>
      <w:r>
        <w:rPr>
          <w:rFonts w:hint="eastAsia" w:ascii="仿宋" w:hAnsi="仿宋" w:eastAsia="仿宋" w:cs="仿宋"/>
          <w:sz w:val="32"/>
          <w:szCs w:val="32"/>
        </w:rPr>
        <w:t>（类）</w:t>
      </w:r>
      <w:r>
        <w:rPr>
          <w:rFonts w:hint="eastAsia" w:ascii="仿宋" w:hAnsi="仿宋" w:eastAsia="仿宋" w:cs="仿宋"/>
          <w:sz w:val="32"/>
          <w:szCs w:val="32"/>
          <w:lang w:val="en-US" w:eastAsia="zh-CN"/>
        </w:rPr>
        <w:t>行政事业单位养老支出</w:t>
      </w:r>
      <w:r>
        <w:rPr>
          <w:rFonts w:hint="eastAsia" w:ascii="仿宋" w:hAnsi="仿宋" w:eastAsia="仿宋" w:cs="仿宋"/>
          <w:sz w:val="32"/>
          <w:szCs w:val="32"/>
        </w:rPr>
        <w:t>（款）</w:t>
      </w:r>
      <w:r>
        <w:rPr>
          <w:rFonts w:hint="eastAsia" w:ascii="仿宋" w:hAnsi="仿宋" w:eastAsia="仿宋" w:cs="仿宋"/>
          <w:sz w:val="32"/>
          <w:szCs w:val="32"/>
          <w:lang w:val="en-US" w:eastAsia="zh-CN"/>
        </w:rPr>
        <w:t>机关事业单位基本养老保险缴费支出</w:t>
      </w:r>
      <w:r>
        <w:rPr>
          <w:rFonts w:hint="eastAsia" w:ascii="仿宋" w:hAnsi="仿宋" w:eastAsia="仿宋" w:cs="仿宋"/>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107.27</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109.46</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102.04</w:t>
      </w:r>
      <w:r>
        <w:rPr>
          <w:rFonts w:hint="eastAsia" w:ascii="仿宋" w:hAnsi="仿宋" w:eastAsia="仿宋" w:cs="仿宋"/>
          <w:sz w:val="32"/>
          <w:szCs w:val="32"/>
        </w:rPr>
        <w:t>%，决算数</w:t>
      </w:r>
      <w:r>
        <w:rPr>
          <w:rFonts w:hint="eastAsia" w:ascii="仿宋" w:hAnsi="仿宋" w:eastAsia="仿宋" w:cs="仿宋"/>
          <w:sz w:val="32"/>
          <w:szCs w:val="32"/>
          <w:lang w:val="en-US" w:eastAsia="zh-CN"/>
        </w:rPr>
        <w:t>大于</w:t>
      </w:r>
      <w:r>
        <w:rPr>
          <w:rFonts w:hint="eastAsia" w:ascii="仿宋" w:hAnsi="仿宋" w:eastAsia="仿宋" w:cs="仿宋"/>
          <w:sz w:val="32"/>
          <w:szCs w:val="32"/>
        </w:rPr>
        <w:t>年初预算数的主要原因是</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今年工资增加了该科目年中拨款增加。</w:t>
      </w:r>
    </w:p>
    <w:p>
      <w:pPr>
        <w:pStyle w:val="14"/>
        <w:keepNext w:val="0"/>
        <w:keepLines w:val="0"/>
        <w:pageBreakBefore w:val="0"/>
        <w:widowControl w:val="0"/>
        <w:kinsoku/>
        <w:wordWrap/>
        <w:overflowPunct/>
        <w:topLinePunct w:val="0"/>
        <w:bidi w:val="0"/>
        <w:snapToGrid/>
        <w:spacing w:line="600" w:lineRule="exact"/>
        <w:ind w:left="638" w:leftChars="304" w:firstLine="0" w:firstLineChars="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val="en-US" w:eastAsia="zh-CN"/>
        </w:rPr>
        <w:t>卫生健康支出</w:t>
      </w:r>
      <w:r>
        <w:rPr>
          <w:rFonts w:hint="eastAsia" w:ascii="仿宋" w:hAnsi="仿宋" w:eastAsia="仿宋" w:cs="仿宋"/>
          <w:sz w:val="32"/>
          <w:szCs w:val="32"/>
        </w:rPr>
        <w:t>（类）</w:t>
      </w:r>
      <w:r>
        <w:rPr>
          <w:rFonts w:hint="eastAsia" w:ascii="仿宋" w:hAnsi="仿宋" w:eastAsia="仿宋" w:cs="仿宋"/>
          <w:sz w:val="32"/>
          <w:szCs w:val="32"/>
          <w:lang w:val="en-US" w:eastAsia="zh-CN"/>
        </w:rPr>
        <w:t>行政事业单位医疗</w:t>
      </w:r>
      <w:r>
        <w:rPr>
          <w:rFonts w:hint="eastAsia" w:ascii="仿宋" w:hAnsi="仿宋" w:eastAsia="仿宋" w:cs="仿宋"/>
          <w:sz w:val="32"/>
          <w:szCs w:val="32"/>
        </w:rPr>
        <w:t>（款）</w:t>
      </w:r>
      <w:r>
        <w:rPr>
          <w:rFonts w:hint="eastAsia" w:ascii="仿宋" w:hAnsi="仿宋" w:eastAsia="仿宋" w:cs="仿宋"/>
          <w:sz w:val="32"/>
          <w:szCs w:val="32"/>
          <w:lang w:val="en-US" w:eastAsia="zh-CN"/>
        </w:rPr>
        <w:t>行政单位医疗</w:t>
      </w:r>
      <w:r>
        <w:rPr>
          <w:rFonts w:hint="eastAsia" w:ascii="仿宋" w:hAnsi="仿宋" w:eastAsia="仿宋" w:cs="仿宋"/>
          <w:sz w:val="32"/>
          <w:szCs w:val="32"/>
        </w:rPr>
        <w:t>（项）</w:t>
      </w:r>
      <w:r>
        <w:rPr>
          <w:rFonts w:hint="eastAsia" w:ascii="仿宋" w:hAnsi="仿宋" w:eastAsia="仿宋" w:cs="仿宋"/>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58.33</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59.47</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101.95</w:t>
      </w:r>
      <w:r>
        <w:rPr>
          <w:rFonts w:hint="eastAsia" w:ascii="仿宋" w:hAnsi="仿宋" w:eastAsia="仿宋" w:cs="仿宋"/>
          <w:sz w:val="32"/>
          <w:szCs w:val="32"/>
        </w:rPr>
        <w:t>%，决</w:t>
      </w:r>
      <w:r>
        <w:rPr>
          <w:rFonts w:hint="eastAsia" w:ascii="仿宋" w:hAnsi="仿宋" w:eastAsia="仿宋" w:cs="仿宋"/>
          <w:sz w:val="32"/>
          <w:szCs w:val="32"/>
          <w:lang w:val="en-US" w:eastAsia="zh-CN"/>
        </w:rPr>
        <w:t>算</w:t>
      </w:r>
      <w:r>
        <w:rPr>
          <w:rFonts w:hint="eastAsia" w:ascii="仿宋" w:hAnsi="仿宋" w:eastAsia="仿宋" w:cs="仿宋"/>
          <w:sz w:val="32"/>
          <w:szCs w:val="32"/>
        </w:rPr>
        <w:t>数</w:t>
      </w:r>
      <w:r>
        <w:rPr>
          <w:rFonts w:hint="eastAsia" w:ascii="仿宋" w:hAnsi="仿宋" w:eastAsia="仿宋" w:cs="仿宋"/>
          <w:sz w:val="32"/>
          <w:szCs w:val="32"/>
          <w:lang w:val="en-US" w:eastAsia="zh-CN"/>
        </w:rPr>
        <w:t>大于</w:t>
      </w:r>
      <w:r>
        <w:rPr>
          <w:rFonts w:hint="eastAsia" w:ascii="仿宋" w:hAnsi="仿宋" w:eastAsia="仿宋" w:cs="仿宋"/>
          <w:sz w:val="32"/>
          <w:szCs w:val="32"/>
        </w:rPr>
        <w:t>年初预算数的主要原因是</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今年工资增加了该科目年中拨款增加。</w:t>
      </w:r>
    </w:p>
    <w:p>
      <w:pPr>
        <w:pStyle w:val="14"/>
        <w:keepNext w:val="0"/>
        <w:keepLines w:val="0"/>
        <w:pageBreakBefore w:val="0"/>
        <w:widowControl w:val="0"/>
        <w:numPr>
          <w:ilvl w:val="0"/>
          <w:numId w:val="0"/>
        </w:numPr>
        <w:kinsoku/>
        <w:wordWrap/>
        <w:overflowPunct/>
        <w:topLinePunct w:val="0"/>
        <w:bidi w:val="0"/>
        <w:snapToGrid/>
        <w:spacing w:line="600" w:lineRule="exact"/>
        <w:ind w:leftChars="196" w:firstLine="320" w:firstLineChars="1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3、节能环保支出（类）污染环保（款）水体（项）。                     </w:t>
      </w:r>
    </w:p>
    <w:p>
      <w:pPr>
        <w:pStyle w:val="14"/>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年初预算为0万元，支出决算为1167.62万元，增加是年中项目支出付款增加改科目拨款。</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4-1、城乡社区支出</w:t>
      </w:r>
      <w:r>
        <w:rPr>
          <w:rFonts w:hint="eastAsia" w:ascii="仿宋" w:hAnsi="仿宋" w:eastAsia="仿宋" w:cs="仿宋"/>
          <w:sz w:val="32"/>
          <w:szCs w:val="32"/>
        </w:rPr>
        <w:t>（类）</w:t>
      </w:r>
      <w:r>
        <w:rPr>
          <w:rFonts w:hint="eastAsia" w:ascii="仿宋" w:hAnsi="仿宋" w:eastAsia="仿宋" w:cs="仿宋"/>
          <w:sz w:val="32"/>
          <w:szCs w:val="32"/>
          <w:lang w:val="en-US" w:eastAsia="zh-CN"/>
        </w:rPr>
        <w:t>城乡社区管理事务</w:t>
      </w:r>
      <w:r>
        <w:rPr>
          <w:rFonts w:hint="eastAsia" w:ascii="仿宋" w:hAnsi="仿宋" w:eastAsia="仿宋" w:cs="仿宋"/>
          <w:sz w:val="32"/>
          <w:szCs w:val="32"/>
        </w:rPr>
        <w:t>（款）</w:t>
      </w:r>
      <w:r>
        <w:rPr>
          <w:rFonts w:hint="eastAsia" w:ascii="仿宋" w:hAnsi="仿宋" w:eastAsia="仿宋" w:cs="仿宋"/>
          <w:sz w:val="32"/>
          <w:szCs w:val="32"/>
          <w:lang w:val="en-US" w:eastAsia="zh-CN"/>
        </w:rPr>
        <w:t>行政运行（项）。</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年初预算为843.25万元，支出决算为843.25万元</w:t>
      </w:r>
      <w:r>
        <w:rPr>
          <w:rFonts w:hint="eastAsia" w:ascii="仿宋" w:hAnsi="仿宋" w:eastAsia="仿宋" w:cs="仿宋"/>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4-2、城乡社区支出（类）城乡社区规划与管理（款）。</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年初预算为1692.2万元，支出决算为1692.2万元。</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城乡社区支出</w:t>
      </w:r>
      <w:r>
        <w:rPr>
          <w:rFonts w:hint="eastAsia" w:ascii="仿宋" w:hAnsi="仿宋" w:eastAsia="仿宋" w:cs="仿宋"/>
          <w:sz w:val="32"/>
          <w:szCs w:val="32"/>
        </w:rPr>
        <w:t>年初预算为</w:t>
      </w:r>
      <w:r>
        <w:rPr>
          <w:rFonts w:hint="eastAsia" w:ascii="仿宋" w:hAnsi="仿宋" w:eastAsia="仿宋" w:cs="仿宋"/>
          <w:sz w:val="32"/>
          <w:szCs w:val="32"/>
          <w:lang w:val="en-US" w:eastAsia="zh-CN"/>
        </w:rPr>
        <w:t>2535.45</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2535.45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sz w:val="32"/>
          <w:szCs w:val="32"/>
          <w:lang w:val="en-US" w:eastAsia="zh-CN"/>
        </w:rPr>
        <w:t>住房保障支出</w:t>
      </w:r>
      <w:r>
        <w:rPr>
          <w:rFonts w:hint="eastAsia" w:ascii="仿宋" w:hAnsi="仿宋" w:eastAsia="仿宋" w:cs="仿宋"/>
          <w:sz w:val="32"/>
          <w:szCs w:val="32"/>
        </w:rPr>
        <w:t>（类）</w:t>
      </w:r>
      <w:r>
        <w:rPr>
          <w:rFonts w:hint="eastAsia" w:ascii="仿宋" w:hAnsi="仿宋" w:eastAsia="仿宋" w:cs="仿宋"/>
          <w:sz w:val="32"/>
          <w:szCs w:val="32"/>
          <w:lang w:val="en-US" w:eastAsia="zh-CN"/>
        </w:rPr>
        <w:t>老旧小区改造支出</w:t>
      </w:r>
      <w:r>
        <w:rPr>
          <w:rFonts w:hint="eastAsia" w:ascii="仿宋" w:hAnsi="仿宋" w:eastAsia="仿宋" w:cs="仿宋"/>
          <w:sz w:val="32"/>
          <w:szCs w:val="32"/>
        </w:rPr>
        <w:t>（款）</w:t>
      </w:r>
      <w:r>
        <w:rPr>
          <w:rFonts w:hint="eastAsia" w:ascii="仿宋" w:hAnsi="仿宋" w:eastAsia="仿宋" w:cs="仿宋"/>
          <w:sz w:val="32"/>
          <w:szCs w:val="32"/>
          <w:lang w:val="en-US" w:eastAsia="zh-CN"/>
        </w:rPr>
        <w:t>老旧小区改造</w:t>
      </w:r>
      <w:r>
        <w:rPr>
          <w:rFonts w:hint="eastAsia" w:ascii="仿宋" w:hAnsi="仿宋" w:eastAsia="仿宋" w:cs="仿宋"/>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79.98</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890.01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1112.79</w:t>
      </w:r>
      <w:r>
        <w:rPr>
          <w:rFonts w:hint="eastAsia" w:ascii="仿宋" w:hAnsi="仿宋" w:eastAsia="仿宋" w:cs="仿宋"/>
          <w:sz w:val="32"/>
          <w:szCs w:val="32"/>
        </w:rPr>
        <w:t>%，决算数</w:t>
      </w:r>
      <w:r>
        <w:rPr>
          <w:rFonts w:hint="eastAsia" w:ascii="仿宋" w:hAnsi="仿宋" w:eastAsia="仿宋" w:cs="仿宋"/>
          <w:sz w:val="32"/>
          <w:szCs w:val="32"/>
          <w:lang w:val="en-US" w:eastAsia="zh-CN"/>
        </w:rPr>
        <w:t>大</w:t>
      </w:r>
      <w:r>
        <w:rPr>
          <w:rFonts w:hint="eastAsia" w:ascii="仿宋" w:hAnsi="仿宋" w:eastAsia="仿宋" w:cs="仿宋"/>
          <w:sz w:val="32"/>
          <w:szCs w:val="32"/>
        </w:rPr>
        <w:t>于年初预算数的主要原因是</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2025年中申请拨付了以前年度老旧小区改造改造项目应付欠款，年中打报告申请拨款。</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度财政拨款基本支出</w:t>
      </w:r>
      <w:r>
        <w:rPr>
          <w:rFonts w:hint="eastAsia" w:ascii="仿宋" w:hAnsi="仿宋" w:eastAsia="仿宋" w:cs="仿宋"/>
          <w:sz w:val="32"/>
          <w:szCs w:val="32"/>
          <w:lang w:val="en-US" w:eastAsia="zh-CN"/>
        </w:rPr>
        <w:t>1184.14</w:t>
      </w:r>
      <w:r>
        <w:rPr>
          <w:rFonts w:hint="eastAsia" w:ascii="仿宋" w:hAnsi="仿宋" w:eastAsia="仿宋" w:cs="仿宋"/>
          <w:sz w:val="32"/>
          <w:szCs w:val="32"/>
        </w:rPr>
        <w:t>万元，其中：</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人员经费</w:t>
      </w:r>
      <w:r>
        <w:rPr>
          <w:rFonts w:hint="eastAsia" w:ascii="仿宋" w:hAnsi="仿宋" w:eastAsia="仿宋" w:cs="仿宋"/>
          <w:b/>
          <w:bCs/>
          <w:sz w:val="32"/>
          <w:szCs w:val="32"/>
          <w:lang w:val="en-US" w:eastAsia="zh-CN"/>
        </w:rPr>
        <w:t>1032.8</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87.2</w:t>
      </w:r>
      <w:r>
        <w:rPr>
          <w:rFonts w:hint="eastAsia" w:ascii="仿宋" w:hAnsi="仿宋" w:eastAsia="仿宋" w:cs="仿宋"/>
          <w:sz w:val="32"/>
          <w:szCs w:val="32"/>
        </w:rPr>
        <w:t>%,主要包括基本工资、津贴补贴、奖金、伙食补助费、绩效工资、养老保险、职业年金、医疗保险、住房公积金、其他工资福利支出、对个人和家庭的补助、生活补助、奖励金、对其他个人和家庭的补助支出</w:t>
      </w:r>
      <w:r>
        <w:rPr>
          <w:rFonts w:hint="eastAsia" w:ascii="仿宋" w:hAnsi="仿宋" w:eastAsia="仿宋" w:cs="仿宋"/>
          <w:sz w:val="32"/>
          <w:szCs w:val="32"/>
          <w:lang w:eastAsia="zh-CN"/>
        </w:rPr>
        <w:t>。</w:t>
      </w:r>
    </w:p>
    <w:p>
      <w:pPr>
        <w:pStyle w:val="14"/>
        <w:spacing w:line="600" w:lineRule="exact"/>
        <w:ind w:firstLine="640" w:firstLineChars="200"/>
        <w:rPr>
          <w:rFonts w:hint="eastAsia" w:ascii="仿宋" w:hAnsi="仿宋" w:eastAsia="仿宋" w:cs="仿宋"/>
          <w:b/>
          <w:sz w:val="32"/>
          <w:szCs w:val="32"/>
        </w:rPr>
      </w:pPr>
      <w:r>
        <w:rPr>
          <w:rFonts w:hint="eastAsia" w:ascii="仿宋" w:hAnsi="仿宋" w:eastAsia="仿宋" w:cs="仿宋"/>
          <w:b/>
          <w:bCs/>
          <w:sz w:val="32"/>
          <w:szCs w:val="32"/>
        </w:rPr>
        <w:t>公用经费</w:t>
      </w:r>
      <w:r>
        <w:rPr>
          <w:rFonts w:hint="eastAsia" w:ascii="仿宋" w:hAnsi="仿宋" w:eastAsia="仿宋" w:cs="仿宋"/>
          <w:b w:val="0"/>
          <w:bCs w:val="0"/>
          <w:sz w:val="32"/>
          <w:szCs w:val="32"/>
          <w:lang w:val="en-US" w:eastAsia="zh-CN"/>
        </w:rPr>
        <w:t>151.34</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12.9</w:t>
      </w:r>
      <w:r>
        <w:rPr>
          <w:rFonts w:hint="eastAsia" w:ascii="仿宋" w:hAnsi="仿宋" w:eastAsia="仿宋" w:cs="仿宋"/>
          <w:sz w:val="32"/>
          <w:szCs w:val="32"/>
        </w:rPr>
        <w:t>%，主要包括办公费、印刷费、咨询费、水电费、差旅费、维修（护）费、会议费、培训费、公务接待费、工会经费、福利费、其他交通费、其他商品服务支出、办公设备购置、信息网络及软件购置更新、其他资本性支出。</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“三公”经费财政拨款支出预算为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eastAsia="zh-CN"/>
        </w:rPr>
      </w:pPr>
      <w:r>
        <w:rPr>
          <w:rFonts w:hint="eastAsia" w:ascii="仿宋" w:hAnsi="仿宋" w:eastAsia="仿宋" w:cs="仿宋"/>
          <w:sz w:val="32"/>
          <w:szCs w:val="32"/>
        </w:rPr>
        <w:t>因公出国（境）费支出预算为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%，与上年相比</w:t>
      </w:r>
      <w:r>
        <w:rPr>
          <w:rFonts w:hint="eastAsia" w:ascii="仿宋" w:hAnsi="仿宋" w:eastAsia="仿宋" w:cs="仿宋"/>
          <w:sz w:val="32"/>
          <w:szCs w:val="32"/>
          <w:lang w:val="en-US" w:eastAsia="zh-CN"/>
        </w:rPr>
        <w:t>相等</w:t>
      </w:r>
      <w:r>
        <w:rPr>
          <w:rFonts w:hint="eastAsia" w:ascii="仿宋" w:hAnsi="仿宋" w:eastAsia="仿宋" w:cs="仿宋"/>
          <w:sz w:val="32"/>
          <w:szCs w:val="32"/>
        </w:rPr>
        <w:t>万元</w:t>
      </w:r>
      <w:r>
        <w:rPr>
          <w:rFonts w:hint="eastAsia" w:ascii="仿宋" w:hAnsi="仿宋" w:eastAsia="仿宋" w:cs="仿宋"/>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公务接待费支出预算为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公务用车购置费支出预算为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w:t>
      </w:r>
      <w:r>
        <w:rPr>
          <w:rFonts w:hint="eastAsia" w:ascii="仿宋" w:hAnsi="仿宋" w:eastAsia="仿宋" w:cs="仿宋"/>
          <w:sz w:val="32"/>
          <w:szCs w:val="32"/>
          <w:lang w:val="en-US" w:eastAsia="zh-CN"/>
        </w:rPr>
        <w:t>相同无变动</w:t>
      </w:r>
      <w:r>
        <w:rPr>
          <w:rFonts w:hint="eastAsia" w:ascii="仿宋" w:hAnsi="仿宋" w:eastAsia="仿宋" w:cs="仿宋"/>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公务用车运行维护费支出预算为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w:t>
      </w:r>
      <w:r>
        <w:rPr>
          <w:rFonts w:hint="eastAsia" w:ascii="仿宋" w:hAnsi="仿宋" w:eastAsia="仿宋" w:cs="仿宋"/>
          <w:sz w:val="32"/>
          <w:szCs w:val="32"/>
          <w:lang w:val="en-US" w:eastAsia="zh-CN"/>
        </w:rPr>
        <w:t>100</w:t>
      </w:r>
      <w:r>
        <w:rPr>
          <w:rFonts w:hint="eastAsia" w:ascii="仿宋" w:hAnsi="仿宋" w:eastAsia="仿宋" w:cs="仿宋"/>
          <w:sz w:val="32"/>
          <w:szCs w:val="32"/>
        </w:rPr>
        <w:t>%，决算数</w:t>
      </w:r>
      <w:r>
        <w:rPr>
          <w:rFonts w:hint="eastAsia" w:ascii="仿宋" w:hAnsi="仿宋" w:eastAsia="仿宋" w:cs="仿宋"/>
          <w:sz w:val="32"/>
          <w:szCs w:val="32"/>
          <w:lang w:val="en-US" w:eastAsia="zh-CN"/>
        </w:rPr>
        <w:t>和预算数相等</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本年公务用车取消了</w:t>
      </w:r>
      <w:r>
        <w:rPr>
          <w:rFonts w:hint="eastAsia" w:ascii="仿宋" w:hAnsi="仿宋" w:eastAsia="仿宋" w:cs="仿宋"/>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度“三公”经费财政拨款支出决算中，公务接待费支出决算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%,因公出国（境）费支出决算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%,公务用车购置费及运行维护费支出决算</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%。其中：</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 w:hAnsi="仿宋" w:eastAsia="仿宋" w:cs="仿宋"/>
          <w:b/>
          <w:bCs/>
          <w:i/>
          <w:color w:val="auto"/>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因公出国（境）费支出决算为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万元，全年安排因公出国（境）团组</w:t>
      </w:r>
      <w:r>
        <w:rPr>
          <w:rFonts w:hint="eastAsia" w:ascii="仿宋" w:hAnsi="仿宋" w:eastAsia="仿宋" w:cs="仿宋"/>
          <w:sz w:val="32"/>
          <w:szCs w:val="32"/>
          <w:lang w:val="en-US" w:eastAsia="zh-CN"/>
        </w:rPr>
        <w:t>0</w:t>
      </w:r>
      <w:r>
        <w:rPr>
          <w:rFonts w:hint="eastAsia" w:ascii="仿宋" w:hAnsi="仿宋" w:eastAsia="仿宋" w:cs="仿宋"/>
          <w:sz w:val="32"/>
          <w:szCs w:val="32"/>
        </w:rPr>
        <w:t>个，累计人</w:t>
      </w:r>
      <w:r>
        <w:rPr>
          <w:rFonts w:hint="eastAsia" w:ascii="仿宋" w:hAnsi="仿宋" w:eastAsia="仿宋" w:cs="仿宋"/>
          <w:sz w:val="32"/>
          <w:szCs w:val="32"/>
          <w:lang w:val="en-US" w:eastAsia="zh-CN"/>
        </w:rPr>
        <w:t>0</w:t>
      </w:r>
      <w:r>
        <w:rPr>
          <w:rFonts w:hint="eastAsia" w:ascii="仿宋" w:hAnsi="仿宋" w:eastAsia="仿宋" w:cs="仿宋"/>
          <w:sz w:val="32"/>
          <w:szCs w:val="32"/>
        </w:rPr>
        <w:t>次</w:t>
      </w:r>
      <w:r>
        <w:rPr>
          <w:rFonts w:hint="eastAsia" w:ascii="仿宋" w:hAnsi="仿宋" w:eastAsia="仿宋" w:cs="仿宋"/>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2、公务接待费支出决算为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万元，全年共接待来访团组</w:t>
      </w:r>
      <w:r>
        <w:rPr>
          <w:rFonts w:hint="eastAsia" w:ascii="仿宋" w:hAnsi="仿宋" w:eastAsia="仿宋" w:cs="仿宋"/>
          <w:sz w:val="32"/>
          <w:szCs w:val="32"/>
          <w:lang w:val="en-US" w:eastAsia="zh-CN"/>
        </w:rPr>
        <w:t>0</w:t>
      </w:r>
      <w:r>
        <w:rPr>
          <w:rFonts w:hint="eastAsia" w:ascii="仿宋" w:hAnsi="仿宋" w:eastAsia="仿宋" w:cs="仿宋"/>
          <w:sz w:val="32"/>
          <w:szCs w:val="32"/>
        </w:rPr>
        <w:t>个、来宾</w:t>
      </w:r>
      <w:r>
        <w:rPr>
          <w:rFonts w:hint="eastAsia" w:ascii="仿宋" w:hAnsi="仿宋" w:eastAsia="仿宋" w:cs="仿宋"/>
          <w:sz w:val="32"/>
          <w:szCs w:val="32"/>
          <w:lang w:val="en-US" w:eastAsia="zh-CN"/>
        </w:rPr>
        <w:t>0</w:t>
      </w:r>
      <w:r>
        <w:rPr>
          <w:rFonts w:hint="eastAsia" w:ascii="仿宋" w:hAnsi="仿宋" w:eastAsia="仿宋" w:cs="仿宋"/>
          <w:sz w:val="32"/>
          <w:szCs w:val="32"/>
        </w:rPr>
        <w:t>人次。</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b/>
          <w:bCs/>
          <w:i/>
          <w:color w:val="auto"/>
          <w:kern w:val="0"/>
          <w:sz w:val="32"/>
          <w:szCs w:val="32"/>
          <w:lang w:val="en-US" w:eastAsia="zh-CN" w:bidi="ar-SA"/>
        </w:rPr>
      </w:pPr>
      <w:r>
        <w:rPr>
          <w:rFonts w:hint="eastAsia" w:ascii="仿宋" w:hAnsi="仿宋" w:eastAsia="仿宋" w:cs="仿宋"/>
          <w:sz w:val="32"/>
          <w:szCs w:val="32"/>
        </w:rPr>
        <w:t>3、公务用车购置费及运行维护费支出决算为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万元，其中：公务用车购置费</w:t>
      </w:r>
      <w:r>
        <w:rPr>
          <w:rFonts w:hint="eastAsia" w:ascii="仿宋" w:hAnsi="仿宋" w:eastAsia="仿宋" w:cs="仿宋"/>
          <w:sz w:val="32"/>
          <w:szCs w:val="32"/>
          <w:lang w:val="en-US" w:eastAsia="zh-CN"/>
        </w:rPr>
        <w:t>0</w:t>
      </w:r>
      <w:r>
        <w:rPr>
          <w:rFonts w:hint="eastAsia" w:ascii="仿宋" w:hAnsi="仿宋" w:eastAsia="仿宋" w:cs="仿宋"/>
          <w:sz w:val="32"/>
          <w:szCs w:val="32"/>
        </w:rPr>
        <w:t>万元，公务用车运行维护费</w:t>
      </w:r>
      <w:r>
        <w:rPr>
          <w:rFonts w:hint="eastAsia" w:ascii="仿宋" w:hAnsi="仿宋" w:eastAsia="仿宋" w:cs="仿宋"/>
          <w:sz w:val="32"/>
          <w:szCs w:val="32"/>
          <w:lang w:val="en-US" w:eastAsia="zh-CN"/>
        </w:rPr>
        <w:t>0</w:t>
      </w:r>
      <w:r>
        <w:rPr>
          <w:rFonts w:hint="eastAsia" w:ascii="仿宋" w:hAnsi="仿宋" w:eastAsia="仿宋" w:cs="仿宋"/>
          <w:sz w:val="32"/>
          <w:szCs w:val="32"/>
        </w:rPr>
        <w:t>万元，主要是</w:t>
      </w:r>
      <w:r>
        <w:rPr>
          <w:rFonts w:hint="eastAsia" w:ascii="仿宋" w:hAnsi="仿宋" w:eastAsia="仿宋" w:cs="仿宋"/>
          <w:sz w:val="32"/>
          <w:szCs w:val="32"/>
          <w:lang w:val="en-US" w:eastAsia="zh-CN"/>
        </w:rPr>
        <w:t>取消公务用车</w:t>
      </w:r>
      <w:r>
        <w:rPr>
          <w:rFonts w:hint="eastAsia" w:ascii="仿宋" w:hAnsi="仿宋" w:eastAsia="仿宋" w:cs="仿宋"/>
          <w:sz w:val="32"/>
          <w:szCs w:val="32"/>
        </w:rPr>
        <w:t>，截止</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12月31日，我单位开支财政拨款的公务用车保有量为</w:t>
      </w:r>
      <w:r>
        <w:rPr>
          <w:rFonts w:hint="eastAsia" w:ascii="仿宋" w:hAnsi="仿宋" w:eastAsia="仿宋" w:cs="仿宋"/>
          <w:sz w:val="32"/>
          <w:szCs w:val="32"/>
          <w:lang w:val="en-US" w:eastAsia="zh-CN"/>
        </w:rPr>
        <w:t>0</w:t>
      </w:r>
      <w:r>
        <w:rPr>
          <w:rFonts w:hint="eastAsia" w:ascii="仿宋" w:hAnsi="仿宋" w:eastAsia="仿宋" w:cs="仿宋"/>
          <w:sz w:val="32"/>
          <w:szCs w:val="32"/>
        </w:rPr>
        <w:t>辆。</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4"/>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度政府性基金预算财政拨款收入</w:t>
      </w:r>
      <w:r>
        <w:rPr>
          <w:rFonts w:hint="eastAsia" w:ascii="Times New Roman" w:hAnsi="Times New Roman" w:eastAsia="仿宋_GB2312"/>
          <w:sz w:val="32"/>
          <w:szCs w:val="32"/>
          <w:lang w:val="en-US" w:eastAsia="zh-CN"/>
        </w:rPr>
        <w:t>1725.29</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9456.42</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9456.42</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城乡社区支出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国有土地使用权出让</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其他国有土地使用权出让收入安排的支出</w:t>
      </w:r>
      <w:r>
        <w:rPr>
          <w:rFonts w:hint="eastAsia" w:ascii="Times New Roman" w:hAnsi="Times New Roman" w:eastAsia="仿宋_GB2312"/>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1725.29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1791.33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103.83</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仿宋" w:hAnsi="仿宋" w:eastAsia="仿宋" w:cs="仿宋"/>
          <w:sz w:val="32"/>
          <w:szCs w:val="32"/>
          <w:lang w:val="en-US" w:eastAsia="zh-CN"/>
        </w:rPr>
        <w:t>全县重点项目单位作为业主单位项目付款以后已其他国有土地使用权出让收入安排的支出增加。</w:t>
      </w:r>
    </w:p>
    <w:p>
      <w:pPr>
        <w:pStyle w:val="14"/>
        <w:keepNext w:val="0"/>
        <w:keepLines w:val="0"/>
        <w:pageBreakBefore w:val="0"/>
        <w:widowControl w:val="0"/>
        <w:numPr>
          <w:ilvl w:val="0"/>
          <w:numId w:val="16"/>
        </w:numPr>
        <w:kinsoku/>
        <w:wordWrap/>
        <w:overflowPunct/>
        <w:topLinePunct w:val="0"/>
        <w:bidi w:val="0"/>
        <w:snapToGrid/>
        <w:spacing w:line="600" w:lineRule="exact"/>
        <w:ind w:left="3" w:leftChars="0" w:firstLine="627" w:firstLineChars="196"/>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其他支出（类）其他政府性基金及对应专项债务收入安排的支出（款）其他地方自行试点项目收益专项债劵收入安排的支出（项）。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7181.38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仿宋" w:hAnsi="仿宋" w:eastAsia="仿宋" w:cs="仿宋"/>
          <w:sz w:val="32"/>
          <w:szCs w:val="32"/>
          <w:lang w:val="en-US" w:eastAsia="zh-CN"/>
        </w:rPr>
        <w:t>全县重点项目我单位作为业主单位项目以后付款从政府性基金支付为主所以其他地方自行试点项目收益专项债劵收入安排的支出增加了。</w:t>
      </w:r>
    </w:p>
    <w:p>
      <w:pPr>
        <w:pStyle w:val="14"/>
        <w:keepNext w:val="0"/>
        <w:keepLines w:val="0"/>
        <w:pageBreakBefore w:val="0"/>
        <w:widowControl w:val="0"/>
        <w:numPr>
          <w:ilvl w:val="0"/>
          <w:numId w:val="16"/>
        </w:numPr>
        <w:kinsoku/>
        <w:wordWrap/>
        <w:overflowPunct/>
        <w:topLinePunct w:val="0"/>
        <w:bidi w:val="0"/>
        <w:snapToGrid/>
        <w:spacing w:line="600" w:lineRule="exact"/>
        <w:ind w:left="3" w:leftChars="0" w:firstLine="627" w:firstLineChars="196"/>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其他支出（类）其他政府性基金及对应专项债务收入安排的支出（款）其他政府性基金债务收入安排的支出（项）。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Times New Roman" w:hAnsi="Times New Roman" w:eastAsia="仿宋_GB2312"/>
          <w:sz w:val="32"/>
          <w:szCs w:val="32"/>
        </w:rPr>
        <w:t>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483.71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仿宋" w:hAnsi="仿宋" w:eastAsia="仿宋" w:cs="仿宋"/>
          <w:sz w:val="32"/>
          <w:szCs w:val="32"/>
          <w:lang w:val="en-US" w:eastAsia="zh-CN"/>
        </w:rPr>
        <w:t>全县重点项目我单位作为业主单位项目以后付款从政府性基金支付为主所以其他政府性基金债务收入安排的支出增加了。</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本部门</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度机关运行经费支出</w:t>
      </w:r>
      <w:r>
        <w:rPr>
          <w:rFonts w:hint="eastAsia" w:ascii="仿宋" w:hAnsi="仿宋" w:eastAsia="仿宋" w:cs="仿宋"/>
          <w:sz w:val="32"/>
          <w:szCs w:val="32"/>
          <w:lang w:val="en-US" w:eastAsia="zh-CN"/>
        </w:rPr>
        <w:t>151.34</w:t>
      </w:r>
      <w:r>
        <w:rPr>
          <w:rFonts w:hint="eastAsia" w:ascii="仿宋" w:hAnsi="仿宋" w:eastAsia="仿宋" w:cs="仿宋"/>
          <w:sz w:val="32"/>
          <w:szCs w:val="32"/>
        </w:rPr>
        <w:t>万元，比年初预算数</w:t>
      </w:r>
      <w:r>
        <w:rPr>
          <w:rFonts w:hint="eastAsia" w:ascii="仿宋" w:hAnsi="仿宋" w:eastAsia="仿宋" w:cs="仿宋"/>
          <w:sz w:val="32"/>
          <w:szCs w:val="32"/>
          <w:lang w:val="en-US" w:eastAsia="zh-CN"/>
        </w:rPr>
        <w:t>139.7万元，增加11.64</w:t>
      </w:r>
      <w:r>
        <w:rPr>
          <w:rFonts w:hint="eastAsia" w:ascii="仿宋" w:hAnsi="仿宋" w:eastAsia="仿宋" w:cs="仿宋"/>
          <w:sz w:val="32"/>
          <w:szCs w:val="32"/>
        </w:rPr>
        <w:t>万元，</w:t>
      </w:r>
      <w:r>
        <w:rPr>
          <w:rFonts w:hint="eastAsia" w:ascii="仿宋" w:hAnsi="仿宋" w:eastAsia="仿宋" w:cs="仿宋"/>
          <w:sz w:val="32"/>
          <w:szCs w:val="32"/>
          <w:lang w:val="en-US" w:eastAsia="zh-CN"/>
        </w:rPr>
        <w:t>提高8.33</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单位公用经费今年网络购置更新增加了。</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 w:hAnsi="仿宋" w:eastAsia="仿宋" w:cs="仿宋"/>
          <w:b/>
          <w:bCs/>
          <w:i/>
          <w:color w:val="auto"/>
          <w:kern w:val="0"/>
          <w:sz w:val="32"/>
          <w:szCs w:val="32"/>
          <w:lang w:val="en-US" w:eastAsia="zh-CN" w:bidi="ar-SA"/>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本部门开支会议费</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val="en-US" w:eastAsia="zh-CN"/>
        </w:rPr>
        <w:t>培训费支出5.35万元，</w:t>
      </w:r>
      <w:r>
        <w:rPr>
          <w:rFonts w:hint="eastAsia" w:ascii="仿宋" w:hAnsi="仿宋" w:eastAsia="仿宋" w:cs="仿宋"/>
          <w:sz w:val="32"/>
          <w:szCs w:val="32"/>
        </w:rPr>
        <w:t>用于开展</w:t>
      </w:r>
      <w:r>
        <w:rPr>
          <w:rFonts w:hint="eastAsia" w:ascii="仿宋" w:hAnsi="仿宋" w:eastAsia="仿宋" w:cs="仿宋"/>
          <w:sz w:val="32"/>
          <w:szCs w:val="32"/>
          <w:lang w:val="en-US" w:eastAsia="zh-CN"/>
        </w:rPr>
        <w:t>农民工匠及专业技能</w:t>
      </w:r>
      <w:r>
        <w:rPr>
          <w:rFonts w:hint="eastAsia" w:ascii="仿宋" w:hAnsi="仿宋" w:eastAsia="仿宋" w:cs="仿宋"/>
          <w:sz w:val="32"/>
          <w:szCs w:val="32"/>
        </w:rPr>
        <w:t>培训，人数</w:t>
      </w:r>
      <w:r>
        <w:rPr>
          <w:rFonts w:hint="eastAsia" w:ascii="仿宋" w:hAnsi="仿宋" w:eastAsia="仿宋" w:cs="仿宋"/>
          <w:sz w:val="32"/>
          <w:szCs w:val="32"/>
          <w:lang w:val="en-US" w:eastAsia="zh-CN"/>
        </w:rPr>
        <w:t>350人；及本单位职工参加各种培训。</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 w:hAnsi="仿宋" w:eastAsia="仿宋" w:cs="仿宋"/>
          <w:b/>
          <w:bCs/>
          <w:i/>
          <w:color w:val="auto"/>
          <w:kern w:val="0"/>
          <w:sz w:val="32"/>
          <w:szCs w:val="32"/>
          <w:lang w:val="en-US" w:eastAsia="zh-CN" w:bidi="ar-SA"/>
        </w:rPr>
      </w:pPr>
      <w:r>
        <w:rPr>
          <w:rFonts w:hint="eastAsia" w:ascii="仿宋" w:hAnsi="仿宋" w:eastAsia="仿宋" w:cs="仿宋"/>
          <w:sz w:val="32"/>
          <w:szCs w:val="32"/>
        </w:rPr>
        <w:t>本部门</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w:t>
      </w:r>
      <w:r>
        <w:rPr>
          <w:rFonts w:hint="eastAsia" w:ascii="仿宋" w:hAnsi="仿宋" w:eastAsia="仿宋" w:cs="仿宋"/>
          <w:sz w:val="32"/>
          <w:szCs w:val="32"/>
        </w:rPr>
        <w:t>度政府采购支出总额</w:t>
      </w:r>
      <w:r>
        <w:rPr>
          <w:rFonts w:hint="eastAsia" w:ascii="仿宋" w:hAnsi="仿宋" w:eastAsia="仿宋" w:cs="仿宋"/>
          <w:sz w:val="32"/>
          <w:szCs w:val="32"/>
          <w:lang w:val="en-US" w:eastAsia="zh-CN"/>
        </w:rPr>
        <w:t>9456.42</w:t>
      </w:r>
      <w:r>
        <w:rPr>
          <w:rFonts w:hint="eastAsia" w:ascii="仿宋" w:hAnsi="仿宋" w:eastAsia="仿宋" w:cs="仿宋"/>
          <w:sz w:val="32"/>
          <w:szCs w:val="32"/>
        </w:rPr>
        <w:t>万元，其中：政府采购货物支出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万元、政府采购工程支出</w:t>
      </w:r>
      <w:r>
        <w:rPr>
          <w:rFonts w:hint="eastAsia" w:ascii="仿宋" w:hAnsi="仿宋" w:eastAsia="仿宋" w:cs="仿宋"/>
          <w:sz w:val="32"/>
          <w:szCs w:val="32"/>
          <w:lang w:val="en-US" w:eastAsia="zh-CN"/>
        </w:rPr>
        <w:t>8972.71</w:t>
      </w:r>
      <w:r>
        <w:rPr>
          <w:rFonts w:hint="eastAsia" w:ascii="仿宋" w:hAnsi="仿宋" w:eastAsia="仿宋" w:cs="仿宋"/>
          <w:sz w:val="32"/>
          <w:szCs w:val="32"/>
        </w:rPr>
        <w:t>万元、政府采购服务支出</w:t>
      </w:r>
      <w:r>
        <w:rPr>
          <w:rFonts w:hint="eastAsia" w:ascii="仿宋" w:hAnsi="仿宋" w:eastAsia="仿宋" w:cs="仿宋"/>
          <w:sz w:val="32"/>
          <w:szCs w:val="32"/>
          <w:lang w:val="en-US" w:eastAsia="zh-CN"/>
        </w:rPr>
        <w:t>483.71</w:t>
      </w:r>
      <w:r>
        <w:rPr>
          <w:rFonts w:hint="eastAsia" w:ascii="仿宋" w:hAnsi="仿宋" w:eastAsia="仿宋" w:cs="仿宋"/>
          <w:sz w:val="32"/>
          <w:szCs w:val="32"/>
        </w:rPr>
        <w:t>万元。授予中小企业合同金额</w:t>
      </w:r>
      <w:r>
        <w:rPr>
          <w:rFonts w:hint="eastAsia" w:ascii="仿宋" w:hAnsi="仿宋" w:eastAsia="仿宋" w:cs="仿宋"/>
          <w:sz w:val="32"/>
          <w:szCs w:val="32"/>
          <w:lang w:val="en-US" w:eastAsia="zh-CN"/>
        </w:rPr>
        <w:t>9456.42</w:t>
      </w:r>
      <w:r>
        <w:rPr>
          <w:rFonts w:hint="eastAsia" w:ascii="仿宋" w:hAnsi="仿宋" w:eastAsia="仿宋" w:cs="仿宋"/>
          <w:sz w:val="32"/>
          <w:szCs w:val="32"/>
        </w:rPr>
        <w:t>万元，占政府采购支出总额的</w:t>
      </w:r>
      <w:r>
        <w:rPr>
          <w:rFonts w:hint="eastAsia" w:ascii="仿宋" w:hAnsi="仿宋" w:eastAsia="仿宋" w:cs="仿宋"/>
          <w:sz w:val="32"/>
          <w:szCs w:val="32"/>
          <w:lang w:val="en-US" w:eastAsia="zh-CN"/>
        </w:rPr>
        <w:t>100</w:t>
      </w:r>
      <w:r>
        <w:rPr>
          <w:rFonts w:hint="eastAsia" w:ascii="仿宋" w:hAnsi="仿宋" w:eastAsia="仿宋" w:cs="仿宋"/>
          <w:sz w:val="32"/>
          <w:szCs w:val="32"/>
        </w:rPr>
        <w:t>%，其中：授予小微企业合同金额</w:t>
      </w:r>
      <w:r>
        <w:rPr>
          <w:rFonts w:hint="eastAsia" w:ascii="仿宋" w:hAnsi="仿宋" w:eastAsia="仿宋" w:cs="仿宋"/>
          <w:sz w:val="32"/>
          <w:szCs w:val="32"/>
          <w:lang w:val="en-US" w:eastAsia="zh-CN"/>
        </w:rPr>
        <w:t>9456.42</w:t>
      </w:r>
      <w:r>
        <w:rPr>
          <w:rFonts w:hint="eastAsia" w:ascii="仿宋" w:hAnsi="仿宋" w:eastAsia="仿宋" w:cs="仿宋"/>
          <w:sz w:val="32"/>
          <w:szCs w:val="32"/>
        </w:rPr>
        <w:t>万元，</w:t>
      </w:r>
      <w:r>
        <w:rPr>
          <w:rFonts w:hint="eastAsia" w:ascii="仿宋" w:hAnsi="仿宋" w:eastAsia="仿宋" w:cs="仿宋"/>
          <w:color w:val="auto"/>
          <w:sz w:val="32"/>
          <w:szCs w:val="32"/>
        </w:rPr>
        <w:t>占</w:t>
      </w:r>
      <w:r>
        <w:rPr>
          <w:rFonts w:hint="eastAsia" w:ascii="仿宋" w:hAnsi="仿宋" w:eastAsia="仿宋" w:cs="仿宋"/>
          <w:color w:val="auto"/>
          <w:sz w:val="32"/>
          <w:szCs w:val="32"/>
          <w:lang w:eastAsia="zh-CN"/>
        </w:rPr>
        <w:t>授予中小企业合同金额</w:t>
      </w:r>
      <w:r>
        <w:rPr>
          <w:rFonts w:hint="eastAsia" w:ascii="仿宋" w:hAnsi="仿宋" w:eastAsia="仿宋" w:cs="仿宋"/>
          <w:color w:val="auto"/>
          <w:sz w:val="32"/>
          <w:szCs w:val="32"/>
        </w:rPr>
        <w:t>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%。货物采购授予中小企业合同金额占货物支出金额的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%，工程采购授予中小企业合同金额占工程支出金额的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%，服务采购授予中小企业合同金额占服务支出金额的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仿宋" w:hAnsi="仿宋" w:eastAsia="仿宋" w:cs="仿宋"/>
          <w:color w:val="auto"/>
          <w:sz w:val="32"/>
          <w:szCs w:val="32"/>
        </w:rPr>
        <w:t>截至</w:t>
      </w:r>
      <w:r>
        <w:rPr>
          <w:rFonts w:hint="eastAsia" w:ascii="仿宋" w:hAnsi="仿宋" w:eastAsia="仿宋" w:cs="仿宋"/>
          <w:color w:val="auto"/>
          <w:sz w:val="32"/>
          <w:szCs w:val="32"/>
          <w:lang w:eastAsia="zh-CN"/>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rPr>
        <w:t>12月31日，</w:t>
      </w:r>
      <w:r>
        <w:rPr>
          <w:rFonts w:hint="eastAsia" w:ascii="仿宋" w:hAnsi="仿宋" w:eastAsia="仿宋" w:cs="仿宋"/>
          <w:color w:val="auto"/>
          <w:sz w:val="32"/>
          <w:szCs w:val="32"/>
          <w:lang w:eastAsia="zh-CN"/>
        </w:rPr>
        <w:t>部门（单位）</w:t>
      </w:r>
      <w:r>
        <w:rPr>
          <w:rFonts w:hint="eastAsia" w:ascii="仿宋" w:hAnsi="仿宋" w:eastAsia="仿宋" w:cs="仿宋"/>
          <w:color w:val="auto"/>
          <w:sz w:val="32"/>
          <w:szCs w:val="32"/>
        </w:rPr>
        <w:t>共有车辆</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辆，其中</w:t>
      </w:r>
      <w:r>
        <w:rPr>
          <w:rFonts w:hint="eastAsia" w:ascii="仿宋" w:hAnsi="仿宋" w:eastAsia="仿宋" w:cs="仿宋"/>
          <w:color w:val="auto"/>
          <w:sz w:val="32"/>
          <w:szCs w:val="32"/>
          <w:lang w:eastAsia="zh-CN"/>
        </w:rPr>
        <w:t>，副部（省）级及以上领导用车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主要</w:t>
      </w:r>
      <w:r>
        <w:rPr>
          <w:rFonts w:hint="eastAsia" w:ascii="仿宋" w:hAnsi="仿宋" w:eastAsia="仿宋" w:cs="仿宋"/>
          <w:color w:val="auto"/>
          <w:sz w:val="32"/>
          <w:szCs w:val="32"/>
          <w:lang w:eastAsia="zh-CN"/>
        </w:rPr>
        <w:t>负责人</w:t>
      </w:r>
      <w:r>
        <w:rPr>
          <w:rFonts w:hint="eastAsia" w:ascii="仿宋" w:hAnsi="仿宋" w:eastAsia="仿宋" w:cs="仿宋"/>
          <w:color w:val="auto"/>
          <w:sz w:val="32"/>
          <w:szCs w:val="32"/>
        </w:rPr>
        <w:t>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机要通信用车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辆、应急保障用车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辆、执法执勤用车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辆、特种专业技术用车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w:t>
      </w:r>
      <w:r>
        <w:rPr>
          <w:rFonts w:hint="eastAsia" w:ascii="仿宋" w:hAnsi="仿宋" w:eastAsia="仿宋" w:cs="仿宋"/>
          <w:color w:val="auto"/>
          <w:sz w:val="32"/>
          <w:szCs w:val="32"/>
          <w:lang w:eastAsia="zh-CN"/>
        </w:rPr>
        <w:t>离退休干部服务用车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辆、其他用车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辆；单位价值100万元以上设备</w:t>
      </w:r>
      <w:r>
        <w:rPr>
          <w:rFonts w:hint="eastAsia" w:ascii="仿宋" w:hAnsi="仿宋" w:eastAsia="仿宋" w:cs="仿宋"/>
          <w:color w:val="auto"/>
          <w:sz w:val="32"/>
          <w:szCs w:val="32"/>
          <w:lang w:eastAsia="zh-CN"/>
        </w:rPr>
        <w:t>（不含车辆）</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台（套）。</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楷体" w:hAnsi="楷体" w:eastAsia="楷体" w:cs="楷体"/>
          <w:b/>
          <w:bCs/>
          <w:sz w:val="32"/>
          <w:szCs w:val="32"/>
          <w:lang w:eastAsia="zh-CN"/>
        </w:rPr>
        <w:t>（一）绩效管理工作开展情况：</w:t>
      </w:r>
      <w:r>
        <w:rPr>
          <w:rFonts w:hint="eastAsia" w:ascii="仿宋" w:hAnsi="仿宋" w:eastAsia="仿宋" w:cs="仿宋"/>
          <w:b w:val="0"/>
          <w:bCs w:val="0"/>
          <w:sz w:val="32"/>
          <w:szCs w:val="32"/>
          <w:lang w:val="en-US" w:eastAsia="zh-CN"/>
        </w:rPr>
        <w:t>本局以绩效管理目标为准开展了专项会议，也明确专门的项目分管股室对项目绩效管理工作进去事前申报，事中跟踪，事后评价。</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r>
        <w:rPr>
          <w:rFonts w:hint="eastAsia" w:ascii="楷体" w:hAnsi="楷体" w:eastAsia="楷体" w:cs="楷体"/>
          <w:b/>
          <w:bCs/>
          <w:sz w:val="32"/>
          <w:szCs w:val="32"/>
          <w:lang w:eastAsia="zh-CN"/>
        </w:rPr>
        <w:t>：</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本单位认真贯彻落实中央、省、市全面实施预算绩效申报、绩效自评工作，稳步推进全方位、全过程、全覆盖预算绩效管理体系建设，取得了明显成效。开展事前评估，对项目施行情况做事前评估做出是否执行，增强决策前瞻性；事中跟踪项目资金拨付情况，是否按绩效目标施行；事后对整个项目</w:t>
      </w:r>
      <w:r>
        <w:rPr>
          <w:rFonts w:hint="eastAsia" w:ascii="仿宋" w:hAnsi="仿宋" w:eastAsia="仿宋" w:cs="仿宋"/>
          <w:sz w:val="32"/>
          <w:szCs w:val="32"/>
        </w:rPr>
        <w:t>总结归纳</w:t>
      </w:r>
      <w:r>
        <w:rPr>
          <w:rFonts w:hint="eastAsia" w:ascii="仿宋" w:hAnsi="仿宋" w:eastAsia="仿宋" w:cs="仿宋"/>
          <w:sz w:val="32"/>
          <w:szCs w:val="32"/>
          <w:lang w:val="en-US" w:eastAsia="zh-CN"/>
        </w:rPr>
        <w:t>评价；包括对社会效应、环境保护、生态环境的可持续发展做出评价。</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部门自评质量有待进一步提高，重点项目虽然实行了自评全覆盖，但部分预算单位对预算绩效管理业务不够熟悉，对工作重点把握不到位；资金拨付不能及时到位或者延迟都影响绩效跟踪及绩效评估工作不能不及时完成；绩效评价结果利用率不高、信息化程度不高都是绩效工作更好推进存在的问题。</w:t>
      </w:r>
    </w:p>
    <w:p>
      <w:pPr>
        <w:pStyle w:val="14"/>
        <w:jc w:val="both"/>
        <w:rPr>
          <w:sz w:val="72"/>
          <w:szCs w:val="72"/>
        </w:rPr>
      </w:pPr>
    </w:p>
    <w:p>
      <w:pPr>
        <w:pStyle w:val="14"/>
        <w:jc w:val="center"/>
        <w:rPr>
          <w:sz w:val="72"/>
          <w:szCs w:val="72"/>
        </w:rPr>
      </w:pPr>
    </w:p>
    <w:p>
      <w:pPr>
        <w:pStyle w:val="14"/>
        <w:jc w:val="center"/>
        <w:rPr>
          <w:sz w:val="72"/>
          <w:szCs w:val="72"/>
        </w:rPr>
      </w:pPr>
    </w:p>
    <w:p>
      <w:pPr>
        <w:pStyle w:val="14"/>
        <w:jc w:val="both"/>
        <w:rPr>
          <w:rFonts w:hint="eastAsia" w:ascii="方正小标宋_GBK" w:hAnsi="方正小标宋_GBK" w:eastAsia="方正小标宋_GBK" w:cs="方正小标宋_GBK"/>
          <w:sz w:val="72"/>
          <w:szCs w:val="72"/>
        </w:rPr>
      </w:pPr>
    </w:p>
    <w:p>
      <w:pPr>
        <w:pStyle w:val="14"/>
        <w:jc w:val="both"/>
        <w:rPr>
          <w:rFonts w:hint="eastAsia" w:ascii="方正小标宋_GBK" w:hAnsi="方正小标宋_GBK" w:eastAsia="方正小标宋_GBK" w:cs="方正小标宋_GBK"/>
          <w:sz w:val="72"/>
          <w:szCs w:val="72"/>
        </w:rPr>
      </w:pPr>
    </w:p>
    <w:p>
      <w:pPr>
        <w:pStyle w:val="14"/>
        <w:jc w:val="both"/>
        <w:rPr>
          <w:rFonts w:hint="eastAsia" w:ascii="方正小标宋_GBK" w:hAnsi="方正小标宋_GBK" w:eastAsia="方正小标宋_GBK" w:cs="方正小标宋_GBK"/>
          <w:sz w:val="72"/>
          <w:szCs w:val="72"/>
        </w:rPr>
      </w:pPr>
    </w:p>
    <w:p>
      <w:pPr>
        <w:pStyle w:val="14"/>
        <w:jc w:val="both"/>
        <w:rPr>
          <w:rFonts w:hint="eastAsia" w:ascii="方正小标宋_GBK" w:hAnsi="方正小标宋_GBK" w:eastAsia="方正小标宋_GBK" w:cs="方正小标宋_GBK"/>
          <w:sz w:val="72"/>
          <w:szCs w:val="72"/>
        </w:rPr>
      </w:pPr>
    </w:p>
    <w:p>
      <w:pPr>
        <w:pStyle w:val="14"/>
        <w:jc w:val="both"/>
        <w:rPr>
          <w:rFonts w:hint="eastAsia" w:ascii="方正小标宋_GBK" w:hAnsi="方正小标宋_GBK" w:eastAsia="方正小标宋_GBK" w:cs="方正小标宋_GBK"/>
          <w:sz w:val="72"/>
          <w:szCs w:val="72"/>
        </w:rPr>
      </w:pP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color w:val="000000"/>
          <w:kern w:val="0"/>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2"/>
          <w:szCs w:val="72"/>
        </w:rPr>
      </w:pPr>
      <w:r>
        <w:rPr>
          <w:rFonts w:hint="eastAsia" w:ascii="方正小标宋_GBK" w:hAnsi="方正小标宋_GBK" w:eastAsia="方正小标宋_GBK" w:cs="方正小标宋_GBK"/>
          <w:color w:val="000000"/>
          <w:kern w:val="0"/>
          <w:sz w:val="72"/>
          <w:szCs w:val="72"/>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1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机关运行经费：是指部门的公用经费，包括办公及印刷费、邮电费、差旅费、会议费、福利费、日常维修费、专用资料及一般设备购置费、办公用房水电费、办公用房取暖费、办公用房物业管理费、公务用车运行维护费以及其他费用。</w:t>
      </w:r>
    </w:p>
    <w:p>
      <w:pPr>
        <w:pStyle w:val="14"/>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三公”经费：纳入省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rPr>
          <w:sz w:val="72"/>
          <w:szCs w:val="72"/>
        </w:rPr>
      </w:pPr>
      <w:r>
        <w:rPr>
          <w:sz w:val="72"/>
          <w:szCs w:val="72"/>
        </w:rPr>
        <w:br w:type="page"/>
      </w: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4"/>
        <w:jc w:val="center"/>
        <w:rPr>
          <w:rFonts w:hint="eastAsia" w:eastAsia="黑体"/>
          <w:sz w:val="72"/>
          <w:szCs w:val="72"/>
          <w:lang w:eastAsia="zh-CN"/>
        </w:rPr>
      </w:pPr>
      <w:r>
        <w:rPr>
          <w:rFonts w:hint="eastAsia" w:ascii="方正小标宋_GBK" w:hAnsi="方正小标宋_GBK" w:eastAsia="方正小标宋_GBK" w:cs="方正小标宋_GBK"/>
          <w:sz w:val="72"/>
          <w:szCs w:val="72"/>
          <w:lang w:eastAsia="zh-CN"/>
        </w:rPr>
        <w:t>附</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lang w:eastAsia="zh-CN"/>
        </w:rPr>
        <w:t>件</w:t>
      </w:r>
    </w:p>
    <w:p>
      <w:pPr>
        <w:rPr>
          <w:sz w:val="72"/>
          <w:szCs w:val="72"/>
        </w:rPr>
      </w:pPr>
      <w:r>
        <w:rPr>
          <w:sz w:val="72"/>
          <w:szCs w:val="72"/>
        </w:rPr>
        <w:br w:type="page"/>
      </w:r>
    </w:p>
    <w:p>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cs="黑体" w:asciiTheme="minorEastAsia" w:hAnsiTheme="minorEastAsia" w:eastAsiaTheme="minorEastAsia"/>
          <w:color w:val="000000"/>
          <w:kern w:val="0"/>
          <w:sz w:val="32"/>
          <w:szCs w:val="32"/>
          <w:lang w:val="en-US" w:eastAsia="zh-CN" w:bidi="ar-SA"/>
        </w:rPr>
      </w:pPr>
      <w:r>
        <w:rPr>
          <w:rFonts w:hint="eastAsia" w:ascii="Times New Roman" w:hAnsi="Times New Roman" w:eastAsia="仿宋_GB2312"/>
          <w:sz w:val="32"/>
          <w:szCs w:val="32"/>
          <w:lang w:val="en-US" w:eastAsia="zh-CN"/>
        </w:rPr>
        <w:t>1、2025年度道县住房和城乡建设局整体支出绩效自评报告。</w:t>
      </w:r>
    </w:p>
    <w:p>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pPr>
        <w:pStyle w:val="14"/>
        <w:jc w:val="center"/>
        <w:rPr>
          <w:sz w:val="72"/>
          <w:szCs w:val="72"/>
        </w:rPr>
      </w:pPr>
    </w:p>
    <w:p>
      <w:pPr>
        <w:pStyle w:val="14"/>
        <w:jc w:val="center"/>
        <w:rPr>
          <w:sz w:val="72"/>
          <w:szCs w:val="7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AC1C47"/>
    <w:multiLevelType w:val="multilevel"/>
    <w:tmpl w:val="A1AC1C47"/>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B5D96B1A"/>
    <w:multiLevelType w:val="multilevel"/>
    <w:tmpl w:val="B5D96B1A"/>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BDB5FA92"/>
    <w:multiLevelType w:val="singleLevel"/>
    <w:tmpl w:val="BDB5FA92"/>
    <w:lvl w:ilvl="0" w:tentative="0">
      <w:start w:val="1"/>
      <w:numFmt w:val="decimal"/>
      <w:suff w:val="nothing"/>
      <w:lvlText w:val="%1、"/>
      <w:lvlJc w:val="left"/>
      <w:pPr>
        <w:ind w:left="3"/>
      </w:pPr>
    </w:lvl>
  </w:abstractNum>
  <w:abstractNum w:abstractNumId="3">
    <w:nsid w:val="D479BEEE"/>
    <w:multiLevelType w:val="multilevel"/>
    <w:tmpl w:val="D479BEEE"/>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DEB2181A"/>
    <w:multiLevelType w:val="multilevel"/>
    <w:tmpl w:val="DEB2181A"/>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
    <w:nsid w:val="E1F19E7E"/>
    <w:multiLevelType w:val="multilevel"/>
    <w:tmpl w:val="E1F19E7E"/>
    <w:lvl w:ilvl="0" w:tentative="0">
      <w:start w:val="1"/>
      <w:numFmt w:val="bullet"/>
      <w:suff w:val="nothing"/>
      <w:lvlText w:val=""/>
      <w:lvlJc w:val="left"/>
      <w:pPr>
        <w:ind w:left="557" w:hanging="103"/>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
    <w:nsid w:val="2D3DFF40"/>
    <w:multiLevelType w:val="multilevel"/>
    <w:tmpl w:val="2D3DFF4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140AA3E"/>
    <w:multiLevelType w:val="multilevel"/>
    <w:tmpl w:val="4140AA3E"/>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
    <w:nsid w:val="41A87260"/>
    <w:multiLevelType w:val="multilevel"/>
    <w:tmpl w:val="41A87260"/>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
    <w:nsid w:val="46FC348B"/>
    <w:multiLevelType w:val="multilevel"/>
    <w:tmpl w:val="46FC348B"/>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1">
    <w:nsid w:val="4B112DDF"/>
    <w:multiLevelType w:val="multilevel"/>
    <w:tmpl w:val="4B112DDF"/>
    <w:lvl w:ilvl="0" w:tentative="0">
      <w:start w:val="1"/>
      <w:numFmt w:val="bullet"/>
      <w:lvlText w:val=""/>
      <w:lvlJc w:val="left"/>
      <w:pPr>
        <w:tabs>
          <w:tab w:val="left" w:pos="567"/>
        </w:tabs>
        <w:ind w:left="577" w:hanging="266"/>
      </w:pPr>
      <w:rPr>
        <w:rFonts w:hint="default" w:ascii="Symbol" w:hAnsi="Symbol" w:cs="Symbol"/>
        <w:sz w:val="20"/>
      </w:rPr>
    </w:lvl>
    <w:lvl w:ilvl="1" w:tentative="0">
      <w:start w:val="1"/>
      <w:numFmt w:val="bullet"/>
      <w:lvlText w:val=""/>
      <w:lvlJc w:val="left"/>
      <w:pPr>
        <w:tabs>
          <w:tab w:val="left" w:pos="1440"/>
        </w:tabs>
        <w:ind w:left="1297" w:hanging="360"/>
      </w:pPr>
      <w:rPr>
        <w:rFonts w:hint="default" w:ascii="Symbol" w:hAnsi="Symbol" w:cs="Symbol"/>
        <w:sz w:val="20"/>
      </w:rPr>
    </w:lvl>
    <w:lvl w:ilvl="2" w:tentative="0">
      <w:start w:val="1"/>
      <w:numFmt w:val="bullet"/>
      <w:lvlText w:val=""/>
      <w:lvlJc w:val="left"/>
      <w:pPr>
        <w:tabs>
          <w:tab w:val="left" w:pos="2160"/>
        </w:tabs>
        <w:ind w:left="2017" w:hanging="360"/>
      </w:pPr>
      <w:rPr>
        <w:rFonts w:hint="default" w:ascii="Symbol" w:hAnsi="Symbol" w:cs="Symbol"/>
        <w:sz w:val="20"/>
      </w:rPr>
    </w:lvl>
    <w:lvl w:ilvl="3" w:tentative="0">
      <w:start w:val="1"/>
      <w:numFmt w:val="bullet"/>
      <w:lvlText w:val=""/>
      <w:lvlJc w:val="left"/>
      <w:pPr>
        <w:tabs>
          <w:tab w:val="left" w:pos="2880"/>
        </w:tabs>
        <w:ind w:left="2737" w:hanging="360"/>
      </w:pPr>
      <w:rPr>
        <w:rFonts w:hint="default" w:ascii="Symbol" w:hAnsi="Symbol" w:cs="Symbol"/>
        <w:sz w:val="20"/>
      </w:rPr>
    </w:lvl>
    <w:lvl w:ilvl="4" w:tentative="0">
      <w:start w:val="1"/>
      <w:numFmt w:val="bullet"/>
      <w:lvlText w:val=""/>
      <w:lvlJc w:val="left"/>
      <w:pPr>
        <w:tabs>
          <w:tab w:val="left" w:pos="3600"/>
        </w:tabs>
        <w:ind w:left="3457" w:hanging="360"/>
      </w:pPr>
      <w:rPr>
        <w:rFonts w:hint="default" w:ascii="Symbol" w:hAnsi="Symbol" w:cs="Symbol"/>
        <w:sz w:val="20"/>
      </w:rPr>
    </w:lvl>
    <w:lvl w:ilvl="5" w:tentative="0">
      <w:start w:val="1"/>
      <w:numFmt w:val="bullet"/>
      <w:lvlText w:val=""/>
      <w:lvlJc w:val="left"/>
      <w:pPr>
        <w:tabs>
          <w:tab w:val="left" w:pos="4320"/>
        </w:tabs>
        <w:ind w:left="4177" w:hanging="360"/>
      </w:pPr>
      <w:rPr>
        <w:rFonts w:hint="default" w:ascii="Symbol" w:hAnsi="Symbol" w:cs="Symbol"/>
        <w:sz w:val="20"/>
      </w:rPr>
    </w:lvl>
    <w:lvl w:ilvl="6" w:tentative="0">
      <w:start w:val="1"/>
      <w:numFmt w:val="bullet"/>
      <w:lvlText w:val=""/>
      <w:lvlJc w:val="left"/>
      <w:pPr>
        <w:tabs>
          <w:tab w:val="left" w:pos="5040"/>
        </w:tabs>
        <w:ind w:left="4897" w:hanging="360"/>
      </w:pPr>
      <w:rPr>
        <w:rFonts w:hint="default" w:ascii="Symbol" w:hAnsi="Symbol" w:cs="Symbol"/>
        <w:sz w:val="20"/>
      </w:rPr>
    </w:lvl>
    <w:lvl w:ilvl="7" w:tentative="0">
      <w:start w:val="1"/>
      <w:numFmt w:val="bullet"/>
      <w:lvlText w:val=""/>
      <w:lvlJc w:val="left"/>
      <w:pPr>
        <w:tabs>
          <w:tab w:val="left" w:pos="5760"/>
        </w:tabs>
        <w:ind w:left="5617" w:hanging="360"/>
      </w:pPr>
      <w:rPr>
        <w:rFonts w:hint="default" w:ascii="Symbol" w:hAnsi="Symbol" w:cs="Symbol"/>
        <w:sz w:val="20"/>
      </w:rPr>
    </w:lvl>
    <w:lvl w:ilvl="8" w:tentative="0">
      <w:start w:val="1"/>
      <w:numFmt w:val="bullet"/>
      <w:lvlText w:val=""/>
      <w:lvlJc w:val="left"/>
      <w:pPr>
        <w:tabs>
          <w:tab w:val="left" w:pos="6480"/>
        </w:tabs>
        <w:ind w:left="6337" w:hanging="360"/>
      </w:pPr>
      <w:rPr>
        <w:rFonts w:hint="default" w:ascii="Symbol" w:hAnsi="Symbol" w:cs="Symbol"/>
        <w:sz w:val="20"/>
      </w:rPr>
    </w:lvl>
  </w:abstractNum>
  <w:abstractNum w:abstractNumId="12">
    <w:nsid w:val="4BEE7CA3"/>
    <w:multiLevelType w:val="multilevel"/>
    <w:tmpl w:val="4BEE7CA3"/>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3">
    <w:nsid w:val="4D7DD575"/>
    <w:multiLevelType w:val="multilevel"/>
    <w:tmpl w:val="4D7DD575"/>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4">
    <w:nsid w:val="4E459D1B"/>
    <w:multiLevelType w:val="multilevel"/>
    <w:tmpl w:val="4E459D1B"/>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5">
    <w:nsid w:val="7F0BA605"/>
    <w:multiLevelType w:val="multilevel"/>
    <w:tmpl w:val="7F0BA605"/>
    <w:lvl w:ilvl="0" w:tentative="0">
      <w:start w:val="1"/>
      <w:numFmt w:val="bullet"/>
      <w:lvlText w:val=""/>
      <w:lvlJc w:val="left"/>
      <w:pPr>
        <w:tabs>
          <w:tab w:val="left" w:pos="720"/>
        </w:tabs>
        <w:ind w:left="720" w:hanging="266"/>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7"/>
  </w:num>
  <w:num w:numId="2">
    <w:abstractNumId w:val="11"/>
  </w:num>
  <w:num w:numId="3">
    <w:abstractNumId w:val="5"/>
  </w:num>
  <w:num w:numId="4">
    <w:abstractNumId w:val="15"/>
  </w:num>
  <w:num w:numId="5">
    <w:abstractNumId w:val="9"/>
  </w:num>
  <w:num w:numId="6">
    <w:abstractNumId w:val="14"/>
  </w:num>
  <w:num w:numId="7">
    <w:abstractNumId w:val="4"/>
  </w:num>
  <w:num w:numId="8">
    <w:abstractNumId w:val="12"/>
  </w:num>
  <w:num w:numId="9">
    <w:abstractNumId w:val="6"/>
  </w:num>
  <w:num w:numId="10">
    <w:abstractNumId w:val="8"/>
  </w:num>
  <w:num w:numId="11">
    <w:abstractNumId w:val="0"/>
  </w:num>
  <w:num w:numId="12">
    <w:abstractNumId w:val="3"/>
  </w:num>
  <w:num w:numId="13">
    <w:abstractNumId w:val="1"/>
  </w:num>
  <w:num w:numId="14">
    <w:abstractNumId w:val="10"/>
  </w:num>
  <w:num w:numId="15">
    <w:abstractNumId w:val="1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84433"/>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AA4CF6"/>
    <w:rsid w:val="01C148A9"/>
    <w:rsid w:val="027F3841"/>
    <w:rsid w:val="029A38EC"/>
    <w:rsid w:val="02C679DF"/>
    <w:rsid w:val="02E36F70"/>
    <w:rsid w:val="032F52C0"/>
    <w:rsid w:val="03361E7B"/>
    <w:rsid w:val="03E961F4"/>
    <w:rsid w:val="04251A8C"/>
    <w:rsid w:val="0517665C"/>
    <w:rsid w:val="05D6094B"/>
    <w:rsid w:val="0636392C"/>
    <w:rsid w:val="06410755"/>
    <w:rsid w:val="0722269E"/>
    <w:rsid w:val="0753050D"/>
    <w:rsid w:val="0786118E"/>
    <w:rsid w:val="086E3976"/>
    <w:rsid w:val="087018BD"/>
    <w:rsid w:val="08A94889"/>
    <w:rsid w:val="08B33959"/>
    <w:rsid w:val="08C16076"/>
    <w:rsid w:val="09394FEE"/>
    <w:rsid w:val="096C0B4C"/>
    <w:rsid w:val="09862E1C"/>
    <w:rsid w:val="09AD03A9"/>
    <w:rsid w:val="0A496AA6"/>
    <w:rsid w:val="0AA779AA"/>
    <w:rsid w:val="0AC74962"/>
    <w:rsid w:val="0B1A34E5"/>
    <w:rsid w:val="0B444D3D"/>
    <w:rsid w:val="0D110C4F"/>
    <w:rsid w:val="0D1A20B6"/>
    <w:rsid w:val="0D562B05"/>
    <w:rsid w:val="0E680D42"/>
    <w:rsid w:val="0EE81B98"/>
    <w:rsid w:val="0F534322"/>
    <w:rsid w:val="0FE91035"/>
    <w:rsid w:val="102D5D9F"/>
    <w:rsid w:val="1054157E"/>
    <w:rsid w:val="107514F4"/>
    <w:rsid w:val="112B5BE8"/>
    <w:rsid w:val="112D098E"/>
    <w:rsid w:val="116457F1"/>
    <w:rsid w:val="11CE6997"/>
    <w:rsid w:val="13C056FE"/>
    <w:rsid w:val="146A4AEC"/>
    <w:rsid w:val="14FE41AE"/>
    <w:rsid w:val="155C74E2"/>
    <w:rsid w:val="15882CFD"/>
    <w:rsid w:val="16003000"/>
    <w:rsid w:val="165105AE"/>
    <w:rsid w:val="16826719"/>
    <w:rsid w:val="16E75C4F"/>
    <w:rsid w:val="1904428E"/>
    <w:rsid w:val="19834C82"/>
    <w:rsid w:val="19C07F98"/>
    <w:rsid w:val="19DD25E4"/>
    <w:rsid w:val="1A253F8B"/>
    <w:rsid w:val="1A632D4C"/>
    <w:rsid w:val="1B073434"/>
    <w:rsid w:val="1B9C2335"/>
    <w:rsid w:val="1C1462F7"/>
    <w:rsid w:val="1C823104"/>
    <w:rsid w:val="1CC24339"/>
    <w:rsid w:val="1D4E469F"/>
    <w:rsid w:val="1D8644FB"/>
    <w:rsid w:val="1D97DEFF"/>
    <w:rsid w:val="1DFF72E5"/>
    <w:rsid w:val="1E0E1412"/>
    <w:rsid w:val="1E3B2639"/>
    <w:rsid w:val="1E3D7AF5"/>
    <w:rsid w:val="1EFC6F07"/>
    <w:rsid w:val="1F55375D"/>
    <w:rsid w:val="1F96505C"/>
    <w:rsid w:val="1FB12B7B"/>
    <w:rsid w:val="1FFB7C68"/>
    <w:rsid w:val="20032B7B"/>
    <w:rsid w:val="20265145"/>
    <w:rsid w:val="203B78C9"/>
    <w:rsid w:val="21552A09"/>
    <w:rsid w:val="21C971C4"/>
    <w:rsid w:val="228760C1"/>
    <w:rsid w:val="22900714"/>
    <w:rsid w:val="22E1799D"/>
    <w:rsid w:val="233B037C"/>
    <w:rsid w:val="239F615F"/>
    <w:rsid w:val="243E3DBF"/>
    <w:rsid w:val="253B2FBC"/>
    <w:rsid w:val="254C3561"/>
    <w:rsid w:val="25A8619C"/>
    <w:rsid w:val="26E5365D"/>
    <w:rsid w:val="26E73BF8"/>
    <w:rsid w:val="27335F39"/>
    <w:rsid w:val="27827F28"/>
    <w:rsid w:val="27B25A6A"/>
    <w:rsid w:val="27E23B0E"/>
    <w:rsid w:val="28452835"/>
    <w:rsid w:val="2886081F"/>
    <w:rsid w:val="28FC235B"/>
    <w:rsid w:val="29E05285"/>
    <w:rsid w:val="2A13795C"/>
    <w:rsid w:val="2AA41652"/>
    <w:rsid w:val="2AC33130"/>
    <w:rsid w:val="2B7D203A"/>
    <w:rsid w:val="2B90514E"/>
    <w:rsid w:val="2BD575BF"/>
    <w:rsid w:val="2D9042F7"/>
    <w:rsid w:val="2DA059AB"/>
    <w:rsid w:val="2DC86CB0"/>
    <w:rsid w:val="2DCF110D"/>
    <w:rsid w:val="2E1B3283"/>
    <w:rsid w:val="2E6E1F50"/>
    <w:rsid w:val="2E8329AF"/>
    <w:rsid w:val="2F113348"/>
    <w:rsid w:val="2FDF85B8"/>
    <w:rsid w:val="2FFFEE04"/>
    <w:rsid w:val="30897F7E"/>
    <w:rsid w:val="32C0275E"/>
    <w:rsid w:val="331D4B3E"/>
    <w:rsid w:val="33235945"/>
    <w:rsid w:val="33B33535"/>
    <w:rsid w:val="34381B90"/>
    <w:rsid w:val="34C40692"/>
    <w:rsid w:val="34DF85B0"/>
    <w:rsid w:val="35E84393"/>
    <w:rsid w:val="3625361F"/>
    <w:rsid w:val="369D62C5"/>
    <w:rsid w:val="373869A9"/>
    <w:rsid w:val="376C68FE"/>
    <w:rsid w:val="376E34BD"/>
    <w:rsid w:val="37791949"/>
    <w:rsid w:val="37A8202C"/>
    <w:rsid w:val="37EA17DA"/>
    <w:rsid w:val="38524ADD"/>
    <w:rsid w:val="391B7F61"/>
    <w:rsid w:val="392B0D14"/>
    <w:rsid w:val="39A04265"/>
    <w:rsid w:val="3B8F36BC"/>
    <w:rsid w:val="3BAF01E0"/>
    <w:rsid w:val="3C395948"/>
    <w:rsid w:val="3CEE1410"/>
    <w:rsid w:val="3E1B0554"/>
    <w:rsid w:val="3EB76128"/>
    <w:rsid w:val="3EF67802"/>
    <w:rsid w:val="3F6E110E"/>
    <w:rsid w:val="3F847BB1"/>
    <w:rsid w:val="3FB378DF"/>
    <w:rsid w:val="422D24D1"/>
    <w:rsid w:val="427B20EB"/>
    <w:rsid w:val="448259B3"/>
    <w:rsid w:val="4542121C"/>
    <w:rsid w:val="45605CF4"/>
    <w:rsid w:val="458330B6"/>
    <w:rsid w:val="46A264A5"/>
    <w:rsid w:val="46A6186A"/>
    <w:rsid w:val="470152B5"/>
    <w:rsid w:val="47130021"/>
    <w:rsid w:val="475F5F10"/>
    <w:rsid w:val="47E97B75"/>
    <w:rsid w:val="485361B1"/>
    <w:rsid w:val="48653621"/>
    <w:rsid w:val="48E42798"/>
    <w:rsid w:val="48F83962"/>
    <w:rsid w:val="491FF225"/>
    <w:rsid w:val="49D62A28"/>
    <w:rsid w:val="4A1043C2"/>
    <w:rsid w:val="4ACD2D27"/>
    <w:rsid w:val="4AD36F68"/>
    <w:rsid w:val="4BF00E15"/>
    <w:rsid w:val="4C33300F"/>
    <w:rsid w:val="4D016DA2"/>
    <w:rsid w:val="4D4D0F3E"/>
    <w:rsid w:val="4E0D09E3"/>
    <w:rsid w:val="4FC4743C"/>
    <w:rsid w:val="4FF4200C"/>
    <w:rsid w:val="4FFD214C"/>
    <w:rsid w:val="50111160"/>
    <w:rsid w:val="51DF5452"/>
    <w:rsid w:val="52503676"/>
    <w:rsid w:val="525B7958"/>
    <w:rsid w:val="533B3627"/>
    <w:rsid w:val="53870CDA"/>
    <w:rsid w:val="549E0D64"/>
    <w:rsid w:val="553F4386"/>
    <w:rsid w:val="55C249AD"/>
    <w:rsid w:val="56050E69"/>
    <w:rsid w:val="56F9489F"/>
    <w:rsid w:val="5777D4F5"/>
    <w:rsid w:val="57DE0CFA"/>
    <w:rsid w:val="58164A67"/>
    <w:rsid w:val="58443253"/>
    <w:rsid w:val="586C415B"/>
    <w:rsid w:val="58873140"/>
    <w:rsid w:val="58C6010C"/>
    <w:rsid w:val="593A4932"/>
    <w:rsid w:val="598F49A2"/>
    <w:rsid w:val="59DD8326"/>
    <w:rsid w:val="5A490EEA"/>
    <w:rsid w:val="5AE43BCD"/>
    <w:rsid w:val="5B672793"/>
    <w:rsid w:val="5C983C85"/>
    <w:rsid w:val="5CC647EC"/>
    <w:rsid w:val="5CEB4065"/>
    <w:rsid w:val="5D0D0CF0"/>
    <w:rsid w:val="5D8E4C63"/>
    <w:rsid w:val="5DEF592A"/>
    <w:rsid w:val="5DFF1D51"/>
    <w:rsid w:val="5E8C01CF"/>
    <w:rsid w:val="5EA15BC7"/>
    <w:rsid w:val="5F9F3465"/>
    <w:rsid w:val="5FC6BB1E"/>
    <w:rsid w:val="5FF720F1"/>
    <w:rsid w:val="603742F9"/>
    <w:rsid w:val="60CA4511"/>
    <w:rsid w:val="613079F5"/>
    <w:rsid w:val="61BC46D2"/>
    <w:rsid w:val="628D3A49"/>
    <w:rsid w:val="62917095"/>
    <w:rsid w:val="63414F5F"/>
    <w:rsid w:val="63490C16"/>
    <w:rsid w:val="6384309D"/>
    <w:rsid w:val="63870498"/>
    <w:rsid w:val="63F83144"/>
    <w:rsid w:val="64803865"/>
    <w:rsid w:val="64C10E6B"/>
    <w:rsid w:val="656A7498"/>
    <w:rsid w:val="6593461D"/>
    <w:rsid w:val="66400AB5"/>
    <w:rsid w:val="66A87511"/>
    <w:rsid w:val="66EC6F90"/>
    <w:rsid w:val="67FF5C0B"/>
    <w:rsid w:val="68106CAE"/>
    <w:rsid w:val="683055A2"/>
    <w:rsid w:val="683E70A0"/>
    <w:rsid w:val="6851710F"/>
    <w:rsid w:val="68867ADB"/>
    <w:rsid w:val="688776AE"/>
    <w:rsid w:val="68E9040E"/>
    <w:rsid w:val="68ED3855"/>
    <w:rsid w:val="68F640D4"/>
    <w:rsid w:val="69564B94"/>
    <w:rsid w:val="69BE4811"/>
    <w:rsid w:val="6A2904FB"/>
    <w:rsid w:val="6A802197"/>
    <w:rsid w:val="6BE734D8"/>
    <w:rsid w:val="6C983BF6"/>
    <w:rsid w:val="6CD26960"/>
    <w:rsid w:val="6D6105B3"/>
    <w:rsid w:val="6D68133A"/>
    <w:rsid w:val="6D702FA2"/>
    <w:rsid w:val="6EEA47E0"/>
    <w:rsid w:val="6EFC0924"/>
    <w:rsid w:val="6F2579E2"/>
    <w:rsid w:val="6F3275E5"/>
    <w:rsid w:val="6F697C94"/>
    <w:rsid w:val="6FAA1885"/>
    <w:rsid w:val="6FB74722"/>
    <w:rsid w:val="6FEF8B7E"/>
    <w:rsid w:val="708A0028"/>
    <w:rsid w:val="70BC3E77"/>
    <w:rsid w:val="711C0BD3"/>
    <w:rsid w:val="71353C29"/>
    <w:rsid w:val="717128A4"/>
    <w:rsid w:val="718806B7"/>
    <w:rsid w:val="71A010A2"/>
    <w:rsid w:val="71A6591B"/>
    <w:rsid w:val="71E53AF6"/>
    <w:rsid w:val="72104D46"/>
    <w:rsid w:val="721E35FD"/>
    <w:rsid w:val="736E51D0"/>
    <w:rsid w:val="737D59BA"/>
    <w:rsid w:val="73F27CFC"/>
    <w:rsid w:val="73F30D33"/>
    <w:rsid w:val="73F95F60"/>
    <w:rsid w:val="74351B2E"/>
    <w:rsid w:val="74535D15"/>
    <w:rsid w:val="7476258E"/>
    <w:rsid w:val="747B2703"/>
    <w:rsid w:val="75680EB0"/>
    <w:rsid w:val="759C014B"/>
    <w:rsid w:val="75A50940"/>
    <w:rsid w:val="768D0E64"/>
    <w:rsid w:val="774F299F"/>
    <w:rsid w:val="775C4F6D"/>
    <w:rsid w:val="7799598B"/>
    <w:rsid w:val="77B13E52"/>
    <w:rsid w:val="77C37683"/>
    <w:rsid w:val="789E697D"/>
    <w:rsid w:val="78CC6C21"/>
    <w:rsid w:val="78CF272C"/>
    <w:rsid w:val="78DE3B68"/>
    <w:rsid w:val="7956298E"/>
    <w:rsid w:val="79FF515B"/>
    <w:rsid w:val="7B602006"/>
    <w:rsid w:val="7C0C46E1"/>
    <w:rsid w:val="7C2F624D"/>
    <w:rsid w:val="7DC26844"/>
    <w:rsid w:val="7E381574"/>
    <w:rsid w:val="7E924469"/>
    <w:rsid w:val="7E9E1962"/>
    <w:rsid w:val="7E9F11B4"/>
    <w:rsid w:val="7EEA045A"/>
    <w:rsid w:val="7F2E2073"/>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jc w:val="left"/>
    </w:pPr>
    <w:rPr>
      <w:kern w:val="0"/>
      <w:sz w:val="24"/>
    </w:rPr>
  </w:style>
  <w:style w:type="character" w:styleId="11">
    <w:name w:val="Strong"/>
    <w:basedOn w:val="10"/>
    <w:qFormat/>
    <w:uiPriority w:val="0"/>
    <w:rPr>
      <w:b/>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4"/>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9142</Words>
  <Characters>10971</Characters>
  <Lines>63</Lines>
  <Paragraphs>18</Paragraphs>
  <TotalTime>2</TotalTime>
  <ScaleCrop>false</ScaleCrop>
  <LinksUpToDate>false</LinksUpToDate>
  <CharactersWithSpaces>11992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2025-08-28T07:39:00Z</cp:lastPrinted>
  <dcterms:modified xsi:type="dcterms:W3CDTF">2026-09-11T02:52:57Z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CCA9C237D36746CD8B51F135B28413BF_13</vt:lpwstr>
  </property>
  <property fmtid="{D5CDD505-2E9C-101B-9397-08002B2CF9AE}" pid="4" name="KSOTemplateDocerSaveRecord">
    <vt:lpwstr>eyJoZGlkIjoiNDEyYTkxZWFhMjMzZDY2NTJiNzAzZDNkMTJlN2NmYjMiLCJ1c2VySWQiOiI2NjAzNzQ3NTEifQ==</vt:lpwstr>
  </property>
</Properties>
</file>