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600" w:lineRule="exact"/>
        <w:jc w:val="center"/>
        <w:rPr>
          <w:rFonts w:hint="eastAsia" w:ascii="宋体" w:hAnsi="宋体" w:cs="宋体"/>
          <w:b/>
          <w:bCs/>
          <w:sz w:val="48"/>
          <w:szCs w:val="48"/>
          <w:lang w:eastAsia="zh-CN"/>
        </w:rPr>
      </w:pPr>
      <w:r>
        <w:rPr>
          <w:rFonts w:hint="eastAsia" w:ascii="宋体" w:hAnsi="宋体" w:cs="宋体"/>
          <w:b/>
          <w:bCs/>
          <w:sz w:val="48"/>
          <w:szCs w:val="48"/>
          <w:lang w:eastAsia="zh-CN"/>
        </w:rPr>
        <w:t>2025</w:t>
      </w:r>
      <w:r>
        <w:rPr>
          <w:rFonts w:hint="eastAsia" w:ascii="宋体" w:hAnsi="宋体" w:cs="宋体"/>
          <w:b/>
          <w:bCs/>
          <w:sz w:val="48"/>
          <w:szCs w:val="48"/>
        </w:rPr>
        <w:t>年度</w:t>
      </w:r>
      <w:r>
        <w:rPr>
          <w:rFonts w:hint="eastAsia" w:ascii="宋体" w:hAnsi="宋体" w:cs="宋体"/>
          <w:b/>
          <w:bCs/>
          <w:sz w:val="48"/>
          <w:szCs w:val="48"/>
          <w:lang w:eastAsia="zh-CN"/>
        </w:rPr>
        <w:t>道县横岭瑶族乡人民政府</w:t>
      </w:r>
    </w:p>
    <w:p>
      <w:pPr>
        <w:adjustRightInd w:val="0"/>
        <w:spacing w:line="600" w:lineRule="exact"/>
        <w:jc w:val="center"/>
        <w:rPr>
          <w:rFonts w:ascii="宋体" w:cs="宋体"/>
          <w:b/>
          <w:bCs/>
          <w:sz w:val="48"/>
          <w:szCs w:val="48"/>
        </w:rPr>
      </w:pPr>
      <w:r>
        <w:rPr>
          <w:rFonts w:hint="eastAsia" w:ascii="宋体" w:hAnsi="宋体" w:cs="宋体"/>
          <w:b/>
          <w:bCs/>
          <w:sz w:val="48"/>
          <w:szCs w:val="48"/>
        </w:rPr>
        <w:t>整体支出绩效评价报告</w:t>
      </w:r>
    </w:p>
    <w:p>
      <w:pPr>
        <w:adjustRightInd w:val="0"/>
        <w:spacing w:line="600" w:lineRule="exact"/>
        <w:rPr>
          <w:rFonts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一、部门概况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1、道县横岭瑶族乡人民政府是全额拨款的行政单位，下辖6个社区，财务核算执行行政单位会计制度。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制定并落实本行政区域的经济计划和措施，促进产业结构调整及其他经济保持平衡协调发展，全面提高人民群众的生活水平和生活质量。加强镇级财政的监督和管理，按计划组织、管理乡财政收入和支出，执行国家有关财经纪律和政策，保证国家财政收入的完成。</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3、人员编制：我单位为正科级全额拨款行政单位，内设办公室、财务室、民政室、计生办、综治办等5个职能部室。现实有在编人数行政17人，事业20人。</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4、收支管理办法。严格执行上级制定的财务收支管理办法，加强整体部门支出和固定资产管理，提高资金和资产的使用效率和财务的精细化管理水平。</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二、部门整体收支情况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2025年总体支出556.15万元。其中人员经费430.44万元，主要包括基本工资181.8万元、津贴补贴30.05万元、绩效工资137.88万元、养老保险39.22万元、医疗保险21.32万元、其他社会保障缴费9.34万元</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机关运行经费情况：2025年机关运行经费125.7万元，主要包括办公费82.82万元、印刷费3万元、水费2万元、电费5万元、公务用车运行维护费3万元、其他交通费用2万元、其他商品和服务支出27.87万元。</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三公经费使用情况：2025年度本单位“三公”经费总额为3万元，其中公务用车运行及维护费用3万元，公务接待费0万元。2025年公务用车购置数0台，车辆保有量1台。</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三、部门整体支出管理情况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领导高度重视，制度执行比较到位，资金使用效益进一步提高。2025年度加强了财务管理，落实厉行节约的各项规定，“三公”经费实现了有效压缩。</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四、部门整体支出绩效情况</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一）党建引领明方向，凝心聚力固根本。一是坚持抓学习，理论武装入脑入心。乡镇始终坚持把意识形态工作摆在首要位置，抓牢抓实第一议题和理论中心组学习。2025年来共开展第一议题学习25次，开展理论学习中心组学习10次。将习近平总书记对统战工作的指示及统战工作理论纳入党工委理论学习中心组、主题党课学习，认真组织干部职工学习《2025年全县统一战线工作要点》等理论政策，按照三级网络两级责任制的要求，切实摸清少数民族、宗教信徒、乡贤等民宗工作基本情况，做到基础数据心中有底。把开展深入贯彻中央八项规定精神学习教育作为一项重要政治任务来抓，</w:t>
      </w:r>
      <w:r>
        <w:rPr>
          <w:rFonts w:hint="eastAsia" w:ascii="仿宋_GB2312" w:hAnsi="仿宋_GB2312" w:eastAsia="仿宋_GB2312" w:cs="仿宋_GB2312"/>
          <w:b w:val="0"/>
          <w:bCs w:val="0"/>
          <w:color w:val="000000"/>
          <w:kern w:val="2"/>
          <w:sz w:val="32"/>
          <w:szCs w:val="32"/>
          <w:lang w:val="en-US" w:eastAsia="zh-CN" w:bidi="ar-SA"/>
        </w:rPr>
        <w:t>党工委第一时间召开学习教育启动会传达上级部署会精神，研究学习方案，制定《西洲街道深入贯彻中央八项规定精神学习教育计划》，形成学习教育“施工表”“路线图”，确保街道、社区上下联动、同频共振、一体推进。街道党工委专题研究党纪学习教育工作</w:t>
      </w:r>
      <w:r>
        <w:rPr>
          <w:rFonts w:hint="eastAsia" w:ascii="仿宋_GB2312" w:hAnsi="仿宋_GB2312" w:eastAsia="仿宋_GB2312" w:cs="仿宋_GB2312"/>
          <w:b w:val="0"/>
          <w:bCs w:val="0"/>
          <w:color w:val="000000"/>
          <w:kern w:val="2"/>
          <w:sz w:val="32"/>
          <w:szCs w:val="32"/>
          <w:lang w:val="en-US" w:eastAsia="zh-CN" w:bidi="ar-SA"/>
        </w:rPr>
        <w:t>6次，组织各党（总）支部学习</w:t>
      </w:r>
      <w:r>
        <w:rPr>
          <w:rFonts w:hint="eastAsia" w:ascii="仿宋_GB2312" w:hAnsi="仿宋_GB2312" w:eastAsia="仿宋_GB2312" w:cs="仿宋_GB2312"/>
          <w:b w:val="0"/>
          <w:bCs w:val="0"/>
          <w:color w:val="000000"/>
          <w:kern w:val="2"/>
          <w:sz w:val="32"/>
          <w:szCs w:val="32"/>
          <w:lang w:val="en-US" w:eastAsia="zh-CN" w:bidi="ar-SA"/>
        </w:rPr>
        <w:t>5次，集中研讨</w:t>
      </w:r>
      <w:r>
        <w:rPr>
          <w:rFonts w:hint="eastAsia" w:ascii="仿宋_GB2312" w:hAnsi="仿宋_GB2312" w:eastAsia="仿宋_GB2312" w:cs="仿宋_GB2312"/>
          <w:b w:val="0"/>
          <w:bCs w:val="0"/>
          <w:color w:val="000000"/>
          <w:kern w:val="2"/>
          <w:sz w:val="32"/>
          <w:szCs w:val="32"/>
          <w:lang w:val="en-US" w:eastAsia="zh-CN" w:bidi="ar-SA"/>
        </w:rPr>
        <w:t>5次，党组织书记讲专题党课14次，党员、干部讲微党课18次。根据不同类别党员的知识结构及学习需求，打造“一主多线”学习模式。针对青年干部，建立“小组推进+导师帮带”立体化组织体系，吸纳35岁以下干部全员参学。推行“双导师制”，班子成员与年轻干部结对帮带，开展青年理论学习小组专题学习研讨</w:t>
      </w:r>
      <w:r>
        <w:rPr>
          <w:rFonts w:hint="eastAsia" w:ascii="仿宋_GB2312" w:hAnsi="仿宋_GB2312" w:eastAsia="仿宋_GB2312" w:cs="仿宋_GB2312"/>
          <w:b w:val="0"/>
          <w:bCs w:val="0"/>
          <w:color w:val="000000"/>
          <w:kern w:val="2"/>
          <w:sz w:val="32"/>
          <w:szCs w:val="32"/>
          <w:lang w:val="en-US" w:eastAsia="zh-CN" w:bidi="ar-SA"/>
        </w:rPr>
        <w:t>4次。同步推出“普通党员上讲台”“接地气”，将学习教育与“一月一课一片一实践”主题党日活动深度融合，每月安排1名普通党员结合自身经历和工作实际领学，让学习内容更接地气、更具感染力。借助“警示教育”“托深度”，召开全体干部警示教育大会2次，观看警示教育片528人次，引导党员干部以案为鉴、反躬自省，筑牢思想防线。二是坚持强队伍</w:t>
      </w:r>
      <w:r>
        <w:rPr>
          <w:rFonts w:hint="default" w:ascii="仿宋_GB2312" w:hAnsi="仿宋_GB2312" w:eastAsia="仿宋_GB2312" w:cs="仿宋_GB2312"/>
          <w:b w:val="0"/>
          <w:bCs w:val="0"/>
          <w:color w:val="000000"/>
          <w:kern w:val="2"/>
          <w:sz w:val="32"/>
          <w:szCs w:val="32"/>
          <w:lang w:val="en-US" w:eastAsia="zh-CN" w:bidi="ar-SA"/>
        </w:rPr>
        <w:t>，基层基础</w:t>
      </w:r>
      <w:r>
        <w:rPr>
          <w:rFonts w:hint="eastAsia" w:ascii="仿宋_GB2312" w:hAnsi="仿宋_GB2312" w:eastAsia="仿宋_GB2312" w:cs="仿宋_GB2312"/>
          <w:b w:val="0"/>
          <w:bCs w:val="0"/>
          <w:color w:val="000000"/>
          <w:kern w:val="2"/>
          <w:sz w:val="32"/>
          <w:szCs w:val="32"/>
          <w:lang w:val="en-US" w:eastAsia="zh-CN" w:bidi="ar-SA"/>
        </w:rPr>
        <w:t>夯实夯牢</w:t>
      </w:r>
      <w:r>
        <w:rPr>
          <w:rFonts w:hint="default" w:ascii="仿宋_GB2312" w:hAnsi="仿宋_GB2312" w:eastAsia="仿宋_GB2312" w:cs="仿宋_GB2312"/>
          <w:b w:val="0"/>
          <w:bCs w:val="0"/>
          <w:color w:val="000000"/>
          <w:kern w:val="2"/>
          <w:sz w:val="32"/>
          <w:szCs w:val="32"/>
          <w:lang w:val="en-US" w:eastAsia="zh-CN" w:bidi="ar-SA"/>
        </w:rPr>
        <w:t>。</w:t>
      </w:r>
      <w:r>
        <w:rPr>
          <w:rFonts w:hint="eastAsia" w:ascii="仿宋_GB2312" w:hAnsi="仿宋_GB2312" w:eastAsia="仿宋_GB2312" w:cs="仿宋_GB2312"/>
          <w:b w:val="0"/>
          <w:bCs w:val="0"/>
          <w:color w:val="000000"/>
          <w:kern w:val="2"/>
          <w:sz w:val="32"/>
          <w:szCs w:val="32"/>
          <w:lang w:val="en-US" w:eastAsia="zh-CN" w:bidi="ar-SA"/>
        </w:rPr>
        <w:t>严格落实好“三会一课”、组织生活会、民主评议党员等制度，促进党内政治生活扎实开展。充分发挥居民自治共管作用，选优配强片、组、邻“三长”578名，收集并解决问题50余件，进一步夯实基层治理根基。围绕“选准苗子、育强底子、压实担子、搭好台子”目标，按照“部门资格初审 + 党工委考察 + 县级联审”三级审查机制，储备社区后备干部71人（平均年龄32 岁，大专以上学历占83.9%，其中社区党组织书记后备力量13人，优秀大学生跨村任职后备干部2名）；全年补选两委干部1人，发展党员6人，街道32名优秀的网格员按程序转隶为社区专职工作者。“一月一课一片一实践”活动开展有声有色、有质有效；街道党校开展培训班6期，兜底培训582人次。全力推进新兴领域“两个覆盖”集中攻坚，成立党支部14个，省、市社会工作部多次到街道调研街道新兴领域党建工作。街道换届工作平稳有序推进，目前，2个试点社区已完成“两委”换届，“一肩挑”比例达到100%，“两委”干部结构更优，平均年龄下降2.6岁，实现了干部年青化、知识化、专业化“三化”目标，其它4个社区换届工作已完成初步人选推荐，正按程序有序推进中。</w:t>
      </w:r>
      <w:r>
        <w:rPr>
          <w:rFonts w:hint="eastAsia" w:ascii="仿宋_GB2312" w:hAnsi="仿宋_GB2312" w:eastAsia="仿宋_GB2312" w:cs="仿宋_GB2312"/>
          <w:b w:val="0"/>
          <w:bCs w:val="0"/>
          <w:color w:val="000000"/>
          <w:kern w:val="2"/>
          <w:sz w:val="32"/>
          <w:szCs w:val="32"/>
          <w:lang w:val="en-US" w:eastAsia="zh-CN" w:bidi="ar-SA"/>
        </w:rPr>
        <w:t>街道积极探索“志愿服务任务化、服务积分价值化、积分管理长效化”的创新机制，促进社区后备干部在常态化服务群众中提升能力、积累实战经验、树立良好形象。三是坚持管武装，练兵用兵落实落细。</w:t>
      </w:r>
      <w:r>
        <w:rPr>
          <w:rFonts w:hint="eastAsia" w:ascii="仿宋_GB2312" w:hAnsi="仿宋_GB2312" w:eastAsia="仿宋_GB2312" w:cs="仿宋_GB2312"/>
          <w:b w:val="0"/>
          <w:bCs w:val="0"/>
          <w:color w:val="000000"/>
          <w:kern w:val="2"/>
          <w:sz w:val="32"/>
          <w:szCs w:val="32"/>
          <w:lang w:val="en-US" w:eastAsia="zh-CN" w:bidi="ar-SA"/>
        </w:rPr>
        <w:t>提升应急能力，锻造过硬队伍。今年来，我们秉持严谨态度，严格依照相关标准组织开展民兵点验工作，旨在着重提升应急处突能力。在点验过程中，我们严格遵循既定程序，对民兵的人员编成、装备配备以及战备状态等方面展开了全面且细致的检查。同时，结合点验工作同步开展应急训练，训练内容涵盖防汛抗旱、维稳处突、森林防火等多个项目。通过组织实战化演练，切实提高了民兵的应急响应能力与协同作战</w:t>
      </w:r>
      <w:bookmarkStart w:id="0" w:name="_GoBack"/>
      <w:bookmarkEnd w:id="0"/>
      <w:r>
        <w:rPr>
          <w:rFonts w:hint="eastAsia" w:ascii="仿宋_GB2312" w:hAnsi="仿宋_GB2312" w:eastAsia="仿宋_GB2312" w:cs="仿宋_GB2312"/>
          <w:b w:val="0"/>
          <w:bCs w:val="0"/>
          <w:color w:val="000000"/>
          <w:kern w:val="2"/>
          <w:sz w:val="32"/>
          <w:szCs w:val="32"/>
          <w:lang w:val="en-US" w:eastAsia="zh-CN" w:bidi="ar-SA"/>
        </w:rPr>
        <w:t>能力。严把兵员质量，输送优质力量。狠抓兵员征集工作，街道成立征兵领导小组研究部署征兵工作，精准收集大学毕业生信息，完善信息台账，领导班子带队“一对一”登门动员。秉持优中选优的原则，严把“体检关、年龄关、学历关、走访关、政审关”，细致全面地进行政审和走访，真实地掌握各个应征青年具体情况。按照大学生征兵工作“三走遍，三签字”活动的要求，共印发宣传资料和征兵公告千余张，悬挂横幅40余条，宣传板报20余块，发放征兵宣传单6000余份。2025年度西洲街道上站体检15人，双合格5人，输送兵员2人无责任退兵。四是坚持严作风，从严治党有力有效。</w:t>
      </w:r>
      <w:r>
        <w:rPr>
          <w:rFonts w:hint="eastAsia" w:ascii="仿宋_GB2312" w:hAnsi="仿宋_GB2312" w:eastAsia="仿宋_GB2312" w:cs="仿宋_GB2312"/>
          <w:b w:val="0"/>
          <w:bCs w:val="0"/>
          <w:color w:val="000000"/>
          <w:kern w:val="2"/>
          <w:sz w:val="32"/>
          <w:szCs w:val="32"/>
          <w:lang w:val="en-US" w:eastAsia="zh-CN" w:bidi="ar-SA"/>
        </w:rPr>
        <w:t>加强作风建设，按照党工委的重点工作部署在哪里，纪委的监督检查到哪里的要求，开展作风督查12次，为街道综治维稳、创文创卫、安全生产和经济发展等工作提供坚强的纪律保障。开展警示教育，组织观看警示教育片1次，传达学习上级纪委下发的通报和党员干部违纪违法案例及《三湘风纪》和《清廉永州》公众号中的典型案例通报，筑牢党员干部职工的思想防线和底线。突出案件办理，持续开展“群腐”集中整治，以“零容忍”的态度释放严的信号，处置问题线索7条，立案4起，办理县纪委指定管辖案件2起，结案3起，处分3人，提醒谈话4人，实现检举控告类“零信访”。</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default"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二）文明创建有效巩固。常态化开展文明创建日活动及日常环境治理，制止“六乱”现象，维护交通、市容秩序，落实“门前三包”责任制，引导居民明确自身责任，履行自身义务，促进文明行为养成。充分发挥红白理事会的作用，通过巡查入户等方式开展文明殡葬宣传，签订红白喜事操办承诺书，有效引导群众摒弃陈规陋习，树立文明新风尚。持续深入推进新时代文明实践所（站）建设，街道投入近20万元在大坪子社区建立示范积分超市、文明集市，“道州好市民”志愿服务活动常态化开展，为巩固全国文明城市创建工作做出积极贡献</w:t>
      </w:r>
      <w:r>
        <w:rPr>
          <w:rFonts w:hint="eastAsia" w:ascii="仿宋_GB2312" w:hAnsi="仿宋_GB2312" w:eastAsia="仿宋_GB2312" w:cs="仿宋_GB2312"/>
          <w:b w:val="0"/>
          <w:bCs w:val="0"/>
          <w:color w:val="000000"/>
          <w:kern w:val="2"/>
          <w:sz w:val="32"/>
          <w:szCs w:val="32"/>
          <w:lang w:val="en-US" w:eastAsia="zh-CN" w:bidi="ar-SA"/>
        </w:rPr>
        <w:t>。三是污染防治成效良好。认真做好露天禁烧宣传，通过拉横幅、发放宣传资料、张贴标语、电子显示屏滚动播放等方式，大力宣传环保理念，提高群众环保意识，通过入户宣传秸秆禁限烧相关政策，辖区农户入户累计覆盖率已达到100%。持续开展禁燃禁放烟花爆竹防控行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（三）筑牢防线保安全，综合治理促和谐。一是推进隐患治理，守牢安全生产底线。</w:t>
      </w:r>
      <w:r>
        <w:rPr>
          <w:rFonts w:hint="eastAsia" w:ascii="仿宋_GB2312" w:hAnsi="仿宋_GB2312" w:eastAsia="仿宋_GB2312" w:cs="仿宋_GB2312"/>
          <w:b w:val="0"/>
          <w:bCs w:val="0"/>
          <w:color w:val="000000"/>
          <w:kern w:val="2"/>
          <w:sz w:val="32"/>
          <w:szCs w:val="32"/>
          <w:lang w:val="en-US" w:eastAsia="zh-CN" w:bidi="ar-SA"/>
        </w:rPr>
        <w:t>街道始终将安全生产工作摆在突出位置，明确责任体系，将责任细化到岗、落实到人。定期调度安全生产工作进度，形成“主要领导亲自抓、分管领导具体抓、各部门协同抓”的工作格局。乡镇以“抓牢主体责任、排查安全隐患、提升防范能力”为核心，推进企业安全生产工作。街道干部深入辖区企业，开展“全覆盖、无死角”隐患排查，建立隐患台账并实行“销号管理”。二是创新治理模式，主动化解矛盾纠纷。今年4月，在矛盾调解中心的基础上，有效整合辖区派出所、司法所、法律工作者、政法“五老”等力量，打造全县最优质的“一站受理、多元调解、全程服务”综治中心，实行“人民调解、行政处理、法律引导”相融合，确保矛盾纠纷集中有效化解、思想情绪有效疏导、难点问题有效引导、重点人员有效稳控。三是全面摸排管控，严防发生重大案件。严格落实法治政府建设责任制，把握关键节点，针对重点人群、重点领域，全面摸排并建立辖区未成年重点人员台账。开展“利剑护蕾”法治进校园、社区、小区专项活动，发放各类宣传册，走访留守儿童等特殊人群家庭，管控涉诈重点人员并对境外涉诈人员进行有效劝返。</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bCs/>
          <w:color w:val="000000"/>
          <w:kern w:val="2"/>
          <w:sz w:val="32"/>
          <w:szCs w:val="32"/>
          <w:lang w:val="en-US" w:eastAsia="zh-CN" w:bidi="ar-SA"/>
        </w:rPr>
      </w:pPr>
      <w:r>
        <w:rPr>
          <w:rFonts w:hint="eastAsia" w:ascii="仿宋_GB2312" w:hAnsi="仿宋_GB2312" w:eastAsia="仿宋_GB2312" w:cs="仿宋_GB2312"/>
          <w:b/>
          <w:bCs/>
          <w:color w:val="000000"/>
          <w:kern w:val="2"/>
          <w:sz w:val="32"/>
          <w:szCs w:val="32"/>
          <w:lang w:val="en-US" w:eastAsia="zh-CN" w:bidi="ar-SA"/>
        </w:rPr>
        <w:t>五、改进措施和有关建议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1、规范账务处理，提高财务信息质量 。</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2、落实财务管理制度，进一步加强接待管理。</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3、搞好人员培训，加强会计队伍建设。</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4、进一步建章立制，确保会计核算规范化。</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附件：道县横岭瑶族乡人民政府</w:t>
      </w:r>
      <w:r>
        <w:rPr>
          <w:rFonts w:hint="eastAsia" w:ascii="仿宋_GB2312" w:hAnsi="仿宋_GB2312" w:eastAsia="仿宋_GB2312" w:cs="仿宋_GB2312"/>
          <w:b w:val="0"/>
          <w:bCs w:val="0"/>
          <w:color w:val="000000"/>
          <w:kern w:val="2"/>
          <w:sz w:val="32"/>
          <w:szCs w:val="32"/>
          <w:lang w:val="en-US" w:eastAsia="zh-CN" w:bidi="ar-SA"/>
        </w:rPr>
        <w:fldChar w:fldCharType="begin"/>
      </w:r>
      <w:r>
        <w:rPr>
          <w:rFonts w:hint="eastAsia" w:ascii="仿宋_GB2312" w:hAnsi="仿宋_GB2312" w:eastAsia="仿宋_GB2312" w:cs="仿宋_GB2312"/>
          <w:b w:val="0"/>
          <w:bCs w:val="0"/>
          <w:color w:val="000000"/>
          <w:kern w:val="2"/>
          <w:sz w:val="32"/>
          <w:szCs w:val="32"/>
          <w:lang w:val="en-US" w:eastAsia="zh-CN" w:bidi="ar-SA"/>
        </w:rPr>
        <w:instrText xml:space="preserve"> HYPERLINK "C:/Users/Administrator/Desktop/10.18/%E7%BB%A9%E6%95%88%E8%87%AA%E8%AF%84%E6%A8%A1%E6%9D%BF/2016%E5%B9%B4%E6%B0%B8%E5%B7%9E%E5%B8%82%E7%9B%B4%E9%83%A8%E9%97%A8%E6%95%B4%E4%BD%93%E6%94%AF%E5%87%BA%E7%BB%A9%E6%95%88%E8%AF%84%E4%BB%B7%E6%8C%87%E6%A0%87%E8%A1%A8.doc" </w:instrText>
      </w:r>
      <w:r>
        <w:rPr>
          <w:rFonts w:hint="eastAsia" w:ascii="仿宋_GB2312" w:hAnsi="仿宋_GB2312" w:eastAsia="仿宋_GB2312" w:cs="仿宋_GB2312"/>
          <w:b w:val="0"/>
          <w:bCs w:val="0"/>
          <w:color w:val="000000"/>
          <w:kern w:val="2"/>
          <w:sz w:val="32"/>
          <w:szCs w:val="32"/>
          <w:lang w:val="en-US" w:eastAsia="zh-CN" w:bidi="ar-SA"/>
        </w:rPr>
        <w:fldChar w:fldCharType="separate"/>
      </w:r>
      <w:r>
        <w:rPr>
          <w:rFonts w:hint="eastAsia" w:ascii="仿宋_GB2312" w:hAnsi="仿宋_GB2312" w:eastAsia="仿宋_GB2312" w:cs="仿宋_GB2312"/>
          <w:b w:val="0"/>
          <w:bCs w:val="0"/>
          <w:color w:val="000000"/>
          <w:kern w:val="2"/>
          <w:sz w:val="32"/>
          <w:szCs w:val="32"/>
          <w:lang w:val="en-US" w:eastAsia="zh-CN" w:bidi="ar-SA"/>
        </w:rPr>
        <w:t>整体支出绩效评价指标表</w:t>
      </w:r>
      <w:r>
        <w:rPr>
          <w:rFonts w:hint="eastAsia" w:ascii="仿宋_GB2312" w:hAnsi="仿宋_GB2312" w:eastAsia="仿宋_GB2312" w:cs="仿宋_GB2312"/>
          <w:b w:val="0"/>
          <w:bCs w:val="0"/>
          <w:color w:val="000000"/>
          <w:kern w:val="2"/>
          <w:sz w:val="32"/>
          <w:szCs w:val="32"/>
          <w:lang w:val="en-US" w:eastAsia="zh-CN" w:bidi="ar-SA"/>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000000"/>
          <w:kern w:val="2"/>
          <w:sz w:val="32"/>
          <w:szCs w:val="32"/>
          <w:lang w:val="en-US" w:eastAsia="zh-CN" w:bidi="ar-SA"/>
        </w:rPr>
      </w:pPr>
    </w:p>
    <w:p>
      <w:pPr>
        <w:jc w:val="left"/>
        <w:rPr>
          <w:rFonts w:cs="黑体" w:asciiTheme="minorEastAsia" w:hAnsiTheme="minorEastAsia"/>
          <w:color w:val="000000"/>
          <w:kern w:val="0"/>
          <w:sz w:val="32"/>
          <w:szCs w:val="32"/>
        </w:rPr>
      </w:pPr>
    </w:p>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682B6702"/>
    <w:rsid w:val="58882772"/>
    <w:rsid w:val="682B6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semiHidden/>
    <w:unhideWhenUsed/>
    <w:qFormat/>
    <w:uiPriority w:val="99"/>
    <w:pPr>
      <w:spacing w:after="12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3643</Words>
  <Characters>3758</Characters>
  <Lines>0</Lines>
  <Paragraphs>0</Paragraphs>
  <TotalTime>6</TotalTime>
  <ScaleCrop>false</ScaleCrop>
  <LinksUpToDate>false</LinksUpToDate>
  <CharactersWithSpaces>3769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2026-09-08T03:58:00Z</dcterms:created>
  <dc:creator>欧益达</dc:creator>
  <cp:lastModifiedBy>水蜜桃</cp:lastModifiedBy>
  <dcterms:modified xsi:type="dcterms:W3CDTF">2026-09-14T07:32:11Z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7D8AA234152B4936BEBBB98C6449EA27_11</vt:lpwstr>
  </property>
  <property fmtid="{D5CDD505-2E9C-101B-9397-08002B2CF9AE}" pid="4" name="KSOTemplateDocerSaveRecord">
    <vt:lpwstr>eyJoZGlkIjoiMTFlODBkMWMyZjkxNTA5YWQxNzc4YWFlMDM4NDAxMzMiLCJ1c2VySWQiOiI0NTM1MTQ1NzAifQ==</vt:lpwstr>
  </property>
</Properties>
</file>