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道县高新技术产业开发区管理委员会</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道县高新技术产业开发区管理委员会</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道县高新技术产业开发区管理委员会</w:t>
      </w:r>
      <w:r>
        <w:rPr>
          <w:rFonts w:ascii="Times New Roman" w:hAnsi="Times New Roman" w:eastAsia="方正小标宋_GBK" w:cs="Times New Roman"/>
          <w:sz w:val="52"/>
          <w:szCs w:val="52"/>
        </w:rPr>
        <w:t>概况</w:t>
      </w:r>
    </w:p>
    <w:p>
      <w:pPr>
        <w:pStyle w:val="2"/>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570" w:lineRule="atLeas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仿宋_GB2312" w:hAnsi="仿宋_GB2312" w:eastAsia="仿宋_GB2312" w:cs="仿宋_GB2312"/>
          <w:color w:val="000000"/>
          <w:sz w:val="32"/>
          <w:szCs w:val="32"/>
          <w:shd w:val="clear" w:color="auto" w:fill="FFFFFF"/>
        </w:rPr>
        <w:t>负责贯彻执行党和国家关于高新区的方针政策、法律法规和决策部署。</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sz w:val="32"/>
          <w:szCs w:val="32"/>
        </w:rPr>
        <w:t>（二）</w:t>
      </w:r>
      <w:r>
        <w:rPr>
          <w:rFonts w:hint="eastAsia" w:ascii="仿宋_GB2312" w:hAnsi="仿宋_GB2312" w:eastAsia="仿宋_GB2312" w:cs="仿宋_GB2312"/>
          <w:color w:val="000000"/>
          <w:sz w:val="32"/>
          <w:szCs w:val="32"/>
          <w:shd w:val="clear" w:color="auto" w:fill="FFFFFF"/>
        </w:rPr>
        <w:t>负责研究拟订和组织实施道县高新区重大发展战略、发展规划和工作计划。</w:t>
      </w:r>
      <w:bookmarkStart w:id="0" w:name="FUNCRESP"/>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sz w:val="32"/>
          <w:szCs w:val="32"/>
        </w:rPr>
        <w:t>（三）</w:t>
      </w:r>
      <w:r>
        <w:rPr>
          <w:rFonts w:hint="eastAsia" w:ascii="仿宋_GB2312" w:hAnsi="仿宋_GB2312" w:eastAsia="仿宋_GB2312" w:cs="仿宋_GB2312"/>
          <w:color w:val="000000"/>
          <w:sz w:val="32"/>
          <w:szCs w:val="32"/>
          <w:shd w:val="clear" w:color="auto" w:fill="FFFFFF"/>
        </w:rPr>
        <w:t>按照道县国土空间总体规划和产业发展规划要求及相关权限，负责统筹建设发展空间布局。负责拟订道县高新区发展规划、产业布局、产业政策、项目准入标准等重要事项并组织实施。</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（四）负责道县高新区招商引资工作，组织对外经济技术合作与交流。负责道县高新区基础设施、公用事业、重大项目等建设管理相关工作。</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（五）负责道县高新区优化营商环境工作，根据权限依法承担有关行政审批工作，履行行政审批服务职责。负责构建道县高新区创新创业服务体系，协助企业做好人才引进和服务工作。</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（六）负责道县高新区的科技创新、高新技术产业管理和服务，开展有关科技创新和高新技术产业政策研究，构建技术创新服务体系。指导区内企业建立现代化企业制度，推进高新技术产业化、国际化。</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（七）负责道县高新区党的建设和“两新”组织党建工作。</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（八）根据有关要求和职责分工，承担道县高新区综合管理、统计、信息、安全生产监督管理、生态环境保护、财政收支管理及国有资产管理等工作。</w:t>
      </w:r>
    </w:p>
    <w:p>
      <w:pPr>
        <w:ind w:firstLine="640" w:firstLineChars="200"/>
        <w:jc w:val="left"/>
        <w:rPr>
          <w:rFonts w:ascii="Times New Roman" w:hAnsi="Times New Roman" w:eastAsia="仿宋_GB2312" w:cs="仿宋_GB2312"/>
          <w:sz w:val="32"/>
          <w:szCs w:val="32"/>
        </w:rPr>
      </w:pPr>
      <w:r>
        <w:rPr>
          <w:rFonts w:hint="eastAsia" w:ascii="仿宋_GB2312" w:hAnsi="仿宋_GB2312" w:eastAsia="仿宋_GB2312" w:cs="仿宋_GB2312"/>
          <w:color w:val="000000"/>
          <w:sz w:val="32"/>
          <w:szCs w:val="32"/>
          <w:shd w:val="clear" w:color="auto" w:fill="FFFFFF"/>
        </w:rPr>
        <w:t>（九）承办市委、市政府和县委、县政府交办的其他事项。</w:t>
      </w:r>
      <w:bookmarkEnd w:id="0"/>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570" w:lineRule="atLeas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_GB2312" w:hAnsi="仿宋_GB2312" w:eastAsia="仿宋_GB2312" w:cs="仿宋_GB2312"/>
          <w:color w:val="000000"/>
          <w:sz w:val="32"/>
          <w:szCs w:val="32"/>
          <w:shd w:val="clear" w:color="auto" w:fill="FFFFFF"/>
        </w:rPr>
        <w:t>道县高新技术产业开发区管理委员会</w:t>
      </w:r>
      <w:r>
        <w:rPr>
          <w:rFonts w:hint="eastAsia" w:ascii="Times New Roman" w:hAnsi="Times New Roman" w:eastAsia="仿宋_GB2312" w:cs="仿宋_GB2312"/>
          <w:bCs/>
          <w:kern w:val="0"/>
          <w:sz w:val="32"/>
          <w:szCs w:val="32"/>
        </w:rPr>
        <w:t>内设机构包括：</w:t>
      </w:r>
      <w:r>
        <w:rPr>
          <w:rFonts w:hint="eastAsia" w:ascii="仿宋_GB2312" w:hAnsi="仿宋_GB2312" w:eastAsia="仿宋_GB2312" w:cs="仿宋_GB2312"/>
          <w:color w:val="000000"/>
          <w:sz w:val="32"/>
          <w:szCs w:val="32"/>
          <w:shd w:val="clear" w:color="auto" w:fill="FFFFFF"/>
        </w:rPr>
        <w:t>办公室、党群工作局，招商合作产业发展局，开发建设和应急管理生态环境局，园区运营与投融资服务局5个内设机构；统一管理的机构有：道县高新技术产业开发区富塘片区管理办公室；下属事业单位：道县高新技术产业开发区企业服务中心。事业编制5</w:t>
      </w:r>
      <w:r>
        <w:rPr>
          <w:rFonts w:hint="eastAsia" w:ascii="仿宋_GB2312" w:hAnsi="仿宋_GB2312" w:eastAsia="仿宋_GB2312" w:cs="仿宋_GB2312"/>
          <w:color w:val="000000"/>
          <w:sz w:val="32"/>
          <w:szCs w:val="32"/>
          <w:shd w:val="clear" w:color="auto" w:fill="FFFFFF"/>
          <w:lang w:val="en-US" w:eastAsia="zh-CN"/>
        </w:rPr>
        <w:t>0</w:t>
      </w:r>
      <w:r>
        <w:rPr>
          <w:rFonts w:hint="eastAsia" w:ascii="仿宋_GB2312" w:hAnsi="仿宋_GB2312" w:eastAsia="仿宋_GB2312" w:cs="仿宋_GB2312"/>
          <w:color w:val="000000"/>
          <w:sz w:val="32"/>
          <w:szCs w:val="32"/>
          <w:shd w:val="clear" w:color="auto" w:fill="FFFFFF"/>
        </w:rPr>
        <w:t>人，实有编制人员</w:t>
      </w:r>
      <w:r>
        <w:rPr>
          <w:rFonts w:hint="eastAsia" w:ascii="仿宋_GB2312" w:hAnsi="仿宋_GB2312" w:eastAsia="仿宋_GB2312" w:cs="仿宋_GB2312"/>
          <w:color w:val="000000"/>
          <w:sz w:val="32"/>
          <w:szCs w:val="32"/>
          <w:shd w:val="clear" w:color="auto" w:fill="FFFFFF"/>
          <w:lang w:val="en-US" w:eastAsia="zh-CN"/>
        </w:rPr>
        <w:t>50</w:t>
      </w:r>
      <w:r>
        <w:rPr>
          <w:rFonts w:hint="eastAsia" w:ascii="仿宋_GB2312" w:hAnsi="仿宋_GB2312" w:eastAsia="仿宋_GB2312" w:cs="仿宋_GB2312"/>
          <w:color w:val="000000"/>
          <w:sz w:val="32"/>
          <w:szCs w:val="32"/>
          <w:shd w:val="clear" w:color="auto" w:fill="FFFFFF"/>
        </w:rPr>
        <w:t>人，其中管理人员4</w:t>
      </w:r>
      <w:r>
        <w:rPr>
          <w:rFonts w:hint="eastAsia" w:ascii="仿宋_GB2312" w:hAnsi="仿宋_GB2312" w:eastAsia="仿宋_GB2312" w:cs="仿宋_GB2312"/>
          <w:color w:val="000000"/>
          <w:sz w:val="32"/>
          <w:szCs w:val="32"/>
          <w:shd w:val="clear" w:color="auto" w:fill="FFFFFF"/>
          <w:lang w:val="en-US" w:eastAsia="zh-CN"/>
        </w:rPr>
        <w:t>0</w:t>
      </w:r>
      <w:r>
        <w:rPr>
          <w:rFonts w:hint="eastAsia" w:ascii="仿宋_GB2312" w:hAnsi="仿宋_GB2312" w:eastAsia="仿宋_GB2312" w:cs="仿宋_GB2312"/>
          <w:color w:val="000000"/>
          <w:sz w:val="32"/>
          <w:szCs w:val="32"/>
          <w:shd w:val="clear" w:color="auto" w:fill="FFFFFF"/>
        </w:rPr>
        <w:t>人，专业技术人员4人，工勤人员6人，合计5</w:t>
      </w:r>
      <w:r>
        <w:rPr>
          <w:rFonts w:hint="eastAsia" w:ascii="仿宋_GB2312" w:hAnsi="仿宋_GB2312" w:eastAsia="仿宋_GB2312" w:cs="仿宋_GB2312"/>
          <w:color w:val="000000"/>
          <w:sz w:val="32"/>
          <w:szCs w:val="32"/>
          <w:shd w:val="clear" w:color="auto" w:fill="FFFFFF"/>
          <w:lang w:val="en-US" w:eastAsia="zh-CN"/>
        </w:rPr>
        <w:t>0</w:t>
      </w:r>
      <w:r>
        <w:rPr>
          <w:rFonts w:hint="eastAsia" w:ascii="仿宋_GB2312" w:hAnsi="仿宋_GB2312" w:eastAsia="仿宋_GB2312" w:cs="仿宋_GB2312"/>
          <w:color w:val="000000"/>
          <w:sz w:val="32"/>
          <w:szCs w:val="32"/>
          <w:shd w:val="clear" w:color="auto" w:fill="FFFFFF"/>
        </w:rPr>
        <w:t>人。</w:t>
      </w:r>
    </w:p>
    <w:p>
      <w:pPr>
        <w:jc w:val="left"/>
        <w:rPr>
          <w:rFonts w:ascii="Times New Roman" w:hAnsi="Times New Roman" w:eastAsia="仿宋_GB2312" w:cs="Times New Roman"/>
          <w:sz w:val="28"/>
          <w:szCs w:val="32"/>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color w:val="000000"/>
          <w:sz w:val="32"/>
          <w:szCs w:val="32"/>
          <w:shd w:val="clear" w:color="auto" w:fill="FFFFFF"/>
        </w:rPr>
        <w:t>道县高新技术产业开发区管理委员会</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_GB2312" w:hAnsi="仿宋_GB2312" w:eastAsia="仿宋_GB2312" w:cs="仿宋_GB2312"/>
          <w:color w:val="000000"/>
          <w:sz w:val="32"/>
          <w:szCs w:val="32"/>
          <w:shd w:val="clear" w:color="auto" w:fill="FFFFFF"/>
        </w:rPr>
        <w:t>道县高新技术产业开发区管理委员会</w:t>
      </w:r>
      <w:r>
        <w:rPr>
          <w:rFonts w:hint="eastAsia" w:ascii="Times New Roman" w:hAnsi="Times New Roman" w:eastAsia="仿宋_GB2312" w:cs="仿宋_GB2312"/>
          <w:bCs/>
          <w:kern w:val="0"/>
          <w:sz w:val="32"/>
          <w:szCs w:val="32"/>
        </w:rPr>
        <w:t>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2"/>
        <w:spacing w:line="360" w:lineRule="auto"/>
        <w:jc w:val="center"/>
        <w:rPr>
          <w:rFonts w:hint="eastAsia" w:ascii="Times New Roman" w:hAnsi="Times New Roman" w:eastAsia="方正小标宋_GBK" w:cs="Times New Roman"/>
          <w:sz w:val="52"/>
          <w:szCs w:val="52"/>
          <w:lang w:val="en-US" w:eastAsia="zh-CN"/>
        </w:rPr>
      </w:pPr>
      <w:r>
        <w:rPr>
          <w:rFonts w:hint="eastAsia" w:ascii="方正小标宋_GBK" w:hAnsi="方正小标宋_GBK" w:eastAsia="方正小标宋_GBK" w:cs="方正小标宋_GBK"/>
          <w:kern w:val="0"/>
          <w:sz w:val="84"/>
          <w:szCs w:val="84"/>
        </w:rPr>
        <w:t xml:space="preserve">  </w:t>
      </w:r>
      <w:r>
        <w:rPr>
          <w:rFonts w:ascii="Times New Roman" w:hAnsi="Times New Roman" w:eastAsia="方正小标宋_GBK" w:cs="Times New Roman"/>
          <w:sz w:val="52"/>
          <w:szCs w:val="52"/>
        </w:rPr>
        <w:t>第</w:t>
      </w:r>
      <w:r>
        <w:rPr>
          <w:rFonts w:hint="eastAsia" w:ascii="Times New Roman" w:hAnsi="Times New Roman" w:eastAsia="方正小标宋_GBK" w:cs="Times New Roman"/>
          <w:sz w:val="52"/>
          <w:szCs w:val="52"/>
          <w:lang w:eastAsia="zh-CN"/>
        </w:rPr>
        <w:t>二</w:t>
      </w:r>
      <w:r>
        <w:rPr>
          <w:rFonts w:ascii="Times New Roman" w:hAnsi="Times New Roman" w:eastAsia="方正小标宋_GBK" w:cs="Times New Roman"/>
          <w:sz w:val="52"/>
          <w:szCs w:val="52"/>
        </w:rPr>
        <w:t>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部门决算表</w:t>
      </w:r>
      <w:r>
        <w:rPr>
          <w:rFonts w:hint="eastAsia" w:ascii="Times New Roman" w:hAnsi="Times New Roman" w:eastAsia="方正小标宋_GBK" w:cs="Times New Roman"/>
          <w:sz w:val="52"/>
          <w:szCs w:val="52"/>
          <w:lang w:val="en-US" w:eastAsia="zh-CN"/>
        </w:rPr>
        <w:t xml:space="preserve"> </w:t>
      </w: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50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1023.92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831.78</w:t>
            </w:r>
          </w:p>
        </w:tc>
      </w:tr>
      <w:tr>
        <w:tblPrEx>
          <w:tblCellMar>
            <w:top w:w="0" w:type="dxa"/>
            <w:left w:w="108" w:type="dxa"/>
            <w:bottom w:w="0" w:type="dxa"/>
            <w:right w:w="108" w:type="dxa"/>
          </w:tblCellMar>
        </w:tblPrEx>
        <w:trPr>
          <w:trHeight w:val="42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550.85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56.45</w:t>
            </w:r>
          </w:p>
        </w:tc>
      </w:tr>
      <w:tr>
        <w:tblPrEx>
          <w:tblCellMar>
            <w:top w:w="0" w:type="dxa"/>
            <w:left w:w="108" w:type="dxa"/>
            <w:bottom w:w="0" w:type="dxa"/>
            <w:right w:w="108" w:type="dxa"/>
          </w:tblCellMar>
        </w:tblPrEx>
        <w:trPr>
          <w:trHeight w:val="4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30.69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226.04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325.00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4"/>
                <w:szCs w:val="24"/>
                <w:lang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104.81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42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42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1574.77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1574.77</w:t>
            </w:r>
          </w:p>
        </w:tc>
      </w:tr>
      <w:tr>
        <w:tblPrEx>
          <w:tblCellMar>
            <w:top w:w="0" w:type="dxa"/>
            <w:left w:w="108" w:type="dxa"/>
            <w:bottom w:w="0" w:type="dxa"/>
            <w:right w:w="108" w:type="dxa"/>
          </w:tblCellMar>
        </w:tblPrEx>
        <w:trPr>
          <w:trHeight w:val="48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45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1574.77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1574.77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341"/>
        <w:gridCol w:w="3510"/>
        <w:gridCol w:w="1470"/>
        <w:gridCol w:w="1365"/>
        <w:gridCol w:w="1320"/>
        <w:gridCol w:w="1500"/>
        <w:gridCol w:w="1395"/>
        <w:gridCol w:w="1382"/>
        <w:gridCol w:w="1383"/>
      </w:tblGrid>
      <w:tr>
        <w:tblPrEx>
          <w:tblCellMar>
            <w:top w:w="0" w:type="dxa"/>
            <w:left w:w="0" w:type="dxa"/>
            <w:bottom w:w="0" w:type="dxa"/>
            <w:right w:w="0" w:type="dxa"/>
          </w:tblCellMar>
        </w:tblPrEx>
        <w:trPr>
          <w:trHeight w:val="450" w:hRule="atLeast"/>
          <w:jc w:val="center"/>
        </w:trPr>
        <w:tc>
          <w:tcPr>
            <w:tcW w:w="485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6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8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3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34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351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485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8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485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1574.77</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1574.77</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2010350</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事业运行</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265.37</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265.37</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2010399</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其他政府办公厅（室）及相关机构事务支出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515.25</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515.25</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2011308</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招商引资</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49.73</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49.73</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2013999</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其他社会工作事务支出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1.44</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1.44</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2080505</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56.45</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56.45</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2101102</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30.69</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30.69</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2120899</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其他国有土地使用权出让收入安排的支出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172.85</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172.85</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2121499</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其他污水处理费安排的支出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53.19</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53.19</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2150299</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其他制造业支出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105.00</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105.00</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2159802</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制造业</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220.00</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220.00</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4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2290403</w:t>
            </w:r>
          </w:p>
        </w:tc>
        <w:tc>
          <w:tcPr>
            <w:tcW w:w="35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其他政府性基金债务收入安排的支出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104.81</w:t>
            </w:r>
            <w:r>
              <w:rPr>
                <w:rFonts w:ascii="Times New Roman" w:hAnsi="Times New Roman" w:eastAsia="仿宋_GB2312" w:cs="Times New Roman"/>
              </w:rPr>
              <w:t>　</w:t>
            </w:r>
          </w:p>
        </w:tc>
        <w:tc>
          <w:tcPr>
            <w:tcW w:w="13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104.81</w:t>
            </w:r>
            <w:r>
              <w:rPr>
                <w:rFonts w:ascii="Times New Roman" w:hAnsi="Times New Roman" w:eastAsia="仿宋_GB2312" w:cs="Times New Roman"/>
              </w:rPr>
              <w:t>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5208" w:type="pct"/>
        <w:jc w:val="center"/>
        <w:tblLayout w:type="fixed"/>
        <w:tblCellMar>
          <w:top w:w="0" w:type="dxa"/>
          <w:left w:w="108" w:type="dxa"/>
          <w:bottom w:w="0" w:type="dxa"/>
          <w:right w:w="108" w:type="dxa"/>
        </w:tblCellMar>
      </w:tblPr>
      <w:tblGrid>
        <w:gridCol w:w="2194"/>
        <w:gridCol w:w="4170"/>
        <w:gridCol w:w="1694"/>
        <w:gridCol w:w="1369"/>
        <w:gridCol w:w="1345"/>
        <w:gridCol w:w="1277"/>
        <w:gridCol w:w="1064"/>
        <w:gridCol w:w="1699"/>
      </w:tblGrid>
      <w:tr>
        <w:tblPrEx>
          <w:tblCellMar>
            <w:top w:w="0" w:type="dxa"/>
            <w:left w:w="108" w:type="dxa"/>
            <w:bottom w:w="0" w:type="dxa"/>
            <w:right w:w="108" w:type="dxa"/>
          </w:tblCellMar>
        </w:tblPrEx>
        <w:trPr>
          <w:trHeight w:val="495" w:hRule="atLeast"/>
          <w:jc w:val="center"/>
        </w:trPr>
        <w:tc>
          <w:tcPr>
            <w:tcW w:w="214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3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7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4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0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3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7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atLeast"/>
          <w:jc w:val="center"/>
        </w:trPr>
        <w:tc>
          <w:tcPr>
            <w:tcW w:w="74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0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7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04" w:hRule="atLeast"/>
          <w:jc w:val="center"/>
        </w:trPr>
        <w:tc>
          <w:tcPr>
            <w:tcW w:w="214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5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7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444" w:hRule="atLeast"/>
          <w:jc w:val="center"/>
        </w:trPr>
        <w:tc>
          <w:tcPr>
            <w:tcW w:w="214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1574.77</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636.20</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938.57</w:t>
            </w:r>
          </w:p>
        </w:tc>
        <w:tc>
          <w:tcPr>
            <w:tcW w:w="431" w:type="pct"/>
            <w:tcBorders>
              <w:top w:val="nil"/>
              <w:left w:val="nil"/>
              <w:bottom w:val="single" w:color="auto" w:sz="4" w:space="0"/>
              <w:right w:val="single" w:color="auto" w:sz="4" w:space="0"/>
            </w:tcBorders>
            <w:shd w:val="clear" w:color="auto" w:fill="auto"/>
            <w:noWrap/>
            <w:vAlign w:val="center"/>
          </w:tcPr>
          <w:p>
            <w:pPr>
              <w:widowControl/>
              <w:numPr>
                <w:ilvl w:val="0"/>
                <w:numId w:val="0"/>
              </w:numPr>
              <w:ind w:leftChars="0"/>
              <w:jc w:val="center"/>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numPr>
                <w:ilvl w:val="0"/>
                <w:numId w:val="0"/>
              </w:numPr>
              <w:ind w:leftChars="0"/>
              <w:jc w:val="center"/>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numPr>
                <w:ilvl w:val="0"/>
                <w:numId w:val="0"/>
              </w:numPr>
              <w:ind w:leftChars="0"/>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2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2010350</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事业运行</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265.37</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265.37</w:t>
            </w: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2010399</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其他政府办公厅（室）及相关机构事务支出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515.25</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282.26</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232.99</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35"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2011308</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招商引资</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49.73</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454"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49.73</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1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2013999</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其他社会工作事务支出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1.44</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1.44</w:t>
            </w:r>
          </w:p>
        </w:tc>
        <w:tc>
          <w:tcPr>
            <w:tcW w:w="4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1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56.45</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56.45</w:t>
            </w:r>
          </w:p>
        </w:tc>
        <w:tc>
          <w:tcPr>
            <w:tcW w:w="4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2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30.69</w:t>
            </w:r>
          </w:p>
        </w:tc>
        <w:tc>
          <w:tcPr>
            <w:tcW w:w="462"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30.69</w:t>
            </w:r>
          </w:p>
        </w:tc>
        <w:tc>
          <w:tcPr>
            <w:tcW w:w="4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65"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2120899</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其他国有土地使用权出让收入安排的支出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172.85</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172.85</w:t>
            </w:r>
            <w:r>
              <w:rPr>
                <w:rFonts w:ascii="Times New Roman" w:hAnsi="Times New Roman" w:eastAsia="仿宋_GB2312" w:cs="Times New Roman"/>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2121499</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其他污水处理费安排的支出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53.19</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53.19</w:t>
            </w:r>
            <w:r>
              <w:rPr>
                <w:rFonts w:ascii="Times New Roman" w:hAnsi="Times New Roman" w:eastAsia="仿宋_GB2312" w:cs="Times New Roman"/>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35"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2150299</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其他制造业支出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105.00</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105.00</w:t>
            </w:r>
            <w:r>
              <w:rPr>
                <w:rFonts w:ascii="Times New Roman" w:hAnsi="Times New Roman" w:eastAsia="仿宋_GB2312" w:cs="Times New Roman"/>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2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2159802</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制造业</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220.00</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220.00</w:t>
            </w:r>
            <w:r>
              <w:rPr>
                <w:rFonts w:ascii="Times New Roman" w:hAnsi="Times New Roman" w:eastAsia="仿宋_GB2312" w:cs="Times New Roman"/>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70" w:hRule="atLeast"/>
          <w:jc w:val="center"/>
        </w:trPr>
        <w:tc>
          <w:tcPr>
            <w:tcW w:w="74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2290403</w:t>
            </w:r>
          </w:p>
        </w:tc>
        <w:tc>
          <w:tcPr>
            <w:tcW w:w="140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其他政府性基金债务收入安排的支出</w:t>
            </w:r>
          </w:p>
        </w:tc>
        <w:tc>
          <w:tcPr>
            <w:tcW w:w="57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104.81</w:t>
            </w:r>
            <w:r>
              <w:rPr>
                <w:rFonts w:ascii="Times New Roman" w:hAnsi="Times New Roman" w:eastAsia="仿宋_GB2312" w:cs="Times New Roman"/>
              </w:rPr>
              <w:t>　</w:t>
            </w:r>
          </w:p>
        </w:tc>
        <w:tc>
          <w:tcPr>
            <w:tcW w:w="46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104.81</w:t>
            </w:r>
            <w:r>
              <w:rPr>
                <w:rFonts w:ascii="Times New Roman" w:hAnsi="Times New Roman" w:eastAsia="仿宋_GB2312" w:cs="Times New Roman"/>
              </w:rPr>
              <w:t>　</w:t>
            </w:r>
          </w:p>
        </w:tc>
        <w:tc>
          <w:tcPr>
            <w:tcW w:w="43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7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lang w:bidi="ar"/>
        </w:rPr>
      </w:pPr>
      <w:bookmarkStart w:id="1" w:name="RANGE!A1:I22"/>
      <w:bookmarkEnd w:id="1"/>
      <w:bookmarkStart w:id="2"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368"/>
        <w:gridCol w:w="615"/>
        <w:gridCol w:w="1005"/>
        <w:gridCol w:w="2580"/>
        <w:gridCol w:w="512"/>
        <w:gridCol w:w="1588"/>
        <w:gridCol w:w="1620"/>
        <w:gridCol w:w="1425"/>
        <w:gridCol w:w="1507"/>
      </w:tblGrid>
      <w:tr>
        <w:tblPrEx>
          <w:tblCellMar>
            <w:top w:w="0" w:type="dxa"/>
            <w:left w:w="108" w:type="dxa"/>
            <w:bottom w:w="0" w:type="dxa"/>
            <w:right w:w="108" w:type="dxa"/>
          </w:tblCellMar>
        </w:tblPrEx>
        <w:trPr>
          <w:trHeight w:val="402" w:hRule="atLeast"/>
          <w:jc w:val="center"/>
        </w:trPr>
        <w:tc>
          <w:tcPr>
            <w:tcW w:w="498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32"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50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5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1023.92</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831.78</w:t>
            </w: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831.78</w:t>
            </w: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550.85</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56.45</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56.45　</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30.69</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30.69　</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城乡社区支出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226.04</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226.04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资源勘探工业信息等支出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325.00</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105.00</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220.00</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4"/>
                <w:szCs w:val="24"/>
                <w:lang w:bidi="ar"/>
              </w:rPr>
              <w:t>其他支出</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58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104.81　</w:t>
            </w:r>
          </w:p>
        </w:tc>
        <w:tc>
          <w:tcPr>
            <w:tcW w:w="162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104.81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1574.77</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1574.77</w:t>
            </w: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1023.92</w:t>
            </w: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550.85</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1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5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6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1574.77</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1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588"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1574.77</w:t>
            </w:r>
            <w:r>
              <w:rPr>
                <w:rFonts w:ascii="Times New Roman" w:hAnsi="Times New Roman" w:eastAsia="仿宋_GB2312" w:cs="Times New Roman"/>
                <w:kern w:val="0"/>
                <w:sz w:val="22"/>
              </w:rPr>
              <w:t>　</w:t>
            </w:r>
          </w:p>
        </w:tc>
        <w:tc>
          <w:tcPr>
            <w:tcW w:w="162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1023.92</w:t>
            </w: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550.85</w:t>
            </w:r>
          </w:p>
        </w:tc>
        <w:tc>
          <w:tcPr>
            <w:tcW w:w="15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1023.92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636.20</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387.72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2010350</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265.37</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265.37</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2010399</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515.25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282.26</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232.99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2011308</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招商引资</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49.73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49.73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2013999</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其他社会工作事务支出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56.45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56.45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2101102</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事业单位医疗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30.69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30.69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2150299</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其他制造业支出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105.00</w:t>
            </w:r>
          </w:p>
        </w:tc>
        <w:tc>
          <w:tcPr>
            <w:tcW w:w="3492" w:type="dxa"/>
            <w:tcBorders>
              <w:top w:val="nil"/>
              <w:left w:val="nil"/>
              <w:bottom w:val="single" w:color="auto" w:sz="8"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105.00</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kern w:val="0"/>
          <w:szCs w:val="21"/>
        </w:rPr>
        <w:t xml:space="preserve">                                                                                      公开06表           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552.23</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5553552.23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83.97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249.72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93.59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119.68</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119119.68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56.44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31.36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10.78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0.50</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0.50.517.50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17.50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552.23</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552.23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83.97</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216"/>
        <w:gridCol w:w="1558"/>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550.85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550.85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550.85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2120899</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172.85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172.85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172.85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2121499</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其他污水处理费安排的支出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53.19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53.19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53.19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2159802</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制造业</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220.00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220.00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220.00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104.81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104.81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104.81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pStyle w:val="7"/>
        <w:spacing w:line="400" w:lineRule="exact"/>
        <w:rPr>
          <w:rFonts w:ascii="Times New Roman" w:hAnsi="Times New Roman" w:eastAsia="华文中宋" w:cs="Times New Roman"/>
          <w:color w:val="000000"/>
          <w:kern w:val="0"/>
          <w:sz w:val="32"/>
          <w:szCs w:val="32"/>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道县高新技术产业开发区管理委员会</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20.40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20.40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pPr>
        <w:pStyle w:val="12"/>
        <w:jc w:val="both"/>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pStyle w:val="12"/>
        <w:spacing w:line="360" w:lineRule="auto"/>
        <w:jc w:val="center"/>
        <w:rPr>
          <w:rFonts w:ascii="Times New Roman" w:hAnsi="Times New Roman" w:eastAsia="方正小标宋_GBK" w:cs="Times New Roman"/>
          <w:sz w:val="52"/>
          <w:szCs w:val="52"/>
        </w:rPr>
      </w:pP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1574.77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7561.28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82.76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专项债券资金项目减少。</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民生、环保、安全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1574.77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1574.77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1574.77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636.20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40.40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938.57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59.60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1574.77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7561.28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82.76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专项债券资金项目减少。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1023.92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65.02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2874.37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减少了各种项目支出。</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1023.92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831.78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社会保障和就业支出（类）支出56.45万元，占5.51%;卫生健康支出（类）支出30.69万元，占3.00%;资源勘探工业信息等支出（类）支出105万元，占10.26%。</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627.14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1023.92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163.27</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一般公共服务（类）政府办公厅（室）及相关机构事务（款）</w:t>
      </w:r>
      <w:r>
        <w:rPr>
          <w:rFonts w:hint="eastAsia" w:ascii="Times New Roman" w:hAnsi="Times New Roman" w:eastAsia="仿宋_GB2312"/>
          <w:sz w:val="32"/>
          <w:szCs w:val="32"/>
          <w:lang w:eastAsia="zh-CN"/>
        </w:rPr>
        <w:t>行政</w:t>
      </w:r>
      <w:r>
        <w:rPr>
          <w:rFonts w:hint="eastAsia" w:ascii="Times New Roman" w:hAnsi="Times New Roman" w:eastAsia="仿宋_GB2312"/>
          <w:sz w:val="32"/>
          <w:szCs w:val="32"/>
        </w:rPr>
        <w:t>运行（项）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452.42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无法计算百分比</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预算的工资福利支出使用其他科目支出</w:t>
      </w:r>
      <w:r>
        <w:rPr>
          <w:rFonts w:hint="eastAsia" w:ascii="Times New Roman" w:hAnsi="Times New Roman" w:eastAsia="仿宋_GB2312"/>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sz w:val="32"/>
          <w:szCs w:val="32"/>
        </w:rPr>
        <w:t>一般公共服务（类）政府办公厅（室）及相关机构事务（款）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运行（项）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265.37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无法计算百分比</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部分工资福利支出使用</w:t>
      </w:r>
      <w:r>
        <w:rPr>
          <w:rFonts w:hint="eastAsia" w:ascii="Times New Roman" w:hAnsi="Times New Roman" w:eastAsia="仿宋_GB2312"/>
          <w:sz w:val="32"/>
          <w:szCs w:val="32"/>
          <w:lang w:eastAsia="zh-CN"/>
        </w:rPr>
        <w:t>行政运行科目预算。</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sz w:val="32"/>
          <w:szCs w:val="32"/>
        </w:rPr>
        <w:t>一般公共服务（类）政府办公厅（室）及相关机构事务（款）其他政府办公厅（室）及相关机构事务支出（项）。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174.73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295.39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部分工资福利支出使用</w:t>
      </w:r>
      <w:r>
        <w:rPr>
          <w:rFonts w:hint="eastAsia" w:ascii="Times New Roman" w:hAnsi="Times New Roman" w:eastAsia="仿宋_GB2312"/>
          <w:sz w:val="32"/>
          <w:szCs w:val="32"/>
        </w:rPr>
        <w:t>其他政府办公厅（室）及相关机构事务支出</w:t>
      </w:r>
      <w:r>
        <w:rPr>
          <w:rFonts w:hint="eastAsia" w:ascii="Times New Roman" w:hAnsi="Times New Roman" w:eastAsia="仿宋_GB2312"/>
          <w:sz w:val="32"/>
          <w:szCs w:val="32"/>
          <w:lang w:eastAsia="zh-CN"/>
        </w:rPr>
        <w:t>科目支出，同时年中增加了道县华盈实业有限公司厂房租金支出。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sz w:val="32"/>
          <w:szCs w:val="32"/>
        </w:rPr>
        <w:t>一般公共服务（类）</w:t>
      </w:r>
      <w:r>
        <w:rPr>
          <w:rFonts w:ascii="Times New Roman" w:hAnsi="Times New Roman" w:eastAsia="仿宋_GB2312"/>
          <w:sz w:val="32"/>
          <w:szCs w:val="32"/>
        </w:rPr>
        <w:t>商贸事务</w:t>
      </w:r>
      <w:r>
        <w:rPr>
          <w:rFonts w:hint="eastAsia" w:ascii="Times New Roman" w:hAnsi="Times New Roman" w:eastAsia="仿宋_GB2312"/>
          <w:sz w:val="32"/>
          <w:szCs w:val="32"/>
        </w:rPr>
        <w:t>（款）</w:t>
      </w:r>
      <w:r>
        <w:rPr>
          <w:rFonts w:ascii="Times New Roman" w:hAnsi="Times New Roman" w:eastAsia="仿宋_GB2312"/>
          <w:sz w:val="32"/>
          <w:szCs w:val="32"/>
        </w:rPr>
        <w:t>招商引资</w:t>
      </w:r>
      <w:r>
        <w:rPr>
          <w:rFonts w:hint="eastAsia" w:ascii="Times New Roman" w:hAnsi="Times New Roman" w:eastAsia="仿宋_GB2312"/>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49.73</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招商引资资金主要纳入财政大预算。</w:t>
      </w:r>
    </w:p>
    <w:p>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sz w:val="32"/>
          <w:szCs w:val="32"/>
        </w:rPr>
        <w:t>一般公共服务（类）社会工作事务（款）其他社会工作事务支出（项）。</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1.44</w:t>
      </w:r>
      <w:r>
        <w:rPr>
          <w:rFonts w:ascii="Times New Roman" w:hAnsi="Times New Roman" w:eastAsia="仿宋_GB2312"/>
          <w:sz w:val="32"/>
          <w:szCs w:val="32"/>
        </w:rPr>
        <w:t>万元，</w:t>
      </w:r>
      <w:r>
        <w:rPr>
          <w:rFonts w:hint="eastAsia" w:ascii="Times New Roman" w:hAnsi="Times New Roman" w:eastAsia="仿宋_GB2312"/>
          <w:sz w:val="32"/>
          <w:szCs w:val="32"/>
          <w:lang w:eastAsia="zh-CN"/>
        </w:rPr>
        <w:t>无法计算百分比</w:t>
      </w:r>
      <w:r>
        <w:rPr>
          <w:rFonts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非公党建经费由组织部门预算。</w:t>
      </w:r>
    </w:p>
    <w:p>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w:t>
      </w:r>
      <w:r>
        <w:rPr>
          <w:rFonts w:hint="eastAsia" w:ascii="Times New Roman" w:hAnsi="Times New Roman" w:eastAsia="仿宋_GB2312"/>
          <w:sz w:val="32"/>
          <w:szCs w:val="32"/>
        </w:rPr>
        <w:t>社会保障和就业（类）行政事业单位养老支出（款） 机关事业单位基本养老保险缴费支出（项）。</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56.45</w:t>
      </w:r>
      <w:r>
        <w:rPr>
          <w:rFonts w:ascii="Times New Roman" w:hAnsi="Times New Roman" w:eastAsia="仿宋_GB2312"/>
          <w:sz w:val="32"/>
          <w:szCs w:val="32"/>
        </w:rPr>
        <w:t>万元，</w:t>
      </w:r>
      <w:r>
        <w:rPr>
          <w:rFonts w:hint="eastAsia" w:ascii="Times New Roman" w:hAnsi="Times New Roman" w:eastAsia="仿宋_GB2312"/>
          <w:sz w:val="32"/>
          <w:szCs w:val="32"/>
          <w:lang w:eastAsia="zh-CN"/>
        </w:rPr>
        <w:t>无法计算百分比</w:t>
      </w:r>
      <w:r>
        <w:rPr>
          <w:rFonts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年初预算使用行政运行科目。</w:t>
      </w:r>
    </w:p>
    <w:p>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w:t>
      </w:r>
      <w:r>
        <w:rPr>
          <w:rFonts w:hint="eastAsia" w:ascii="Times New Roman" w:hAnsi="Times New Roman" w:eastAsia="仿宋_GB2312"/>
          <w:sz w:val="32"/>
          <w:szCs w:val="32"/>
        </w:rPr>
        <w:t>生健康（类）行政事业单位医疗（款） 事业单位医疗（项）。</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30.69</w:t>
      </w:r>
      <w:r>
        <w:rPr>
          <w:rFonts w:ascii="Times New Roman" w:hAnsi="Times New Roman" w:eastAsia="仿宋_GB2312"/>
          <w:sz w:val="32"/>
          <w:szCs w:val="32"/>
        </w:rPr>
        <w:t>万元，</w:t>
      </w:r>
      <w:r>
        <w:rPr>
          <w:rFonts w:hint="eastAsia" w:ascii="Times New Roman" w:hAnsi="Times New Roman" w:eastAsia="仿宋_GB2312"/>
          <w:sz w:val="32"/>
          <w:szCs w:val="32"/>
          <w:lang w:eastAsia="zh-CN"/>
        </w:rPr>
        <w:t>无法计算百分比</w:t>
      </w:r>
      <w:r>
        <w:rPr>
          <w:rFonts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年初预算使用行政运行科目。</w:t>
      </w:r>
    </w:p>
    <w:p>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ascii="Times New Roman" w:hAnsi="Times New Roman" w:eastAsia="仿宋_GB2312"/>
          <w:sz w:val="32"/>
          <w:szCs w:val="32"/>
        </w:rPr>
        <w:t>、</w:t>
      </w:r>
      <w:r>
        <w:rPr>
          <w:rFonts w:hint="eastAsia" w:ascii="Times New Roman" w:hAnsi="Times New Roman" w:eastAsia="仿宋_GB2312"/>
          <w:sz w:val="32"/>
          <w:szCs w:val="32"/>
          <w:lang w:eastAsia="zh-CN"/>
        </w:rPr>
        <w:t>资源勘探工业信息等支出</w:t>
      </w:r>
      <w:r>
        <w:rPr>
          <w:rFonts w:hint="eastAsia" w:ascii="Times New Roman" w:hAnsi="Times New Roman" w:eastAsia="仿宋_GB2312"/>
          <w:sz w:val="32"/>
          <w:szCs w:val="32"/>
        </w:rPr>
        <w:t>（类）制造业（款） 其他制造业支出（项）。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105</w:t>
      </w:r>
      <w:r>
        <w:rPr>
          <w:rFonts w:ascii="Times New Roman" w:hAnsi="Times New Roman" w:eastAsia="仿宋_GB2312"/>
          <w:sz w:val="32"/>
          <w:szCs w:val="32"/>
        </w:rPr>
        <w:t>万元，</w:t>
      </w:r>
      <w:r>
        <w:rPr>
          <w:rFonts w:hint="eastAsia" w:ascii="Times New Roman" w:hAnsi="Times New Roman" w:eastAsia="仿宋_GB2312"/>
          <w:sz w:val="32"/>
          <w:szCs w:val="32"/>
          <w:lang w:eastAsia="zh-CN"/>
        </w:rPr>
        <w:t>无法计算百分比</w:t>
      </w:r>
      <w:r>
        <w:rPr>
          <w:rFonts w:ascii="Times New Roman" w:hAnsi="Times New Roman" w:eastAsia="仿宋_GB2312"/>
          <w:sz w:val="32"/>
          <w:szCs w:val="32"/>
        </w:rPr>
        <w:t>，决算数大于年初预算数的</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先进制造业高地建设专项</w:t>
      </w:r>
      <w:r>
        <w:rPr>
          <w:rFonts w:hint="eastAsia" w:ascii="Times New Roman" w:hAnsi="Times New Roman" w:eastAsia="仿宋_GB2312" w:cs="Times New Roman"/>
          <w:sz w:val="32"/>
          <w:szCs w:val="32"/>
          <w:lang w:eastAsia="zh-CN"/>
        </w:rPr>
        <w:t>资金由省级财政预算。</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rPr>
        <w:t>一般公共服务</w:t>
      </w:r>
      <w:r>
        <w:rPr>
          <w:rFonts w:hint="eastAsia" w:ascii="Times New Roman" w:hAnsi="Times New Roman" w:eastAsia="仿宋_GB2312" w:cs="Times New Roman"/>
          <w:sz w:val="32"/>
          <w:szCs w:val="32"/>
        </w:rPr>
        <w:t>方面占财政拨款支出总额的比重较高，主要是：</w:t>
      </w:r>
      <w:r>
        <w:rPr>
          <w:rFonts w:hint="eastAsia" w:ascii="Times New Roman" w:hAnsi="Times New Roman" w:eastAsia="仿宋_GB2312"/>
          <w:sz w:val="32"/>
          <w:szCs w:val="32"/>
        </w:rPr>
        <w:t>其他政府办公厅（室）及相关机构事务支出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515.25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50.32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单位工作人员工资福利支出</w:t>
      </w:r>
      <w:r>
        <w:rPr>
          <w:rFonts w:hint="eastAsia" w:ascii="Times New Roman" w:hAnsi="Times New Roman" w:eastAsia="仿宋_GB2312" w:cs="Times New Roman"/>
          <w:sz w:val="32"/>
          <w:szCs w:val="32"/>
        </w:rPr>
        <w:t>、道县华盈实业有限公司厂房租金</w:t>
      </w:r>
      <w:r>
        <w:rPr>
          <w:rFonts w:hint="eastAsia" w:ascii="Times New Roman" w:hAnsi="Times New Roman" w:eastAsia="仿宋_GB2312" w:cs="Times New Roman"/>
          <w:sz w:val="32"/>
          <w:szCs w:val="32"/>
          <w:lang w:eastAsia="zh-CN"/>
        </w:rPr>
        <w:t>、五好园区创建、政企交流、园区环境卫生整治等</w:t>
      </w:r>
      <w:r>
        <w:rPr>
          <w:rFonts w:hint="eastAsia" w:ascii="Times New Roman" w:hAnsi="Times New Roman" w:eastAsia="仿宋_GB2312" w:cs="Times New Roman"/>
          <w:sz w:val="32"/>
          <w:szCs w:val="32"/>
        </w:rPr>
        <w:t>等方面</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636.20</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552.23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w:t>
      </w:r>
      <w:r>
        <w:rPr>
          <w:rFonts w:ascii="Times New Roman" w:hAnsi="Times New Roman" w:eastAsia="仿宋_GB2312" w:cs="Times New Roman"/>
          <w:sz w:val="32"/>
          <w:szCs w:val="32"/>
        </w:rPr>
        <w:t>机关事业单位基本养老</w:t>
      </w:r>
      <w:r>
        <w:rPr>
          <w:rFonts w:hint="eastAsia" w:ascii="Times New Roman" w:hAnsi="Times New Roman" w:eastAsia="仿宋_GB2312" w:cs="Times New Roman"/>
          <w:sz w:val="32"/>
          <w:szCs w:val="32"/>
          <w:lang w:eastAsia="zh-CN"/>
        </w:rPr>
        <w:t>保险、</w:t>
      </w:r>
      <w:r>
        <w:rPr>
          <w:rFonts w:ascii="Times New Roman" w:hAnsi="Times New Roman" w:eastAsia="仿宋_GB2312" w:cs="Times New Roman"/>
          <w:sz w:val="32"/>
          <w:szCs w:val="32"/>
        </w:rPr>
        <w:t>职工基本医疗保险缴费。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83.97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维护费、差旅费、培训费、劳务</w:t>
      </w:r>
      <w:r>
        <w:rPr>
          <w:rFonts w:ascii="Times New Roman" w:hAnsi="Times New Roman" w:eastAsia="仿宋_GB2312" w:cs="Times New Roman"/>
          <w:sz w:val="32"/>
          <w:szCs w:val="32"/>
        </w:rPr>
        <w:t>费、工会经费</w:t>
      </w:r>
      <w:r>
        <w:rPr>
          <w:rFonts w:hint="eastAsia" w:ascii="Times New Roman" w:hAnsi="Times New Roman" w:eastAsia="仿宋_GB2312" w:cs="Times New Roman"/>
          <w:sz w:val="32"/>
          <w:szCs w:val="32"/>
          <w:lang w:eastAsia="zh-CN"/>
        </w:rPr>
        <w:t>、福利费等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53.83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单位例行节约，减少每次接待开支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单位例行节约，减少每次接待开支</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53.83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单位例行节约，减少每次接待开支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单位例行节约，减少每次接待开支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1098</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招商引资活动</w:t>
      </w:r>
      <w:r>
        <w:rPr>
          <w:rFonts w:ascii="Times New Roman" w:hAnsi="Times New Roman" w:eastAsia="仿宋_GB2312" w:cs="Times New Roman"/>
          <w:sz w:val="32"/>
          <w:szCs w:val="32"/>
        </w:rPr>
        <w:t>发生的接待支出。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550.85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550.85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550.85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Times New Roman" w:eastAsia="仿宋_GB2312"/>
          <w:sz w:val="32"/>
          <w:szCs w:val="32"/>
        </w:rPr>
        <w:t>城乡社区支出</w:t>
      </w:r>
      <w:r>
        <w:rPr>
          <w:rFonts w:hint="eastAsia" w:ascii="Times New Roman" w:hAnsi="Times New Roman" w:eastAsia="仿宋_GB2312"/>
          <w:sz w:val="32"/>
          <w:szCs w:val="32"/>
        </w:rPr>
        <w:t>（类）</w:t>
      </w:r>
      <w:r>
        <w:rPr>
          <w:rFonts w:ascii="Times New Roman" w:hAnsi="Times New Roman" w:eastAsia="仿宋_GB2312"/>
          <w:sz w:val="32"/>
          <w:szCs w:val="32"/>
        </w:rPr>
        <w:t>国有土地使用权出让收入安排的支出</w:t>
      </w:r>
      <w:r>
        <w:rPr>
          <w:rFonts w:hint="eastAsia" w:ascii="Times New Roman" w:hAnsi="Times New Roman" w:eastAsia="仿宋_GB2312"/>
          <w:sz w:val="32"/>
          <w:szCs w:val="32"/>
        </w:rPr>
        <w:t>（款）</w:t>
      </w:r>
      <w:r>
        <w:rPr>
          <w:rFonts w:ascii="Times New Roman" w:hAnsi="Times New Roman" w:eastAsia="仿宋_GB2312"/>
          <w:sz w:val="32"/>
          <w:szCs w:val="32"/>
        </w:rPr>
        <w:t>其他国有土地使用权出让收入安排的支出</w:t>
      </w:r>
      <w:r>
        <w:rPr>
          <w:rFonts w:hint="eastAsia" w:ascii="Times New Roman" w:hAnsi="Times New Roman" w:eastAsia="仿宋_GB2312"/>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1685.63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财政资金不足，大部分项目资金无法支出。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ascii="Times New Roman" w:hAnsi="Times New Roman" w:eastAsia="仿宋_GB2312"/>
          <w:sz w:val="32"/>
          <w:szCs w:val="32"/>
        </w:rPr>
        <w:t>城乡社区支出</w:t>
      </w:r>
      <w:r>
        <w:rPr>
          <w:rFonts w:hint="eastAsia" w:ascii="Times New Roman" w:hAnsi="Times New Roman" w:eastAsia="仿宋_GB2312"/>
          <w:sz w:val="32"/>
          <w:szCs w:val="32"/>
        </w:rPr>
        <w:t>（类）污水处理费安排的支出（款）其他污水处理费安排的支出（项）。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污水处理厂的</w:t>
      </w:r>
      <w:r>
        <w:rPr>
          <w:rFonts w:hint="eastAsia" w:ascii="Times New Roman" w:hAnsi="Times New Roman" w:eastAsia="仿宋_GB2312"/>
          <w:sz w:val="32"/>
          <w:szCs w:val="32"/>
        </w:rPr>
        <w:t>污水处理费</w:t>
      </w:r>
      <w:r>
        <w:rPr>
          <w:rFonts w:hint="eastAsia" w:ascii="Times New Roman" w:hAnsi="Times New Roman" w:eastAsia="仿宋_GB2312"/>
          <w:sz w:val="32"/>
          <w:szCs w:val="32"/>
          <w:lang w:eastAsia="zh-CN"/>
        </w:rPr>
        <w:t>纳入财政大预算。</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sz w:val="32"/>
          <w:szCs w:val="32"/>
        </w:rPr>
        <w:t>资源勘探工业信息等支出（类）超长期特别国债安排的支出（款）基础设施建设和经济发展支出（项）。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rPr>
        <w:t>超长期特别国债安排的支出</w:t>
      </w:r>
      <w:r>
        <w:rPr>
          <w:rFonts w:hint="eastAsia" w:ascii="Times New Roman" w:hAnsi="Times New Roman" w:eastAsia="仿宋_GB2312"/>
          <w:sz w:val="32"/>
          <w:szCs w:val="32"/>
          <w:lang w:eastAsia="zh-CN"/>
        </w:rPr>
        <w:t>由省级财政预算。</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sz w:val="32"/>
          <w:szCs w:val="32"/>
        </w:rPr>
        <w:t>其他支出（类）其他政府性基金及对应专项债务收入安排的支出（款）其他政府性基金债务收入安排的支出（项）。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104.81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拖欠企业账款专项债未列入本单位预算</w:t>
      </w:r>
      <w:r>
        <w:rPr>
          <w:rFonts w:hint="eastAsia" w:ascii="Times New Roman" w:hAnsi="Times New Roman" w:eastAsia="仿宋_GB2312"/>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年度机关运行经费支出0万元，与年初预算数持平。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1.93</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用于开展本单位工作人员培训，人数</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人，内容为事业单位工作人员线上在岗培训。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165.39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23.44</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91.66</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50.29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145.89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88.21</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145.89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16.8</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1574.77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1023.92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65.02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550.85</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34.98</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ind w:firstLine="640" w:firstLineChars="200"/>
        <w:jc w:val="left"/>
        <w:rPr>
          <w:rFonts w:hint="default" w:ascii="仿宋_GB2312" w:hAnsi="仿宋_GB2312" w:eastAsia="仿宋_GB2312" w:cs="仿宋_GB2312"/>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lang w:val="en-US" w:eastAsia="zh-CN"/>
        </w:rPr>
        <w:t>1574.77</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lang w:val="en-US" w:eastAsia="zh-CN"/>
        </w:rPr>
        <w:t>1574.77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94.8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sz w:val="32"/>
          <w:szCs w:val="32"/>
          <w:lang w:eastAsia="zh-CN"/>
        </w:rPr>
        <w:t>一是</w:t>
      </w:r>
      <w:r>
        <w:rPr>
          <w:rFonts w:hint="eastAsia" w:ascii="仿宋_GB2312" w:hAnsi="仿宋_GB2312" w:eastAsia="仿宋_GB2312" w:cs="仿宋_GB2312"/>
          <w:sz w:val="32"/>
          <w:szCs w:val="32"/>
        </w:rPr>
        <w:t>建设一个面积不低于6000平方米，承载孵化企业35家以上的科技企业孵化器</w:t>
      </w:r>
      <w:r>
        <w:rPr>
          <w:rFonts w:hint="eastAsia" w:ascii="仿宋_GB2312" w:hAnsi="仿宋_GB2312" w:eastAsia="仿宋_GB2312" w:cs="仿宋_GB2312"/>
          <w:sz w:val="32"/>
          <w:szCs w:val="32"/>
          <w:lang w:eastAsia="zh-CN"/>
        </w:rPr>
        <w:t>；二是按时完成安置区市政工程并缴纳各类费用；三是</w:t>
      </w:r>
      <w:r>
        <w:rPr>
          <w:rFonts w:hint="eastAsia" w:ascii="仿宋_GB2312" w:hAnsi="仿宋_GB2312" w:eastAsia="仿宋_GB2312" w:cs="仿宋_GB2312"/>
          <w:sz w:val="32"/>
          <w:szCs w:val="32"/>
        </w:rPr>
        <w:t>支付企业安全设施“三同时”建设奖补资金；</w:t>
      </w:r>
      <w:r>
        <w:rPr>
          <w:rFonts w:hint="eastAsia" w:ascii="仿宋_GB2312" w:hAnsi="仿宋_GB2312" w:eastAsia="仿宋_GB2312" w:cs="仿宋_GB2312"/>
          <w:sz w:val="32"/>
          <w:szCs w:val="32"/>
          <w:lang w:eastAsia="zh-CN"/>
        </w:rPr>
        <w:t>四是</w:t>
      </w:r>
      <w:r>
        <w:rPr>
          <w:rFonts w:hint="eastAsia" w:ascii="仿宋_GB2312" w:hAnsi="仿宋_GB2312" w:eastAsia="仿宋_GB2312" w:cs="仿宋_GB2312"/>
          <w:sz w:val="32"/>
          <w:szCs w:val="32"/>
        </w:rPr>
        <w:t>完成永州震东科技有限公司配电工程建设；</w:t>
      </w:r>
      <w:r>
        <w:rPr>
          <w:rFonts w:hint="eastAsia" w:ascii="仿宋_GB2312" w:hAnsi="仿宋_GB2312" w:eastAsia="仿宋_GB2312" w:cs="仿宋_GB2312"/>
          <w:sz w:val="32"/>
          <w:szCs w:val="32"/>
          <w:lang w:eastAsia="zh-CN"/>
        </w:rPr>
        <w:t>五是</w:t>
      </w:r>
      <w:r>
        <w:rPr>
          <w:rFonts w:hint="eastAsia" w:ascii="仿宋_GB2312" w:hAnsi="仿宋_GB2312" w:eastAsia="仿宋_GB2312" w:cs="仿宋_GB2312"/>
          <w:sz w:val="32"/>
          <w:szCs w:val="32"/>
        </w:rPr>
        <w:t>在全国范围内开展招商引资、梯供增育、创新赋能等活动，在省五好园区评比排名稳步前进；招商引资引进项目2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六是</w:t>
      </w:r>
      <w:r>
        <w:rPr>
          <w:rFonts w:hint="eastAsia" w:ascii="仿宋_GB2312" w:hAnsi="仿宋_GB2312" w:eastAsia="仿宋_GB2312" w:cs="仿宋_GB2312"/>
          <w:sz w:val="32"/>
          <w:szCs w:val="32"/>
        </w:rPr>
        <w:t>为应对园区内企业因政策兑现等事宜起诉本政府及管委会，聘请律师应诉，解决政府、管委会与园区企业之间的矛盾与纠纷；</w:t>
      </w:r>
      <w:r>
        <w:rPr>
          <w:rFonts w:hint="eastAsia" w:ascii="仿宋_GB2312" w:hAnsi="仿宋_GB2312" w:eastAsia="仿宋_GB2312" w:cs="仿宋_GB2312"/>
          <w:sz w:val="32"/>
          <w:szCs w:val="32"/>
          <w:lang w:eastAsia="zh-CN"/>
        </w:rPr>
        <w:t>七是</w:t>
      </w:r>
      <w:r>
        <w:rPr>
          <w:rFonts w:hint="eastAsia" w:ascii="仿宋_GB2312" w:hAnsi="仿宋_GB2312" w:eastAsia="仿宋_GB2312" w:cs="仿宋_GB2312"/>
          <w:sz w:val="32"/>
          <w:szCs w:val="32"/>
        </w:rPr>
        <w:t>开展政企交流日活动，妥善解决企业面临的各种问题；</w:t>
      </w:r>
      <w:r>
        <w:rPr>
          <w:rFonts w:hint="eastAsia" w:ascii="仿宋_GB2312" w:hAnsi="仿宋_GB2312" w:eastAsia="仿宋_GB2312" w:cs="仿宋_GB2312"/>
          <w:sz w:val="32"/>
          <w:szCs w:val="32"/>
          <w:lang w:eastAsia="zh-CN"/>
        </w:rPr>
        <w:t>八是</w:t>
      </w:r>
      <w:r>
        <w:rPr>
          <w:rFonts w:hint="eastAsia" w:ascii="仿宋_GB2312" w:hAnsi="仿宋_GB2312" w:eastAsia="仿宋_GB2312" w:cs="仿宋_GB2312"/>
          <w:sz w:val="32"/>
          <w:szCs w:val="32"/>
        </w:rPr>
        <w:t>到各单位调取相关线索资料，对平台经济企业及不能履约的企业送达告知书、决定书、催告书等文书，促进园区内企业严格按照招商引资合同履约</w:t>
      </w:r>
      <w:r>
        <w:rPr>
          <w:rFonts w:hint="eastAsia" w:ascii="仿宋_GB2312" w:hAnsi="仿宋_GB2312" w:eastAsia="仿宋_GB2312" w:cs="仿宋_GB2312"/>
          <w:sz w:val="32"/>
          <w:szCs w:val="32"/>
          <w:lang w:eastAsia="zh-CN"/>
        </w:rPr>
        <w:t>；九是完成工业大道提质改造工程设计；十是按时拨付工业园污水处理厂污水处理费；十一是按时拨付超长期特别国债（大规模设备更新领域）资金；十二是按时拨付先进制造业高地建设专项资金；十三是按时拨付道县华盈实业有限公司厂房租金；十四是聘请</w:t>
      </w:r>
      <w:r>
        <w:rPr>
          <w:rFonts w:hint="eastAsia" w:eastAsia="仿宋_GB2312"/>
          <w:color w:val="000000"/>
          <w:sz w:val="32"/>
          <w:szCs w:val="32"/>
        </w:rPr>
        <w:t>环境污染第三方治理环保服务项目（环保管家），提供环保咨询、环保现状调查、完善一园一档、一企一档管理。</w:t>
      </w:r>
    </w:p>
    <w:p>
      <w:pPr>
        <w:spacing w:line="540" w:lineRule="exact"/>
        <w:ind w:firstLine="640" w:firstLineChars="200"/>
        <w:jc w:val="left"/>
        <w:rPr>
          <w:rFonts w:hint="eastAsia" w:ascii="仿宋" w:hAnsi="仿宋" w:eastAsia="仿宋" w:cs="仿宋"/>
          <w:sz w:val="32"/>
          <w:szCs w:val="32"/>
        </w:rPr>
      </w:pP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年项目支出</w:t>
      </w:r>
      <w:r>
        <w:rPr>
          <w:rFonts w:hint="eastAsia" w:ascii="仿宋" w:hAnsi="仿宋" w:eastAsia="仿宋" w:cs="仿宋"/>
          <w:sz w:val="32"/>
          <w:szCs w:val="32"/>
          <w:lang w:eastAsia="zh-CN"/>
        </w:rPr>
        <w:t>小于</w:t>
      </w:r>
      <w:r>
        <w:rPr>
          <w:rFonts w:hint="eastAsia" w:ascii="仿宋" w:hAnsi="仿宋" w:eastAsia="仿宋" w:cs="仿宋"/>
          <w:sz w:val="32"/>
          <w:szCs w:val="32"/>
        </w:rPr>
        <w:t>年初预算数，主要原因是</w:t>
      </w:r>
      <w:r>
        <w:rPr>
          <w:rFonts w:hint="eastAsia" w:ascii="仿宋" w:hAnsi="仿宋" w:eastAsia="仿宋" w:cs="仿宋"/>
          <w:sz w:val="32"/>
          <w:szCs w:val="32"/>
          <w:lang w:eastAsia="zh-CN"/>
        </w:rPr>
        <w:t>财政资金紧张，不足以支付所有项目资金</w:t>
      </w:r>
      <w:r>
        <w:rPr>
          <w:rFonts w:hint="eastAsia" w:ascii="仿宋" w:hAnsi="仿宋" w:eastAsia="仿宋" w:cs="仿宋"/>
          <w:sz w:val="32"/>
          <w:szCs w:val="32"/>
        </w:rPr>
        <w:t>。</w:t>
      </w:r>
    </w:p>
    <w:p>
      <w:pPr>
        <w:spacing w:line="54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w:t>
      </w:r>
      <w:r>
        <w:rPr>
          <w:rFonts w:hint="eastAsia" w:ascii="仿宋" w:hAnsi="仿宋" w:eastAsia="仿宋" w:cs="仿宋"/>
          <w:sz w:val="32"/>
          <w:szCs w:val="32"/>
          <w:lang w:eastAsia="zh-CN"/>
        </w:rPr>
        <w:t>一是</w:t>
      </w:r>
      <w:r>
        <w:rPr>
          <w:rFonts w:ascii="仿宋" w:hAnsi="仿宋" w:eastAsia="仿宋" w:cs="仿宋"/>
          <w:sz w:val="32"/>
          <w:szCs w:val="32"/>
        </w:rPr>
        <w:t>加强财务人员业务知识学习及培训。定期参与财政局组织</w:t>
      </w:r>
      <w:r>
        <w:rPr>
          <w:rFonts w:hint="eastAsia" w:ascii="仿宋" w:hAnsi="仿宋" w:eastAsia="仿宋" w:cs="仿宋"/>
          <w:sz w:val="32"/>
          <w:szCs w:val="32"/>
        </w:rPr>
        <w:t>的</w:t>
      </w:r>
      <w:r>
        <w:rPr>
          <w:rFonts w:ascii="仿宋" w:hAnsi="仿宋" w:eastAsia="仿宋" w:cs="仿宋"/>
          <w:sz w:val="32"/>
          <w:szCs w:val="32"/>
        </w:rPr>
        <w:t>培训会，</w:t>
      </w:r>
      <w:r>
        <w:rPr>
          <w:rFonts w:hint="eastAsia" w:ascii="仿宋" w:hAnsi="仿宋" w:eastAsia="仿宋" w:cs="仿宋"/>
          <w:sz w:val="32"/>
          <w:szCs w:val="32"/>
        </w:rPr>
        <w:t>与财政业务股室加强交流，</w:t>
      </w:r>
      <w:r>
        <w:rPr>
          <w:rFonts w:ascii="仿宋" w:hAnsi="仿宋" w:eastAsia="仿宋" w:cs="仿宋"/>
          <w:sz w:val="32"/>
          <w:szCs w:val="32"/>
        </w:rPr>
        <w:t>提高业务水平，确保财务日常工作的正常运行</w:t>
      </w:r>
      <w:r>
        <w:rPr>
          <w:rFonts w:hint="eastAsia" w:ascii="仿宋" w:hAnsi="仿宋" w:eastAsia="仿宋" w:cs="仿宋"/>
          <w:sz w:val="32"/>
          <w:szCs w:val="32"/>
          <w:lang w:eastAsia="zh-CN"/>
        </w:rPr>
        <w:t>；二是</w:t>
      </w:r>
      <w:r>
        <w:rPr>
          <w:rFonts w:hint="eastAsia" w:ascii="仿宋" w:hAnsi="仿宋" w:eastAsia="仿宋" w:cs="仿宋"/>
          <w:sz w:val="32"/>
          <w:szCs w:val="32"/>
        </w:rPr>
        <w:t>完善绩效管理计划</w:t>
      </w:r>
      <w:r>
        <w:rPr>
          <w:rFonts w:hint="eastAsia" w:ascii="仿宋" w:hAnsi="仿宋" w:eastAsia="仿宋" w:cs="仿宋"/>
          <w:sz w:val="32"/>
          <w:szCs w:val="32"/>
          <w:lang w:eastAsia="zh-CN"/>
        </w:rPr>
        <w:t>；三是</w:t>
      </w:r>
      <w:r>
        <w:rPr>
          <w:rFonts w:hint="eastAsia" w:ascii="仿宋" w:hAnsi="仿宋" w:eastAsia="仿宋" w:cs="仿宋"/>
          <w:sz w:val="32"/>
          <w:szCs w:val="32"/>
        </w:rPr>
        <w:t>完善绩效评估方案。</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2025年度，本部门严格运用绩效自评、部门评价及财政评价结果优化预算管理。一是结合绩效优劣统筹次年预算安排，对优质项目优先保障，对低效项目压减调整资金规模</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二是动态优化支出结构，将财政资金向高效益、重点履职领域倾斜，盘活存量资金</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三是强化资金全过程监管，规范资金拨付与项目履约管理，严格按绩效结果落实付费及整改要求</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四是健全预算绩效、项目管理内控制度，补齐管理短板，实现绩效评价、问题整改、提质增效闭环管理，持续提升财政资金使用效益。</w:t>
      </w: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hint="eastAsia" w:ascii="Times New Roman" w:hAnsi="Times New Roman" w:eastAsia="仿宋_GB2312" w:cs="黑体"/>
          <w:color w:val="000000"/>
          <w:kern w:val="0"/>
          <w:sz w:val="32"/>
          <w:szCs w:val="32"/>
        </w:rPr>
      </w:pPr>
      <w:r>
        <w:rPr>
          <w:rFonts w:ascii="Times New Roman" w:hAnsi="Times New Roman" w:eastAsia="方正小标宋_GBK" w:cs="Times New Roman"/>
          <w:sz w:val="52"/>
          <w:szCs w:val="52"/>
        </w:rPr>
        <w:t>第四部分    名词解释</w:t>
      </w:r>
    </w:p>
    <w:p>
      <w:pPr>
        <w:widowControl/>
        <w:ind w:left="210" w:leftChars="100" w:firstLine="320" w:firstLineChars="100"/>
        <w:jc w:val="left"/>
        <w:rPr>
          <w:rFonts w:hint="eastAsia" w:ascii="Times New Roman" w:hAnsi="Times New Roman" w:eastAsia="仿宋_GB2312" w:cs="黑体"/>
          <w:color w:val="000000"/>
          <w:kern w:val="0"/>
          <w:sz w:val="32"/>
          <w:szCs w:val="32"/>
        </w:rPr>
      </w:pPr>
    </w:p>
    <w:p>
      <w:pPr>
        <w:widowControl/>
        <w:ind w:left="210" w:leftChars="100" w:firstLine="320" w:firstLineChars="1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w:t>
      </w:r>
      <w:r>
        <w:rPr>
          <w:rFonts w:ascii="Times New Roman" w:hAnsi="Times New Roman" w:eastAsia="仿宋_GB2312" w:cs="黑体"/>
          <w:color w:val="000000"/>
          <w:kern w:val="0"/>
          <w:sz w:val="32"/>
          <w:szCs w:val="32"/>
        </w:rPr>
        <w:t xml:space="preserve">财政拨款收入：指单位本年度从同级财政部门取得的各类财政 拨款。 </w:t>
      </w:r>
      <w:r>
        <w:rPr>
          <w:rFonts w:hint="eastAsia" w:ascii="Times New Roman" w:hAnsi="Times New Roman" w:eastAsia="仿宋_GB2312" w:cs="黑体"/>
          <w:color w:val="000000"/>
          <w:kern w:val="0"/>
          <w:sz w:val="32"/>
          <w:szCs w:val="32"/>
        </w:rPr>
        <w:t xml:space="preserve">  </w:t>
      </w:r>
    </w:p>
    <w:p>
      <w:pPr>
        <w:widowControl/>
        <w:ind w:left="210" w:leftChars="100" w:firstLine="320" w:firstLineChars="1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w:t>
      </w:r>
      <w:r>
        <w:rPr>
          <w:rFonts w:ascii="Times New Roman" w:hAnsi="Times New Roman" w:eastAsia="仿宋_GB2312" w:cs="黑体"/>
          <w:color w:val="000000"/>
          <w:kern w:val="0"/>
          <w:sz w:val="32"/>
          <w:szCs w:val="32"/>
        </w:rPr>
        <w:t xml:space="preserve">上级补助收入：指事业单位从主管部门和上级单位取得的非财 政补助收入。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三、</w:t>
      </w:r>
      <w:r>
        <w:rPr>
          <w:rFonts w:ascii="Times New Roman" w:hAnsi="Times New Roman" w:eastAsia="仿宋_GB2312" w:cs="黑体"/>
          <w:color w:val="000000"/>
          <w:kern w:val="0"/>
          <w:sz w:val="32"/>
          <w:szCs w:val="32"/>
        </w:rPr>
        <w:t xml:space="preserve">机关运行经费：指行政单位（含参照公务员法管理的事业单位） 使用一般公共预算安排的基本支出中的公用经费支出，包括办公及印刷 费、邮电费、差旅费、会议费、福利费、日常维修费、专用材料及一般 设备购置费、办公用房水电费、办公用房取暖费、办公用房物业管理费、 公务用车运行维护费及其他费用。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四、</w:t>
      </w:r>
      <w:r>
        <w:rPr>
          <w:rFonts w:ascii="Times New Roman" w:hAnsi="Times New Roman" w:eastAsia="仿宋_GB2312" w:cs="黑体"/>
          <w:color w:val="000000"/>
          <w:kern w:val="0"/>
          <w:sz w:val="32"/>
          <w:szCs w:val="32"/>
        </w:rPr>
        <w:t xml:space="preserve">“三公”经费：指单位用一般公共预算财政拨款安排的因公出 国（境）费、公务用车购置及运行维护费和公务接待费。其中，因公出 国（境）费反映单位公务出国（境）的国际旅费、国外城市间交通费、 住宿费、伙食费、培训费、公杂费等支出；公务用车购置及运行维护费 反映单位公务用车购置支出（含车辆购置税、牌照费）以及按规定保留 的公务用车燃料费、维修费、过路过桥费、保险费、安全奖励费用等支 出；公务接待费反映单位按规定开支的各类公务接待（含外宾接待）费 用。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五、</w:t>
      </w:r>
      <w:r>
        <w:rPr>
          <w:rFonts w:ascii="Times New Roman" w:hAnsi="Times New Roman" w:eastAsia="仿宋_GB2312" w:cs="黑体"/>
          <w:color w:val="000000"/>
          <w:kern w:val="0"/>
          <w:sz w:val="32"/>
          <w:szCs w:val="32"/>
        </w:rPr>
        <w:t xml:space="preserve">对附属单位补助支出：指事业单位用财政拨款收入之外的收入 对附属单位补助发生的支出。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六、</w:t>
      </w:r>
      <w:r>
        <w:rPr>
          <w:rFonts w:ascii="Times New Roman" w:hAnsi="Times New Roman" w:eastAsia="仿宋_GB2312" w:cs="黑体"/>
          <w:color w:val="000000"/>
          <w:kern w:val="0"/>
          <w:sz w:val="32"/>
          <w:szCs w:val="32"/>
        </w:rPr>
        <w:t xml:space="preserve">经营支出：指事业单位在专业业务活动及其辅助活动之外开展 非独立核算经营活动发生的支出。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七、</w:t>
      </w:r>
      <w:r>
        <w:rPr>
          <w:rFonts w:ascii="Times New Roman" w:hAnsi="Times New Roman" w:eastAsia="仿宋_GB2312" w:cs="黑体"/>
          <w:color w:val="000000"/>
          <w:kern w:val="0"/>
          <w:sz w:val="32"/>
          <w:szCs w:val="32"/>
        </w:rPr>
        <w:t xml:space="preserve">上缴上级支出：指事业单位按照财政部门和主管部门的规定上缴上级单位的支出。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八、事业收入：指事业单位开展专业业务活动及其辅助活动取得的 收入，事业单位收到的财政专户实际核拨的教育收费等资金在此反映。</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九、经营收入：指事业单位在专业业务活动及其辅助活动之外开展 非独立核算经营活动取得的收入。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十、附属单位上缴收入：指事业单位附属独立核算单位按照有关规 定上缴的收入。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十一、其他收入：指单位取得的除上述“财政拨款收入”、“事业收 入”、“经营收入”等以外的各项收入。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十二、使用非财政拨款结余：指事业单位使用非财政拨款结余（原事 业基金）弥补当年收支差额的数额。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十三、年初结转和结余：指单位上年结转本年使用的基本支出结转、 项目支出结转和结余和经营结余。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十四、结余分配：指事业单位按规定对非财政拨款结余资金提取的专 用基金、缴纳的所得税和转入非财政拨款结余等。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十五、年末结转和结余资金：指本年度或以前年度预算安排、因客观 条件发生变化无法按原计划实施，需要延迟到以后年度按有关规定继续 使用的资金。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十六、基本支出：指为保障机构正常运转、完成日常工作任务而发生 的支出，包括人员经费和公用经费。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十七、项目支出：指在为完成特定的工作任务和事业发展目标所发生 的支出。</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十八、一般公共服务支出（类）政府办公厅（室）及相关机构事务（款） 行政运行（项）：反映行政单位（包括实行公务员管理的事业单位）的 基本 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十九、一般公共服务支出（类）政府办公厅（室）及相关机构事务（款） 事业运行（项）：反映事业单位的基本支出，不包括行政单位（包括实 行公务 员管理的事业单位）后勤服务中心、医务室等附属事业单位。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二十、一般公共服务支出（类）政府办公厅（室）及相关机构事务（款） 其他政府办公厅（室）及相关机构事务支出（项）：反映除上述项目以 外的其他政府办公厅（室）及相关机构事 务支出。 </w:t>
      </w:r>
    </w:p>
    <w:p>
      <w:pPr>
        <w:widowControl/>
        <w:ind w:firstLine="480" w:firstLineChars="15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 xml:space="preserve">二十一、社会保障和就业支出（类）行政事业单位养老支出（款）机关 事业单位基本养老保险缴费支出（项）：反映机关事业单位实施养老保 险制度由单位缴纳的基本养老保险费支出。 </w:t>
      </w:r>
    </w:p>
    <w:p>
      <w:pPr>
        <w:widowControl/>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二十二、</w:t>
      </w:r>
      <w:r>
        <w:rPr>
          <w:rFonts w:ascii="Times New Roman" w:hAnsi="Times New Roman" w:eastAsia="仿宋_GB2312" w:cs="黑体"/>
          <w:color w:val="000000"/>
          <w:kern w:val="0"/>
          <w:sz w:val="32"/>
          <w:szCs w:val="32"/>
        </w:rPr>
        <w:t xml:space="preserve">卫生健康支出（类）行政事业单位医疗（款）事业单位医疗（项）： 反映财政部门安排的事业单位基本医疗保险缴费经费，未参 加医疗保 险的事业单位的公费医疗经费，按国家规定享受离休 人员待遇的医疗 经费。 </w:t>
      </w:r>
    </w:p>
    <w:p>
      <w:pPr>
        <w:pStyle w:val="12"/>
        <w:jc w:val="left"/>
        <w:rPr>
          <w:sz w:val="72"/>
          <w:szCs w:val="72"/>
        </w:rPr>
      </w:pPr>
      <w:r>
        <w:rPr>
          <w:rFonts w:hint="eastAsia" w:ascii="Times New Roman" w:hAnsi="Times New Roman" w:eastAsia="仿宋_GB2312" w:cs="黑体"/>
          <w:color w:val="000000"/>
          <w:kern w:val="0"/>
          <w:sz w:val="32"/>
          <w:szCs w:val="32"/>
        </w:rPr>
        <w:t>二十三、</w:t>
      </w:r>
      <w:r>
        <w:rPr>
          <w:rFonts w:ascii="Times New Roman" w:hAnsi="Times New Roman" w:eastAsia="仿宋_GB2312" w:cs="黑体"/>
          <w:color w:val="000000"/>
          <w:kern w:val="0"/>
          <w:sz w:val="32"/>
          <w:szCs w:val="32"/>
        </w:rPr>
        <w:t>资源勘探工业信息等支出（类）制造业（款）其他制造业支出 （项）：反映除上述项目以外其他用于制造业方面的支出。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both"/>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jc w:val="both"/>
        <w:rPr>
          <w:rFonts w:hint="eastAsia" w:ascii="楷体" w:hAnsi="楷体" w:eastAsia="楷体" w:cs="楷体"/>
          <w:b/>
          <w:bCs/>
          <w:sz w:val="32"/>
          <w:szCs w:val="32"/>
          <w:lang w:eastAsia="zh-CN"/>
        </w:rPr>
      </w:pPr>
    </w:p>
    <w:p>
      <w:pPr>
        <w:jc w:val="center"/>
        <w:rPr>
          <w:rFonts w:hint="eastAsia" w:ascii="楷体" w:hAnsi="楷体" w:eastAsia="楷体" w:cs="楷体"/>
          <w:b/>
          <w:bCs/>
          <w:sz w:val="32"/>
          <w:szCs w:val="32"/>
          <w:lang w:eastAsia="zh-CN"/>
        </w:rPr>
      </w:pPr>
    </w:p>
    <w:p>
      <w:pPr>
        <w:jc w:val="both"/>
        <w:rPr>
          <w:rFonts w:hint="eastAsia" w:ascii="楷体" w:hAnsi="楷体" w:eastAsia="楷体" w:cs="楷体"/>
          <w:b/>
          <w:bCs/>
          <w:sz w:val="32"/>
          <w:szCs w:val="32"/>
          <w:lang w:eastAsia="zh-CN"/>
        </w:rPr>
      </w:pPr>
    </w:p>
    <w:p>
      <w:pPr>
        <w:jc w:val="both"/>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2025年度道县高新技术产业开发区管理委员会整体支出绩效自评报告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bookmarkStart w:id="4" w:name="_GoBack"/>
      <w:bookmarkEnd w:id="4"/>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jMDg5OTIyODg1ODkzMWI2MzA1Y2I4ZWJmODMyN2U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304553"/>
    <w:rsid w:val="0313544C"/>
    <w:rsid w:val="03C02A33"/>
    <w:rsid w:val="045D6BDE"/>
    <w:rsid w:val="04CE2A73"/>
    <w:rsid w:val="05092FAB"/>
    <w:rsid w:val="05263B5D"/>
    <w:rsid w:val="052A58D1"/>
    <w:rsid w:val="058C4362"/>
    <w:rsid w:val="06C70A28"/>
    <w:rsid w:val="078A00C9"/>
    <w:rsid w:val="079052BE"/>
    <w:rsid w:val="07C5289C"/>
    <w:rsid w:val="09BB5189"/>
    <w:rsid w:val="0A5C1BF1"/>
    <w:rsid w:val="0B1C3A38"/>
    <w:rsid w:val="0B4C599F"/>
    <w:rsid w:val="0B602CFA"/>
    <w:rsid w:val="0B8F1E01"/>
    <w:rsid w:val="0CA46103"/>
    <w:rsid w:val="0DE819AF"/>
    <w:rsid w:val="0E1B46D7"/>
    <w:rsid w:val="0E6036A0"/>
    <w:rsid w:val="0EB32FD6"/>
    <w:rsid w:val="0ED346BF"/>
    <w:rsid w:val="0F453C1F"/>
    <w:rsid w:val="10982CE6"/>
    <w:rsid w:val="117B6FDE"/>
    <w:rsid w:val="11B76520"/>
    <w:rsid w:val="11D91388"/>
    <w:rsid w:val="11F50B3F"/>
    <w:rsid w:val="122F22A3"/>
    <w:rsid w:val="13970E12"/>
    <w:rsid w:val="141A2740"/>
    <w:rsid w:val="14397409"/>
    <w:rsid w:val="151508C6"/>
    <w:rsid w:val="158C5507"/>
    <w:rsid w:val="15A22D8C"/>
    <w:rsid w:val="1702442C"/>
    <w:rsid w:val="175C47A1"/>
    <w:rsid w:val="179A2E9A"/>
    <w:rsid w:val="1A216260"/>
    <w:rsid w:val="1A873A39"/>
    <w:rsid w:val="1AD24397"/>
    <w:rsid w:val="1B3E33A8"/>
    <w:rsid w:val="1B666609"/>
    <w:rsid w:val="1BCB238B"/>
    <w:rsid w:val="1C42514B"/>
    <w:rsid w:val="1D2A0A38"/>
    <w:rsid w:val="1D69418F"/>
    <w:rsid w:val="1D6F3E9B"/>
    <w:rsid w:val="1D97DEFF"/>
    <w:rsid w:val="1DFF72E5"/>
    <w:rsid w:val="1EFC6F07"/>
    <w:rsid w:val="1F524983"/>
    <w:rsid w:val="205034FF"/>
    <w:rsid w:val="20803CC9"/>
    <w:rsid w:val="21376C12"/>
    <w:rsid w:val="21D43F09"/>
    <w:rsid w:val="229677D4"/>
    <w:rsid w:val="23CC02FA"/>
    <w:rsid w:val="23E75A17"/>
    <w:rsid w:val="23E76EA7"/>
    <w:rsid w:val="24BE7C67"/>
    <w:rsid w:val="24CD14A7"/>
    <w:rsid w:val="24F371A6"/>
    <w:rsid w:val="263C0693"/>
    <w:rsid w:val="2787494D"/>
    <w:rsid w:val="27D606F7"/>
    <w:rsid w:val="28D177B8"/>
    <w:rsid w:val="298C7B83"/>
    <w:rsid w:val="29AB07BB"/>
    <w:rsid w:val="2ADD119F"/>
    <w:rsid w:val="2BAB6294"/>
    <w:rsid w:val="2C361804"/>
    <w:rsid w:val="2D4D1F4B"/>
    <w:rsid w:val="2D830B53"/>
    <w:rsid w:val="2DF301D1"/>
    <w:rsid w:val="2E7D3826"/>
    <w:rsid w:val="2F6E6A56"/>
    <w:rsid w:val="2FDF85B8"/>
    <w:rsid w:val="2FFFEE04"/>
    <w:rsid w:val="301E705B"/>
    <w:rsid w:val="30AC18CA"/>
    <w:rsid w:val="32171FB4"/>
    <w:rsid w:val="329655CE"/>
    <w:rsid w:val="33721B98"/>
    <w:rsid w:val="3381680B"/>
    <w:rsid w:val="33CC1A87"/>
    <w:rsid w:val="34546469"/>
    <w:rsid w:val="34DF85B0"/>
    <w:rsid w:val="35C63B1D"/>
    <w:rsid w:val="36977B6D"/>
    <w:rsid w:val="36D6038A"/>
    <w:rsid w:val="37EB61A1"/>
    <w:rsid w:val="37EF1806"/>
    <w:rsid w:val="37FA13A7"/>
    <w:rsid w:val="389861C4"/>
    <w:rsid w:val="38F82E0E"/>
    <w:rsid w:val="39DA3555"/>
    <w:rsid w:val="39DB24CF"/>
    <w:rsid w:val="3A0D4C05"/>
    <w:rsid w:val="3A5F246C"/>
    <w:rsid w:val="3B0C70CF"/>
    <w:rsid w:val="3B404329"/>
    <w:rsid w:val="3B8F36BC"/>
    <w:rsid w:val="3DF73159"/>
    <w:rsid w:val="3F312907"/>
    <w:rsid w:val="3FAE21A9"/>
    <w:rsid w:val="402D1E5E"/>
    <w:rsid w:val="40A11D0E"/>
    <w:rsid w:val="40F136D9"/>
    <w:rsid w:val="41151DB4"/>
    <w:rsid w:val="42AB6E74"/>
    <w:rsid w:val="42C90859"/>
    <w:rsid w:val="44E16B7D"/>
    <w:rsid w:val="450824E0"/>
    <w:rsid w:val="45AC522F"/>
    <w:rsid w:val="45DC010D"/>
    <w:rsid w:val="463F14C0"/>
    <w:rsid w:val="46F04E55"/>
    <w:rsid w:val="48115004"/>
    <w:rsid w:val="482C038F"/>
    <w:rsid w:val="48627FD5"/>
    <w:rsid w:val="48815171"/>
    <w:rsid w:val="491FF225"/>
    <w:rsid w:val="49705A07"/>
    <w:rsid w:val="4D594B90"/>
    <w:rsid w:val="4DBE3EFF"/>
    <w:rsid w:val="4FFD214C"/>
    <w:rsid w:val="50324731"/>
    <w:rsid w:val="518738D9"/>
    <w:rsid w:val="51FE0F15"/>
    <w:rsid w:val="522462FB"/>
    <w:rsid w:val="52452D9E"/>
    <w:rsid w:val="530B5818"/>
    <w:rsid w:val="5365260C"/>
    <w:rsid w:val="54295D71"/>
    <w:rsid w:val="543E1D31"/>
    <w:rsid w:val="5453162A"/>
    <w:rsid w:val="5463135D"/>
    <w:rsid w:val="55517D49"/>
    <w:rsid w:val="55E93AE3"/>
    <w:rsid w:val="562C577E"/>
    <w:rsid w:val="57574A7D"/>
    <w:rsid w:val="5777D4F5"/>
    <w:rsid w:val="578737D3"/>
    <w:rsid w:val="57D31FC4"/>
    <w:rsid w:val="57E43C6B"/>
    <w:rsid w:val="59561490"/>
    <w:rsid w:val="59DD8326"/>
    <w:rsid w:val="5A2372BF"/>
    <w:rsid w:val="5A355549"/>
    <w:rsid w:val="5A926793"/>
    <w:rsid w:val="5B2E1F96"/>
    <w:rsid w:val="5C115C89"/>
    <w:rsid w:val="5CA40764"/>
    <w:rsid w:val="5CB169DD"/>
    <w:rsid w:val="5CD84A6A"/>
    <w:rsid w:val="5D79092F"/>
    <w:rsid w:val="5D835EE3"/>
    <w:rsid w:val="5DB524FD"/>
    <w:rsid w:val="5DEF592A"/>
    <w:rsid w:val="5E8A001E"/>
    <w:rsid w:val="5FC6BB1E"/>
    <w:rsid w:val="5FF720F1"/>
    <w:rsid w:val="60C0021B"/>
    <w:rsid w:val="615F4C5A"/>
    <w:rsid w:val="61BE4076"/>
    <w:rsid w:val="61DC274E"/>
    <w:rsid w:val="63E82AAA"/>
    <w:rsid w:val="64491B10"/>
    <w:rsid w:val="64F102BF"/>
    <w:rsid w:val="64F308BC"/>
    <w:rsid w:val="65671378"/>
    <w:rsid w:val="65760886"/>
    <w:rsid w:val="65E00630"/>
    <w:rsid w:val="66266601"/>
    <w:rsid w:val="668A6465"/>
    <w:rsid w:val="672035F0"/>
    <w:rsid w:val="67FF5C0B"/>
    <w:rsid w:val="6BB77AE3"/>
    <w:rsid w:val="6BD47250"/>
    <w:rsid w:val="6C5C4BB7"/>
    <w:rsid w:val="6E602011"/>
    <w:rsid w:val="6E8C63B6"/>
    <w:rsid w:val="6E9F2995"/>
    <w:rsid w:val="6EFC0924"/>
    <w:rsid w:val="6FB74722"/>
    <w:rsid w:val="6FEF8B7E"/>
    <w:rsid w:val="71A6591B"/>
    <w:rsid w:val="71AF5789"/>
    <w:rsid w:val="71E41505"/>
    <w:rsid w:val="72752C13"/>
    <w:rsid w:val="730742EC"/>
    <w:rsid w:val="737D59BA"/>
    <w:rsid w:val="73AF7CC3"/>
    <w:rsid w:val="76121E78"/>
    <w:rsid w:val="76326989"/>
    <w:rsid w:val="7641097A"/>
    <w:rsid w:val="76D6151F"/>
    <w:rsid w:val="77024D4F"/>
    <w:rsid w:val="770B5C93"/>
    <w:rsid w:val="77C37683"/>
    <w:rsid w:val="77DB222E"/>
    <w:rsid w:val="784928A4"/>
    <w:rsid w:val="786F73DC"/>
    <w:rsid w:val="797B4AD9"/>
    <w:rsid w:val="79D19834"/>
    <w:rsid w:val="79FF515B"/>
    <w:rsid w:val="7A040C61"/>
    <w:rsid w:val="7A1D269E"/>
    <w:rsid w:val="7A8A0B42"/>
    <w:rsid w:val="7AA240DD"/>
    <w:rsid w:val="7B072192"/>
    <w:rsid w:val="7B113597"/>
    <w:rsid w:val="7B393A00"/>
    <w:rsid w:val="7BB5399C"/>
    <w:rsid w:val="7BF549BF"/>
    <w:rsid w:val="7C0B0589"/>
    <w:rsid w:val="7C213CD7"/>
    <w:rsid w:val="7CA72E19"/>
    <w:rsid w:val="7CC22C22"/>
    <w:rsid w:val="7D6142F8"/>
    <w:rsid w:val="7DFA5FDE"/>
    <w:rsid w:val="7E1F15C8"/>
    <w:rsid w:val="7E9E1962"/>
    <w:rsid w:val="7E9F11B4"/>
    <w:rsid w:val="7EAA418E"/>
    <w:rsid w:val="7EDF47DC"/>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AFFEF38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DB9C5"/>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6599</Words>
  <Characters>7524</Characters>
  <Lines>69</Lines>
  <Paragraphs>19</Paragraphs>
  <TotalTime>19</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蒋琼</cp:lastModifiedBy>
  <cp:lastPrinted>2024-08-10T18:20:00Z</cp:lastPrinted>
  <dcterms:modified xsi:type="dcterms:W3CDTF">2026-09-15T03:11:39Z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ies>
</file>