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723" w:firstLineChars="200"/>
        <w:jc w:val="center"/>
        <w:rPr>
          <w:rFonts w:hint="eastAsia" w:ascii="Calibri" w:hAnsi="Calibri" w:eastAsia="仿宋_GB2312" w:cs="Times New Roman"/>
          <w:b/>
          <w:bCs/>
          <w:sz w:val="36"/>
          <w:szCs w:val="36"/>
          <w:lang w:val="en-US" w:eastAsia="zh-CN"/>
        </w:rPr>
      </w:pPr>
      <w:r>
        <w:rPr>
          <w:rFonts w:hint="eastAsia" w:ascii="Calibri" w:hAnsi="Calibri" w:eastAsia="仿宋_GB2312" w:cs="Times New Roman"/>
          <w:b/>
          <w:bCs/>
          <w:sz w:val="36"/>
          <w:szCs w:val="36"/>
          <w:lang w:val="en-US" w:eastAsia="zh-CN"/>
        </w:rPr>
        <w:t>道县社会保险服务中心2025年度部门整体</w:t>
      </w:r>
    </w:p>
    <w:p>
      <w:pPr>
        <w:ind w:firstLine="723" w:firstLineChars="200"/>
        <w:jc w:val="center"/>
        <w:rPr>
          <w:rFonts w:hint="eastAsia" w:ascii="Calibri" w:hAnsi="Calibri" w:eastAsia="仿宋_GB2312" w:cs="Times New Roman"/>
          <w:b/>
          <w:bCs/>
          <w:sz w:val="36"/>
          <w:szCs w:val="36"/>
          <w:lang w:val="en-US" w:eastAsia="zh-CN"/>
        </w:rPr>
      </w:pPr>
      <w:r>
        <w:rPr>
          <w:rFonts w:hint="eastAsia" w:ascii="Calibri" w:hAnsi="Calibri" w:eastAsia="仿宋_GB2312" w:cs="Times New Roman"/>
          <w:b/>
          <w:bCs/>
          <w:sz w:val="36"/>
          <w:szCs w:val="36"/>
          <w:lang w:val="en-US" w:eastAsia="zh-CN"/>
        </w:rPr>
        <w:t>绩效自评报告</w:t>
      </w:r>
    </w:p>
    <w:p>
      <w:pPr>
        <w:adjustRightInd w:val="0"/>
        <w:spacing w:line="600" w:lineRule="exact"/>
        <w:rPr>
          <w:rFonts w:ascii="Calibri" w:hAnsi="Calibri" w:eastAsia="仿宋_GB2312" w:cs="Times New Roman"/>
          <w:sz w:val="32"/>
          <w:szCs w:val="32"/>
        </w:rPr>
      </w:pPr>
    </w:p>
    <w:p>
      <w:pPr>
        <w:adjustRightInd w:val="0"/>
        <w:snapToGrid w:val="0"/>
        <w:spacing w:line="600" w:lineRule="exact"/>
        <w:ind w:firstLine="640" w:firstLineChars="200"/>
        <w:rPr>
          <w:rFonts w:ascii="Calibri" w:hAnsi="Calibri" w:eastAsia="黑体" w:cs="Times New Roman"/>
          <w:sz w:val="32"/>
          <w:szCs w:val="32"/>
        </w:rPr>
      </w:pPr>
      <w:r>
        <w:rPr>
          <w:rFonts w:hint="eastAsia" w:ascii="Calibri" w:hAnsi="Calibri" w:eastAsia="黑体" w:cs="Times New Roman"/>
          <w:sz w:val="32"/>
          <w:szCs w:val="32"/>
        </w:rPr>
        <w:t>一、基本情况</w:t>
      </w:r>
    </w:p>
    <w:p>
      <w:pPr>
        <w:ind w:firstLine="640" w:firstLineChars="200"/>
        <w:rPr>
          <w:rFonts w:hint="eastAsia" w:ascii="Calibri" w:hAnsi="Calibri" w:eastAsia="仿宋_GB2312" w:cs="Times New Roman"/>
          <w:sz w:val="32"/>
          <w:szCs w:val="32"/>
          <w:lang w:val="en-US" w:eastAsia="zh-CN"/>
        </w:rPr>
      </w:pPr>
      <w:r>
        <w:rPr>
          <w:rFonts w:hint="eastAsia" w:ascii="Calibri" w:hAnsi="Calibri" w:eastAsia="仿宋_GB2312" w:cs="Times New Roman"/>
          <w:sz w:val="32"/>
          <w:szCs w:val="32"/>
          <w:lang w:val="en-US" w:eastAsia="zh-CN"/>
        </w:rPr>
        <w:t>（一）部门基本情况</w:t>
      </w:r>
    </w:p>
    <w:p>
      <w:pPr>
        <w:ind w:firstLine="640" w:firstLineChars="200"/>
        <w:rPr>
          <w:rFonts w:hint="eastAsia" w:ascii="Calibri" w:hAnsi="Calibri" w:eastAsia="仿宋_GB2312" w:cs="Times New Roman"/>
          <w:sz w:val="32"/>
          <w:szCs w:val="32"/>
          <w:lang w:val="en-US" w:eastAsia="zh-CN"/>
        </w:rPr>
      </w:pPr>
      <w:r>
        <w:rPr>
          <w:rFonts w:hint="eastAsia" w:ascii="Calibri" w:hAnsi="Calibri" w:eastAsia="仿宋_GB2312" w:cs="Times New Roman"/>
          <w:sz w:val="32"/>
          <w:szCs w:val="32"/>
          <w:lang w:val="en-US" w:eastAsia="zh-CN"/>
        </w:rPr>
        <w:t>道县社会保险服务中心是县人社局下属二级独立核算经办机构</w:t>
      </w:r>
      <w:r>
        <w:rPr>
          <w:rFonts w:hint="eastAsia" w:ascii="Calibri" w:hAnsi="Calibri" w:eastAsia="宋体" w:cs="Times New Roman"/>
          <w:szCs w:val="22"/>
        </w:rPr>
        <w:t>，</w:t>
      </w:r>
      <w:r>
        <w:rPr>
          <w:rFonts w:hint="eastAsia" w:ascii="Calibri" w:hAnsi="Calibri" w:eastAsia="仿宋_GB2312" w:cs="Times New Roman"/>
          <w:sz w:val="32"/>
          <w:szCs w:val="32"/>
          <w:lang w:val="en-US" w:eastAsia="zh-CN"/>
        </w:rPr>
        <w:t xml:space="preserve">全额拨款事业单位，核定编制 34人，在职人数25人。 </w:t>
      </w:r>
    </w:p>
    <w:p>
      <w:pPr>
        <w:ind w:firstLine="640" w:firstLineChars="200"/>
        <w:rPr>
          <w:rFonts w:hint="eastAsia" w:ascii="Calibri" w:hAnsi="Calibri" w:eastAsia="仿宋_GB2312" w:cs="Times New Roman"/>
          <w:sz w:val="32"/>
          <w:szCs w:val="32"/>
          <w:lang w:val="en-US" w:eastAsia="zh-CN"/>
        </w:rPr>
      </w:pPr>
      <w:r>
        <w:rPr>
          <w:rFonts w:hint="eastAsia" w:ascii="Calibri" w:hAnsi="Calibri" w:eastAsia="仿宋_GB2312" w:cs="Times New Roman"/>
          <w:sz w:val="32"/>
          <w:szCs w:val="32"/>
          <w:lang w:val="en-US" w:eastAsia="zh-CN"/>
        </w:rPr>
        <w:t>主要职能：根据社会养老保险文件规定，本单位负责企业、机关事业单位、城乡居民参保登记、个人账户管理、待遇支付、资格认证、转移接续；负责基金管理、统计管理、台账建设、内控稽核；负责社会养老保险咨询解答和受理举报工作。</w:t>
      </w:r>
    </w:p>
    <w:p>
      <w:pPr>
        <w:numPr>
          <w:ilvl w:val="0"/>
          <w:numId w:val="1"/>
        </w:numPr>
        <w:ind w:firstLine="640" w:firstLineChars="200"/>
        <w:rPr>
          <w:rFonts w:hint="eastAsia" w:ascii="Calibri" w:hAnsi="Calibri" w:eastAsia="仿宋_GB2312" w:cs="Times New Roman"/>
          <w:sz w:val="32"/>
          <w:szCs w:val="32"/>
          <w:lang w:val="en-US" w:eastAsia="zh-CN"/>
        </w:rPr>
      </w:pPr>
      <w:r>
        <w:rPr>
          <w:rFonts w:hint="eastAsia" w:ascii="Calibri" w:hAnsi="Calibri" w:eastAsia="仿宋_GB2312" w:cs="Times New Roman"/>
          <w:sz w:val="32"/>
          <w:szCs w:val="32"/>
          <w:lang w:val="en-US" w:eastAsia="zh-CN"/>
        </w:rPr>
        <w:t>部门年度整体支出绩效目标，省级专项资金绩效目标、其他项目支出（除省级专项资金以外）绩效目标</w:t>
      </w:r>
    </w:p>
    <w:p>
      <w:pPr>
        <w:numPr>
          <w:ilvl w:val="0"/>
          <w:numId w:val="0"/>
        </w:numPr>
        <w:rPr>
          <w:rFonts w:hint="default" w:ascii="Calibri" w:hAnsi="Calibri" w:eastAsia="仿宋_GB2312" w:cs="Times New Roman"/>
          <w:sz w:val="32"/>
          <w:szCs w:val="32"/>
          <w:lang w:val="en-US" w:eastAsia="zh-CN"/>
        </w:rPr>
      </w:pPr>
      <w:r>
        <w:rPr>
          <w:rFonts w:hint="eastAsia" w:ascii="Calibri" w:hAnsi="Calibri" w:eastAsia="仿宋_GB2312" w:cs="Times New Roman"/>
          <w:sz w:val="32"/>
          <w:szCs w:val="32"/>
          <w:lang w:val="en-US" w:eastAsia="zh-CN"/>
        </w:rPr>
        <w:t xml:space="preserve">    目标1：做好基本养老保险参保对象的参保登记工作。</w:t>
      </w:r>
    </w:p>
    <w:p>
      <w:pPr>
        <w:numPr>
          <w:ilvl w:val="0"/>
          <w:numId w:val="0"/>
        </w:numPr>
        <w:ind w:firstLine="640" w:firstLineChars="200"/>
        <w:rPr>
          <w:rFonts w:hint="eastAsia" w:ascii="Calibri" w:hAnsi="Calibri" w:eastAsia="仿宋_GB2312" w:cs="Times New Roman"/>
          <w:sz w:val="32"/>
          <w:szCs w:val="32"/>
          <w:lang w:val="en-US" w:eastAsia="zh-CN"/>
        </w:rPr>
      </w:pPr>
      <w:r>
        <w:rPr>
          <w:rFonts w:hint="eastAsia" w:ascii="Calibri" w:hAnsi="Calibri" w:eastAsia="仿宋_GB2312" w:cs="Times New Roman"/>
          <w:sz w:val="32"/>
          <w:szCs w:val="32"/>
          <w:lang w:val="en-US" w:eastAsia="zh-CN"/>
        </w:rPr>
        <w:t>目标2：做好社会养老保险基金的收支、管理、运营以及退休人员的管理服务工作。</w:t>
      </w:r>
    </w:p>
    <w:p>
      <w:pPr>
        <w:numPr>
          <w:ilvl w:val="0"/>
          <w:numId w:val="0"/>
        </w:numPr>
        <w:ind w:firstLine="640" w:firstLineChars="200"/>
        <w:rPr>
          <w:rFonts w:hint="eastAsia" w:ascii="Calibri" w:hAnsi="Calibri" w:eastAsia="仿宋_GB2312" w:cs="Times New Roman"/>
          <w:sz w:val="32"/>
          <w:szCs w:val="32"/>
          <w:lang w:val="en-US" w:eastAsia="zh-CN"/>
        </w:rPr>
      </w:pPr>
      <w:r>
        <w:rPr>
          <w:rFonts w:hint="eastAsia" w:ascii="Calibri" w:hAnsi="Calibri" w:eastAsia="仿宋_GB2312" w:cs="Times New Roman"/>
          <w:sz w:val="32"/>
          <w:szCs w:val="32"/>
          <w:lang w:val="en-US" w:eastAsia="zh-CN"/>
        </w:rPr>
        <w:t>目标3：按文件规定和要求按时足额发放基本养老保险金。　</w:t>
      </w:r>
    </w:p>
    <w:p>
      <w:pPr>
        <w:numPr>
          <w:ilvl w:val="0"/>
          <w:numId w:val="2"/>
        </w:numPr>
        <w:adjustRightInd w:val="0"/>
        <w:snapToGrid w:val="0"/>
        <w:spacing w:line="600" w:lineRule="exact"/>
        <w:ind w:firstLine="640" w:firstLineChars="200"/>
        <w:rPr>
          <w:rFonts w:hint="eastAsia" w:ascii="Calibri" w:hAnsi="Calibri" w:eastAsia="黑体" w:cs="Times New Roman"/>
          <w:sz w:val="32"/>
          <w:szCs w:val="32"/>
        </w:rPr>
      </w:pPr>
      <w:r>
        <w:rPr>
          <w:rFonts w:hint="eastAsia" w:ascii="Calibri" w:hAnsi="Calibri" w:eastAsia="黑体" w:cs="Times New Roman"/>
          <w:sz w:val="32"/>
          <w:szCs w:val="32"/>
        </w:rPr>
        <w:t>一般公共预算支出情况</w:t>
      </w:r>
    </w:p>
    <w:p>
      <w:pPr>
        <w:numPr>
          <w:ilvl w:val="0"/>
          <w:numId w:val="0"/>
        </w:numPr>
        <w:adjustRightInd w:val="0"/>
        <w:snapToGrid w:val="0"/>
        <w:spacing w:line="600" w:lineRule="exact"/>
        <w:ind w:firstLine="640" w:firstLineChars="200"/>
        <w:rPr>
          <w:rFonts w:hint="eastAsia" w:ascii="Calibri" w:hAnsi="Calibri" w:eastAsia="仿宋_GB2312" w:cs="Times New Roman"/>
          <w:sz w:val="32"/>
          <w:szCs w:val="32"/>
          <w:lang w:val="en-US" w:eastAsia="zh-CN"/>
        </w:rPr>
      </w:pPr>
      <w:r>
        <w:rPr>
          <w:rFonts w:hint="eastAsia" w:ascii="Calibri" w:hAnsi="Calibri" w:eastAsia="仿宋_GB2312" w:cs="Times New Roman"/>
          <w:sz w:val="32"/>
          <w:szCs w:val="32"/>
          <w:lang w:val="en-US" w:eastAsia="zh-CN"/>
        </w:rPr>
        <w:t>2025年我部门一般公共预算支出3589.79万元。</w:t>
      </w:r>
    </w:p>
    <w:p>
      <w:pPr>
        <w:ind w:firstLine="640" w:firstLineChars="200"/>
        <w:rPr>
          <w:rFonts w:hint="eastAsia" w:ascii="Calibri" w:hAnsi="Calibri" w:eastAsia="仿宋_GB2312" w:cs="Times New Roman"/>
          <w:sz w:val="32"/>
          <w:szCs w:val="32"/>
          <w:lang w:val="en-US" w:eastAsia="zh-CN"/>
        </w:rPr>
      </w:pPr>
      <w:r>
        <w:rPr>
          <w:rFonts w:hint="eastAsia" w:ascii="Calibri" w:hAnsi="Calibri" w:eastAsia="仿宋_GB2312" w:cs="Times New Roman"/>
          <w:sz w:val="32"/>
          <w:szCs w:val="32"/>
          <w:lang w:val="en-US" w:eastAsia="zh-CN"/>
        </w:rPr>
        <w:t>（一）基本支出情况</w:t>
      </w:r>
    </w:p>
    <w:p>
      <w:pPr>
        <w:numPr>
          <w:ilvl w:val="0"/>
          <w:numId w:val="0"/>
        </w:numPr>
        <w:ind w:firstLine="640" w:firstLineChars="200"/>
        <w:rPr>
          <w:rFonts w:hint="eastAsia" w:ascii="Calibri" w:hAnsi="Calibri" w:eastAsia="仿宋_GB2312" w:cs="Times New Roman"/>
          <w:sz w:val="32"/>
          <w:szCs w:val="32"/>
          <w:lang w:val="en-US" w:eastAsia="zh-CN"/>
        </w:rPr>
      </w:pPr>
      <w:r>
        <w:rPr>
          <w:rFonts w:hint="eastAsia" w:ascii="Calibri" w:hAnsi="Calibri" w:eastAsia="仿宋_GB2312" w:cs="Times New Roman"/>
          <w:sz w:val="32"/>
          <w:szCs w:val="32"/>
          <w:lang w:val="en-US" w:eastAsia="zh-CN"/>
        </w:rPr>
        <w:t>基本支出327.91万元。其中：工资福利支出277.41万元，一般商品和服务支出50.5万元。</w:t>
      </w:r>
    </w:p>
    <w:p>
      <w:pPr>
        <w:ind w:firstLine="640" w:firstLineChars="200"/>
        <w:rPr>
          <w:rFonts w:hint="default" w:ascii="Calibri" w:hAnsi="Calibri" w:eastAsia="仿宋_GB2312" w:cs="Times New Roman"/>
          <w:sz w:val="32"/>
          <w:szCs w:val="32"/>
          <w:lang w:val="en-US" w:eastAsia="zh-CN"/>
        </w:rPr>
      </w:pPr>
      <w:r>
        <w:rPr>
          <w:rFonts w:hint="eastAsia" w:ascii="Calibri" w:hAnsi="Calibri" w:eastAsia="仿宋_GB2312" w:cs="Times New Roman"/>
          <w:sz w:val="32"/>
          <w:szCs w:val="32"/>
          <w:lang w:val="en-US" w:eastAsia="zh-CN"/>
        </w:rPr>
        <w:t>1、工资福利支出277.41万元。其中：基本工资107.2万元、津贴补贴56.65万元、奖金26.21万元、绩效工资31.29万元、养老保险缴费36.24万元、医疗保险缴费19.82万元。</w:t>
      </w:r>
    </w:p>
    <w:p>
      <w:pPr>
        <w:ind w:firstLine="640" w:firstLineChars="200"/>
        <w:rPr>
          <w:rFonts w:hint="default" w:ascii="Calibri" w:hAnsi="Calibri" w:eastAsia="仿宋_GB2312" w:cs="Times New Roman"/>
          <w:sz w:val="32"/>
          <w:szCs w:val="32"/>
          <w:lang w:val="en-US" w:eastAsia="zh-CN"/>
        </w:rPr>
      </w:pPr>
      <w:r>
        <w:rPr>
          <w:rFonts w:hint="eastAsia" w:ascii="Calibri" w:hAnsi="Calibri" w:eastAsia="仿宋_GB2312" w:cs="Times New Roman"/>
          <w:sz w:val="32"/>
          <w:szCs w:val="32"/>
          <w:lang w:val="en-US" w:eastAsia="zh-CN"/>
        </w:rPr>
        <w:t>2、一般商品和服务支出50.5万元。其中：办公费6.5万元、印刷费11.4万元、电费2.9、差旅费1.5万元、会议费1万元、工会经费4.9万元、福利费8.38、其他交通费用6.6万元、其他商品服务支出7.32万元。</w:t>
      </w:r>
    </w:p>
    <w:p>
      <w:pPr>
        <w:ind w:firstLine="640" w:firstLineChars="200"/>
        <w:rPr>
          <w:rFonts w:hint="eastAsia" w:ascii="Calibri" w:hAnsi="Calibri" w:eastAsia="仿宋_GB2312" w:cs="Times New Roman"/>
          <w:sz w:val="32"/>
          <w:szCs w:val="32"/>
          <w:lang w:val="en-US" w:eastAsia="zh-CN"/>
        </w:rPr>
      </w:pPr>
      <w:r>
        <w:rPr>
          <w:rFonts w:hint="eastAsia" w:ascii="Calibri" w:hAnsi="Calibri" w:eastAsia="仿宋_GB2312" w:cs="Times New Roman"/>
          <w:sz w:val="32"/>
          <w:szCs w:val="32"/>
          <w:lang w:val="en-US" w:eastAsia="zh-CN"/>
        </w:rPr>
        <w:t>（二）项目支出情况</w:t>
      </w:r>
    </w:p>
    <w:p>
      <w:pPr>
        <w:ind w:firstLine="640" w:firstLineChars="200"/>
        <w:rPr>
          <w:rFonts w:hint="eastAsia" w:ascii="Calibri" w:hAnsi="Calibri" w:eastAsia="仿宋_GB2312" w:cs="Times New Roman"/>
          <w:sz w:val="32"/>
          <w:szCs w:val="32"/>
          <w:lang w:val="en-US" w:eastAsia="zh-CN"/>
        </w:rPr>
      </w:pPr>
      <w:r>
        <w:rPr>
          <w:rFonts w:hint="eastAsia" w:ascii="Calibri" w:hAnsi="Calibri" w:eastAsia="仿宋_GB2312" w:cs="Times New Roman"/>
          <w:sz w:val="32"/>
          <w:szCs w:val="32"/>
          <w:lang w:val="en-US" w:eastAsia="zh-CN"/>
        </w:rPr>
        <w:t>项目支出3261.88万元。</w:t>
      </w:r>
    </w:p>
    <w:p>
      <w:pPr>
        <w:ind w:firstLine="640" w:firstLineChars="200"/>
        <w:rPr>
          <w:rFonts w:hint="default" w:ascii="Calibri" w:hAnsi="Calibri" w:eastAsia="仿宋_GB2312" w:cs="Times New Roman"/>
          <w:sz w:val="32"/>
          <w:szCs w:val="32"/>
          <w:lang w:val="en-US" w:eastAsia="zh-CN"/>
        </w:rPr>
      </w:pPr>
      <w:r>
        <w:rPr>
          <w:rFonts w:hint="eastAsia" w:ascii="Calibri" w:hAnsi="Calibri" w:eastAsia="仿宋_GB2312" w:cs="Times New Roman"/>
          <w:sz w:val="32"/>
          <w:szCs w:val="32"/>
          <w:lang w:val="en-US" w:eastAsia="zh-CN"/>
        </w:rPr>
        <w:t>2025年度专项资金3261.88万元，其中：财政对机关事业单位职业年金的补助3200万元，用于机关事业单位职业年金虚账纪实；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城乡居保资格认证考核经费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3.72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万元，主要用于对各乡镇待遇人员资格认证工作的考核；离休干部遗孀生活补助等三个项目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13.08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万元，主要用于发放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企业职工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离休干部遗孀生活补助、建国前参加工作老工人生活补贴、因工死亡家属抚恤金；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机关代发离退休费31.08万元，主要用于发放行政事业单位离退休人员生活补助；城乡居保资格认证考核经费14万元，主要用于开展城乡居民养老保险待遇领取资格认证工作。</w:t>
      </w:r>
    </w:p>
    <w:p>
      <w:pPr>
        <w:numPr>
          <w:ilvl w:val="0"/>
          <w:numId w:val="2"/>
        </w:numPr>
        <w:adjustRightInd w:val="0"/>
        <w:snapToGrid w:val="0"/>
        <w:spacing w:line="600" w:lineRule="exact"/>
        <w:ind w:firstLine="640" w:firstLineChars="200"/>
        <w:rPr>
          <w:rFonts w:hint="eastAsia" w:ascii="Calibri" w:hAnsi="Calibri" w:eastAsia="黑体" w:cs="Times New Roman"/>
          <w:sz w:val="32"/>
          <w:szCs w:val="32"/>
          <w:lang w:val="en-US" w:eastAsia="zh-CN"/>
        </w:rPr>
      </w:pPr>
      <w:r>
        <w:rPr>
          <w:rFonts w:hint="eastAsia" w:ascii="Calibri" w:hAnsi="Calibri" w:eastAsia="黑体" w:cs="Times New Roman"/>
          <w:sz w:val="32"/>
          <w:szCs w:val="32"/>
          <w:lang w:val="en-US" w:eastAsia="zh-CN"/>
        </w:rPr>
        <w:t>政府性基金预算支出情况</w:t>
      </w:r>
    </w:p>
    <w:p>
      <w:pPr>
        <w:numPr>
          <w:ilvl w:val="0"/>
          <w:numId w:val="0"/>
        </w:numPr>
        <w:ind w:leftChars="200"/>
        <w:rPr>
          <w:rFonts w:hint="eastAsia" w:ascii="Calibri" w:hAnsi="Calibri" w:eastAsia="仿宋_GB2312" w:cs="Times New Roman"/>
          <w:sz w:val="32"/>
          <w:szCs w:val="32"/>
          <w:lang w:val="en-US" w:eastAsia="zh-CN"/>
        </w:rPr>
      </w:pPr>
      <w:r>
        <w:rPr>
          <w:rFonts w:hint="eastAsia" w:ascii="Calibri" w:hAnsi="Calibri" w:eastAsia="仿宋_GB2312" w:cs="Times New Roman"/>
          <w:sz w:val="32"/>
          <w:szCs w:val="32"/>
          <w:lang w:val="en-US" w:eastAsia="zh-CN"/>
        </w:rPr>
        <w:t xml:space="preserve"> 2025年度本单位无政府性基金预算支出。</w:t>
      </w:r>
    </w:p>
    <w:p>
      <w:pPr>
        <w:numPr>
          <w:ilvl w:val="0"/>
          <w:numId w:val="2"/>
        </w:numPr>
        <w:adjustRightInd w:val="0"/>
        <w:snapToGrid w:val="0"/>
        <w:spacing w:line="600" w:lineRule="exact"/>
        <w:ind w:firstLine="640" w:firstLineChars="200"/>
        <w:rPr>
          <w:rFonts w:hint="default" w:ascii="Calibri" w:hAnsi="Calibri" w:eastAsia="黑体" w:cs="Times New Roman"/>
          <w:sz w:val="32"/>
          <w:szCs w:val="32"/>
          <w:lang w:val="en-US" w:eastAsia="zh-CN"/>
        </w:rPr>
      </w:pPr>
      <w:r>
        <w:rPr>
          <w:rFonts w:hint="default" w:ascii="Calibri" w:hAnsi="Calibri" w:eastAsia="黑体" w:cs="Times New Roman"/>
          <w:sz w:val="32"/>
          <w:szCs w:val="32"/>
          <w:lang w:val="en-US" w:eastAsia="zh-CN"/>
        </w:rPr>
        <w:t>国有资本经营预算支出情况</w:t>
      </w:r>
    </w:p>
    <w:p>
      <w:pPr>
        <w:numPr>
          <w:ilvl w:val="0"/>
          <w:numId w:val="0"/>
        </w:numPr>
        <w:ind w:firstLine="640" w:firstLineChars="200"/>
        <w:rPr>
          <w:rFonts w:hint="default" w:ascii="Calibri" w:hAnsi="Calibri" w:eastAsia="仿宋_GB2312" w:cs="Times New Roman"/>
          <w:sz w:val="32"/>
          <w:szCs w:val="32"/>
          <w:lang w:val="en-US" w:eastAsia="zh-CN"/>
        </w:rPr>
      </w:pPr>
      <w:r>
        <w:rPr>
          <w:rFonts w:hint="eastAsia" w:ascii="Calibri" w:hAnsi="Calibri" w:eastAsia="仿宋_GB2312" w:cs="Times New Roman"/>
          <w:sz w:val="32"/>
          <w:szCs w:val="32"/>
          <w:lang w:val="en-US" w:eastAsia="zh-CN"/>
        </w:rPr>
        <w:t>2025年度本单位无国有资本经营预算支出。</w:t>
      </w:r>
    </w:p>
    <w:p>
      <w:pPr>
        <w:numPr>
          <w:ilvl w:val="0"/>
          <w:numId w:val="2"/>
        </w:numPr>
        <w:adjustRightInd w:val="0"/>
        <w:snapToGrid w:val="0"/>
        <w:spacing w:line="600" w:lineRule="exact"/>
        <w:ind w:firstLine="640" w:firstLineChars="200"/>
        <w:rPr>
          <w:rFonts w:hint="eastAsia" w:ascii="Calibri" w:hAnsi="Calibri" w:eastAsia="黑体" w:cs="Times New Roman"/>
          <w:sz w:val="32"/>
          <w:szCs w:val="32"/>
          <w:lang w:val="en-US" w:eastAsia="zh-CN"/>
        </w:rPr>
      </w:pPr>
      <w:r>
        <w:rPr>
          <w:rFonts w:hint="eastAsia" w:ascii="Calibri" w:hAnsi="Calibri" w:eastAsia="黑体" w:cs="Times New Roman"/>
          <w:sz w:val="32"/>
          <w:szCs w:val="32"/>
          <w:lang w:val="en-US" w:eastAsia="zh-CN"/>
        </w:rPr>
        <w:t>社会保险基金预算支出情况</w:t>
      </w:r>
    </w:p>
    <w:p>
      <w:pPr>
        <w:numPr>
          <w:ilvl w:val="0"/>
          <w:numId w:val="0"/>
        </w:numPr>
        <w:ind w:firstLine="640" w:firstLineChars="200"/>
        <w:rPr>
          <w:rFonts w:hint="default" w:ascii="Calibri" w:hAnsi="Calibri" w:eastAsia="仿宋_GB2312" w:cs="Times New Roman"/>
          <w:sz w:val="32"/>
          <w:szCs w:val="32"/>
          <w:lang w:val="en-US" w:eastAsia="zh-CN"/>
        </w:rPr>
      </w:pPr>
      <w:r>
        <w:rPr>
          <w:rFonts w:hint="eastAsia" w:ascii="Calibri" w:hAnsi="Calibri" w:eastAsia="仿宋_GB2312" w:cs="Times New Roman"/>
          <w:sz w:val="32"/>
          <w:szCs w:val="32"/>
          <w:lang w:val="en-US" w:eastAsia="zh-CN"/>
        </w:rPr>
        <w:t>2025年度本单位无社会保险基金预算支出。</w:t>
      </w:r>
    </w:p>
    <w:p>
      <w:pPr>
        <w:numPr>
          <w:ilvl w:val="0"/>
          <w:numId w:val="2"/>
        </w:numPr>
        <w:adjustRightInd w:val="0"/>
        <w:snapToGrid w:val="0"/>
        <w:spacing w:line="600" w:lineRule="exact"/>
        <w:ind w:firstLine="640" w:firstLineChars="200"/>
        <w:rPr>
          <w:rFonts w:hint="eastAsia" w:ascii="Calibri" w:hAnsi="Calibri" w:eastAsia="黑体" w:cs="Times New Roman"/>
          <w:sz w:val="32"/>
          <w:szCs w:val="32"/>
          <w:lang w:val="en-US" w:eastAsia="zh-CN"/>
        </w:rPr>
      </w:pPr>
      <w:r>
        <w:rPr>
          <w:rFonts w:hint="eastAsia" w:ascii="Calibri" w:hAnsi="Calibri" w:eastAsia="黑体" w:cs="Times New Roman"/>
          <w:sz w:val="32"/>
          <w:szCs w:val="32"/>
          <w:lang w:val="en-US" w:eastAsia="zh-CN"/>
        </w:rPr>
        <w:t>部门整体支出绩效情况</w:t>
      </w:r>
    </w:p>
    <w:p>
      <w:pPr>
        <w:adjustRightInd w:val="0"/>
        <w:snapToGrid w:val="0"/>
        <w:spacing w:line="600" w:lineRule="exact"/>
        <w:ind w:firstLine="640" w:firstLineChars="200"/>
        <w:rPr>
          <w:rFonts w:hint="default" w:ascii="Calibri" w:hAnsi="Calibri" w:eastAsia="仿宋_GB2312" w:cs="Times New Roman"/>
          <w:sz w:val="32"/>
          <w:szCs w:val="32"/>
          <w:lang w:val="en-US" w:eastAsia="zh-CN"/>
        </w:rPr>
      </w:pPr>
      <w:r>
        <w:rPr>
          <w:rFonts w:hint="eastAsia" w:ascii="Calibri" w:hAnsi="Calibri" w:eastAsia="仿宋_GB2312" w:cs="Times New Roman"/>
          <w:sz w:val="32"/>
          <w:szCs w:val="32"/>
          <w:lang w:eastAsia="zh-CN"/>
        </w:rPr>
        <w:t>202</w:t>
      </w:r>
      <w:r>
        <w:rPr>
          <w:rFonts w:hint="eastAsia" w:ascii="Calibri" w:hAnsi="Calibri" w:eastAsia="仿宋_GB2312" w:cs="Times New Roman"/>
          <w:sz w:val="32"/>
          <w:szCs w:val="32"/>
          <w:lang w:val="en-US" w:eastAsia="zh-CN"/>
        </w:rPr>
        <w:t>5</w:t>
      </w:r>
      <w:r>
        <w:rPr>
          <w:rFonts w:hint="eastAsia" w:ascii="Calibri" w:hAnsi="Calibri" w:eastAsia="仿宋_GB2312" w:cs="Times New Roman"/>
          <w:sz w:val="32"/>
          <w:szCs w:val="32"/>
          <w:lang w:eastAsia="zh-CN"/>
        </w:rPr>
        <w:t>年度，道县</w:t>
      </w:r>
      <w:r>
        <w:rPr>
          <w:rFonts w:hint="eastAsia" w:ascii="Calibri" w:hAnsi="Calibri" w:eastAsia="仿宋_GB2312" w:cs="Times New Roman"/>
          <w:sz w:val="32"/>
          <w:szCs w:val="32"/>
          <w:lang w:val="en-US" w:eastAsia="zh-CN"/>
        </w:rPr>
        <w:t>社会保险服务中心</w:t>
      </w:r>
      <w:r>
        <w:rPr>
          <w:rFonts w:hint="eastAsia" w:ascii="Calibri" w:hAnsi="Calibri" w:eastAsia="仿宋_GB2312" w:cs="Times New Roman"/>
          <w:sz w:val="32"/>
          <w:szCs w:val="32"/>
          <w:lang w:eastAsia="zh-CN"/>
        </w:rPr>
        <w:t>做好了各项工作，圆满地完成了上级下达的各项工作任务，</w:t>
      </w:r>
      <w:r>
        <w:rPr>
          <w:rFonts w:hint="eastAsia" w:ascii="Calibri" w:hAnsi="Calibri" w:eastAsia="仿宋_GB2312" w:cs="Times New Roman"/>
          <w:sz w:val="32"/>
          <w:szCs w:val="32"/>
          <w:lang w:val="en-US" w:eastAsia="zh-CN"/>
        </w:rPr>
        <w:t>特别是及时足额发放了养老金，2025年度发放养老金14.38万人，发放金额13.74亿元，退休人员基本养老金按时足额发放到位率100%，社会保险制度更加公平可持续效益显著，社会公众对相关工作的满意度达到90%，</w:t>
      </w:r>
      <w:r>
        <w:rPr>
          <w:rFonts w:hint="eastAsia" w:ascii="Calibri" w:hAnsi="Calibri" w:eastAsia="仿宋_GB2312" w:cs="Times New Roman"/>
          <w:sz w:val="32"/>
          <w:szCs w:val="32"/>
          <w:lang w:eastAsia="zh-CN"/>
        </w:rPr>
        <w:t>确保了社会大局稳定，促进了社会进步。</w:t>
      </w:r>
    </w:p>
    <w:p>
      <w:pPr>
        <w:numPr>
          <w:ilvl w:val="0"/>
          <w:numId w:val="2"/>
        </w:numPr>
        <w:adjustRightInd w:val="0"/>
        <w:snapToGrid w:val="0"/>
        <w:spacing w:line="600" w:lineRule="exact"/>
        <w:ind w:left="0" w:leftChars="0" w:firstLine="640" w:firstLineChars="200"/>
        <w:rPr>
          <w:rFonts w:hint="eastAsia" w:ascii="黑体" w:hAnsi="Calibri" w:eastAsia="黑体" w:cs="Times New Roman"/>
          <w:sz w:val="32"/>
          <w:szCs w:val="32"/>
        </w:rPr>
      </w:pPr>
      <w:r>
        <w:rPr>
          <w:rFonts w:hint="eastAsia" w:ascii="黑体" w:hAnsi="Calibri" w:eastAsia="黑体" w:cs="Times New Roman"/>
          <w:sz w:val="32"/>
          <w:szCs w:val="32"/>
        </w:rPr>
        <w:t>存在的问题及原因分析</w:t>
      </w:r>
    </w:p>
    <w:p>
      <w:pPr>
        <w:numPr>
          <w:ilvl w:val="0"/>
          <w:numId w:val="0"/>
        </w:numPr>
        <w:adjustRightInd w:val="0"/>
        <w:snapToGrid w:val="0"/>
        <w:spacing w:line="600" w:lineRule="exact"/>
        <w:ind w:firstLine="640" w:firstLineChars="200"/>
        <w:rPr>
          <w:rFonts w:hint="default" w:ascii="黑体" w:hAnsi="Calibri" w:eastAsia="黑体" w:cs="Times New Roman"/>
          <w:sz w:val="32"/>
          <w:szCs w:val="32"/>
          <w:lang w:val="en-US" w:eastAsia="zh-CN"/>
        </w:rPr>
      </w:pPr>
      <w:r>
        <w:rPr>
          <w:rFonts w:hint="eastAsia" w:ascii="Calibri" w:hAnsi="Calibri" w:eastAsia="仿宋_GB2312" w:cs="Times New Roman"/>
          <w:sz w:val="32"/>
          <w:szCs w:val="32"/>
          <w:lang w:val="en-US" w:eastAsia="zh-CN"/>
        </w:rPr>
        <w:t>存在的问题是社会公众对相关工作的满意度刚达到年度指标值，还有进步的空间。</w:t>
      </w:r>
    </w:p>
    <w:p>
      <w:pPr>
        <w:numPr>
          <w:ilvl w:val="0"/>
          <w:numId w:val="2"/>
        </w:numPr>
        <w:adjustRightInd w:val="0"/>
        <w:snapToGrid w:val="0"/>
        <w:spacing w:line="600" w:lineRule="exact"/>
        <w:ind w:left="0" w:leftChars="0" w:firstLine="640" w:firstLineChars="200"/>
        <w:rPr>
          <w:rFonts w:hint="eastAsia" w:ascii="Calibri" w:hAnsi="Calibri" w:eastAsia="黑体" w:cs="Times New Roman"/>
          <w:sz w:val="32"/>
          <w:szCs w:val="32"/>
        </w:rPr>
      </w:pPr>
      <w:r>
        <w:rPr>
          <w:rFonts w:hint="eastAsia" w:ascii="Calibri" w:hAnsi="Calibri" w:eastAsia="黑体" w:cs="Times New Roman"/>
          <w:sz w:val="32"/>
          <w:szCs w:val="32"/>
        </w:rPr>
        <w:t>下一步改进措施</w:t>
      </w:r>
    </w:p>
    <w:p>
      <w:pPr>
        <w:numPr>
          <w:ilvl w:val="0"/>
          <w:numId w:val="0"/>
        </w:numPr>
        <w:adjustRightInd w:val="0"/>
        <w:snapToGrid w:val="0"/>
        <w:spacing w:line="600" w:lineRule="exact"/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0"/>
          <w:sz w:val="32"/>
          <w:szCs w:val="32"/>
          <w:lang w:val="en-US" w:eastAsia="zh-CN"/>
        </w:rPr>
        <w:t>改进措施是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0"/>
          <w:sz w:val="32"/>
          <w:szCs w:val="32"/>
        </w:rPr>
        <w:t>加强队伍建设，抓好绩效评价管理部门的队伍建设和业务指导，建立绩效评价的长期机制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在现在的基础上继续提高参保率和社会群众满意度。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9D283B5"/>
    <w:multiLevelType w:val="singleLevel"/>
    <w:tmpl w:val="09D283B5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3475B6DD"/>
    <w:multiLevelType w:val="singleLevel"/>
    <w:tmpl w:val="3475B6DD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U5ZWU0YzczYzJkMDE3YjZmMDc5NDdmMGMyNzhjNDYifQ=="/>
  </w:docVars>
  <w:rsids>
    <w:rsidRoot w:val="29EA4041"/>
    <w:rsid w:val="29EA4041"/>
    <w:rsid w:val="68E27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1159</Words>
  <Characters>1295</Characters>
  <Lines>0</Lines>
  <Paragraphs>0</Paragraphs>
  <TotalTime>0</TotalTime>
  <ScaleCrop>false</ScaleCrop>
  <LinksUpToDate>false</LinksUpToDate>
  <CharactersWithSpaces>1303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2026-09-10T02:26:00Z</dcterms:created>
  <dc:creator>肋11</dc:creator>
  <cp:lastModifiedBy>水蜜桃</cp:lastModifiedBy>
  <dcterms:modified xsi:type="dcterms:W3CDTF">2026-09-14T01:52:22Z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76FEBE7F2E6E4AC2A51F8630E117997E_11</vt:lpwstr>
  </property>
  <property fmtid="{D5CDD505-2E9C-101B-9397-08002B2CF9AE}" pid="4" name="KSOTemplateDocerSaveRecord">
    <vt:lpwstr>eyJoZGlkIjoiZjZiZWFjM2EzZmNiYzVkOWRkMzgyMzFjZTNhZmJjMjciLCJ1c2VySWQiOiIyOTc0MjEwOTgifQ==</vt:lpwstr>
  </property>
</Properties>
</file>