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lang w:val="en-US"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val="en-US" w:eastAsia="zh-CN"/>
        </w:rPr>
        <w:t>道县住房保障服务中心</w:t>
      </w:r>
    </w:p>
    <w:p>
      <w:pPr>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pStyle w:val="2"/>
        <w:rPr>
          <w:rFonts w:hint="eastAsia"/>
        </w:rPr>
      </w:pPr>
    </w:p>
    <w:p>
      <w:pPr>
        <w:spacing w:line="570" w:lineRule="exact"/>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pPr>
        <w:ind w:firstLine="800" w:firstLineChars="250"/>
        <w:jc w:val="left"/>
        <w:rPr>
          <w:rFonts w:hint="eastAsia" w:ascii="仿宋_GB2312" w:hAnsi="仿宋" w:eastAsia="仿宋_GB2312"/>
          <w:sz w:val="32"/>
          <w:szCs w:val="32"/>
          <w:highlight w:val="none"/>
        </w:rPr>
      </w:pPr>
      <w:r>
        <w:rPr>
          <w:rFonts w:hint="eastAsia" w:ascii="仿宋_GB2312" w:hAnsi="仿宋" w:eastAsia="仿宋_GB2312"/>
          <w:sz w:val="32"/>
          <w:szCs w:val="32"/>
          <w:highlight w:val="none"/>
        </w:rPr>
        <w:t>1．主要职能</w:t>
      </w:r>
      <w:r>
        <w:rPr>
          <w:rFonts w:hint="eastAsia" w:ascii="仿宋_GB2312" w:hAnsi="仿宋" w:eastAsia="仿宋_GB2312"/>
          <w:sz w:val="32"/>
          <w:szCs w:val="32"/>
          <w:highlight w:val="none"/>
          <w:lang w:eastAsia="zh-CN"/>
        </w:rPr>
        <w:t>：</w:t>
      </w:r>
      <w:r>
        <w:rPr>
          <w:rFonts w:hint="eastAsia" w:ascii="仿宋_GB2312" w:hAnsi="仿宋_GB2312" w:eastAsia="仿宋_GB2312" w:cs="仿宋_GB2312"/>
          <w:color w:val="000000"/>
          <w:sz w:val="32"/>
          <w:szCs w:val="32"/>
          <w:shd w:val="clear" w:color="auto" w:fill="FFFFFF"/>
        </w:rPr>
        <w:t>贯彻执行中央、省、市、县有关住房保障工作的法律法规、政策方针和文件规定；承担县城区棚户区改造相关服务性工作；承担县城区国家直管公房的管理、维修和经营工作以及房屋租赁登记备案工作；协助主管部门开展县城区房屋专项维修资金的归集与使用管理；承担县城区房屋的白蚁预防和灭治服务工作；负责全县房地产市场信息资源的开发、应用和公众服务工作；承担房地产信息采集、信息分析、信息发布及信息数据库的建设、维护和管理，会同有关部门建立房地产市场预警预报体系；承担房地产市场有关服务性工作；承办县住建局交办的其他相关事项。</w:t>
      </w:r>
    </w:p>
    <w:p>
      <w:pPr>
        <w:spacing w:line="570" w:lineRule="atLeas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2．机构情况</w:t>
      </w:r>
      <w:r>
        <w:rPr>
          <w:rFonts w:hint="eastAsia" w:ascii="仿宋_GB2312" w:hAnsi="仿宋" w:eastAsia="仿宋_GB2312"/>
          <w:sz w:val="32"/>
          <w:szCs w:val="32"/>
          <w:highlight w:val="none"/>
          <w:lang w:eastAsia="zh-CN"/>
        </w:rPr>
        <w:t>：</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单位内设机构包括：</w:t>
      </w:r>
      <w:r>
        <w:rPr>
          <w:rFonts w:hint="eastAsia" w:ascii="仿宋_GB2312" w:hAnsi="仿宋_GB2312" w:eastAsia="仿宋_GB2312" w:cs="仿宋_GB2312"/>
          <w:color w:val="000000"/>
          <w:sz w:val="32"/>
          <w:szCs w:val="32"/>
          <w:shd w:val="clear" w:color="auto" w:fill="FFFFFF"/>
        </w:rPr>
        <w:t>办公室、财务室、保障性住房服务室、棚户区改造服务室、市场服务室。所属事业单位4个，分别是县白蚁防治所、县房屋维修资金事务中心、县物业管理服务所、县房屋租赁服务所。</w:t>
      </w:r>
    </w:p>
    <w:p>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3．人员情况，</w:t>
      </w:r>
      <w:r>
        <w:rPr>
          <w:rFonts w:hint="eastAsia" w:ascii="仿宋_GB2312" w:hAnsi="仿宋" w:eastAsia="仿宋_GB2312"/>
          <w:sz w:val="32"/>
          <w:szCs w:val="32"/>
          <w:highlight w:val="none"/>
          <w:lang w:val="en-US" w:eastAsia="zh-CN"/>
        </w:rPr>
        <w:t>本年度末在职38人。</w:t>
      </w:r>
    </w:p>
    <w:p>
      <w:pPr>
        <w:numPr>
          <w:ilvl w:val="0"/>
          <w:numId w:val="1"/>
        </w:num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pPr>
        <w:snapToGrid w:val="0"/>
        <w:spacing w:line="52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2025年，整体支出669.58万元</w:t>
      </w:r>
      <w:r>
        <w:rPr>
          <w:rFonts w:hint="eastAsia" w:ascii="仿宋_GB2312" w:hAnsi="仿宋_GB2312" w:eastAsia="仿宋_GB2312"/>
          <w:sz w:val="32"/>
          <w:lang w:val="en-US" w:eastAsia="zh-CN"/>
        </w:rPr>
        <w:t>。一</w:t>
      </w:r>
      <w:r>
        <w:rPr>
          <w:rFonts w:hint="eastAsia" w:eastAsia="仿宋_GB2312"/>
          <w:color w:val="000000"/>
          <w:sz w:val="32"/>
          <w:szCs w:val="32"/>
          <w:lang w:val="en-US" w:eastAsia="zh-CN"/>
        </w:rPr>
        <w:t>般公共预算财政拨款支出</w:t>
      </w:r>
      <w:r>
        <w:rPr>
          <w:rFonts w:hint="eastAsia" w:ascii="仿宋_GB2312" w:hAnsi="仿宋_GB2312" w:eastAsia="仿宋_GB2312"/>
          <w:sz w:val="32"/>
          <w:lang w:val="en-US" w:eastAsia="zh-CN"/>
        </w:rPr>
        <w:t>661.98万元，</w:t>
      </w:r>
      <w:r>
        <w:rPr>
          <w:rFonts w:hint="eastAsia" w:eastAsia="仿宋_GB2312"/>
          <w:color w:val="000000"/>
          <w:sz w:val="32"/>
          <w:szCs w:val="32"/>
          <w:lang w:val="en-US" w:eastAsia="zh-CN"/>
        </w:rPr>
        <w:t>政府性基金预算支出7.6万元。年初预算733.49万元，决算收入为669.58万元。与收入预算相比减少63.91万元，收入预算完成率91.29%。其中基本支出494.55万元，项目支出167.43</w:t>
      </w:r>
      <w:r>
        <w:rPr>
          <w:rFonts w:hint="eastAsia" w:ascii="仿宋_GB2312" w:hAnsi="仿宋_GB2312" w:eastAsia="仿宋_GB2312" w:cs="仿宋_GB2312"/>
          <w:sz w:val="32"/>
          <w:lang w:val="en-US" w:eastAsia="zh-CN"/>
        </w:rPr>
        <w:t>万元</w:t>
      </w:r>
      <w:r>
        <w:rPr>
          <w:rFonts w:hint="eastAsia" w:ascii="仿宋_GB2312" w:hAnsi="仿宋_GB2312" w:eastAsia="仿宋_GB2312"/>
          <w:sz w:val="32"/>
          <w:lang w:val="en-US" w:eastAsia="zh-CN"/>
        </w:rPr>
        <w:t>。</w:t>
      </w:r>
      <w:r>
        <w:rPr>
          <w:rFonts w:hint="eastAsia" w:eastAsia="仿宋_GB2312"/>
          <w:color w:val="000000"/>
          <w:sz w:val="32"/>
          <w:szCs w:val="32"/>
          <w:lang w:val="en-US" w:eastAsia="zh-CN"/>
        </w:rPr>
        <w:t>三公”经费支出情况：本年度三公经费开支为0，与去年相比减少公务接待费2.5万元。</w:t>
      </w:r>
    </w:p>
    <w:p>
      <w:pPr>
        <w:pStyle w:val="9"/>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9"/>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（一）基本支出情况</w:t>
      </w:r>
      <w:r>
        <w:rPr>
          <w:rFonts w:hint="eastAsia" w:ascii="Times New Roman" w:hAnsi="Times New Roman" w:eastAsia="仿宋_GB2312"/>
          <w:sz w:val="32"/>
          <w:szCs w:val="32"/>
          <w:lang w:eastAsia="zh-CN"/>
        </w:rPr>
        <w:t>：</w:t>
      </w:r>
      <w:r>
        <w:rPr>
          <w:rFonts w:hint="eastAsia" w:ascii="仿宋_GB2312" w:hAnsi="仿宋_GB2312" w:eastAsia="仿宋_GB2312" w:cs="仿宋_GB2312"/>
          <w:sz w:val="32"/>
          <w:lang w:val="en-US" w:eastAsia="zh-CN"/>
        </w:rPr>
        <w:t>一般公共预算基本支出财政拨款收入</w:t>
      </w:r>
      <w:r>
        <w:rPr>
          <w:rFonts w:hint="eastAsia" w:ascii="仿宋_GB2312" w:eastAsia="仿宋_GB2312" w:cs="仿宋_GB2312"/>
          <w:sz w:val="32"/>
          <w:szCs w:val="32"/>
          <w:lang w:val="en-US" w:eastAsia="zh-CN"/>
        </w:rPr>
        <w:t>494.55</w:t>
      </w:r>
      <w:r>
        <w:rPr>
          <w:rFonts w:hint="eastAsia" w:ascii="仿宋_GB2312" w:hAnsi="仿宋_GB2312" w:eastAsia="仿宋_GB2312" w:cs="仿宋_GB2312"/>
          <w:sz w:val="32"/>
          <w:lang w:val="en-US" w:eastAsia="zh-CN"/>
        </w:rPr>
        <w:t>万元，占一般公共预算财政拨款收入的</w:t>
      </w:r>
      <w:r>
        <w:rPr>
          <w:rFonts w:hint="eastAsia" w:ascii="仿宋_GB2312" w:eastAsia="仿宋_GB2312" w:cs="仿宋_GB2312"/>
          <w:sz w:val="32"/>
          <w:szCs w:val="32"/>
          <w:lang w:val="en-US" w:eastAsia="zh-CN"/>
        </w:rPr>
        <w:t>74.7</w:t>
      </w:r>
      <w:r>
        <w:rPr>
          <w:rFonts w:eastAsia="Times New Roman"/>
          <w:sz w:val="32"/>
          <w:lang w:val="en-US" w:eastAsia="zh-CN"/>
        </w:rPr>
        <w:t>%</w:t>
      </w:r>
      <w:r>
        <w:rPr>
          <w:rFonts w:hint="eastAsia" w:ascii="仿宋_GB2312" w:hAnsi="仿宋_GB2312" w:eastAsia="仿宋_GB2312" w:cs="仿宋_GB2312"/>
          <w:sz w:val="32"/>
          <w:lang w:val="en-US" w:eastAsia="zh-CN"/>
        </w:rPr>
        <w:t>。其中人员经费开支</w:t>
      </w:r>
      <w:r>
        <w:rPr>
          <w:rFonts w:hint="eastAsia" w:ascii="仿宋_GB2312" w:hAnsi="仿宋" w:eastAsia="仿宋_GB2312"/>
          <w:sz w:val="32"/>
          <w:szCs w:val="32"/>
          <w:lang w:val="en-US" w:eastAsia="zh-CN"/>
        </w:rPr>
        <w:t>443.98万元，公用经费开支50.57万元。</w:t>
      </w:r>
    </w:p>
    <w:p>
      <w:pPr>
        <w:spacing w:line="570" w:lineRule="exact"/>
        <w:ind w:firstLine="640"/>
        <w:rPr>
          <w:rFonts w:hint="eastAsia" w:ascii="仿宋_GB2312" w:eastAsia="仿宋_GB2312" w:cs="仿宋_GB2312"/>
          <w:sz w:val="32"/>
          <w:szCs w:val="32"/>
          <w:lang w:val="en-US" w:eastAsia="zh-CN"/>
        </w:rPr>
      </w:pPr>
      <w:r>
        <w:rPr>
          <w:rFonts w:ascii="Times New Roman" w:hAnsi="Times New Roman" w:eastAsia="仿宋_GB2312"/>
          <w:sz w:val="32"/>
          <w:szCs w:val="32"/>
        </w:rPr>
        <w:t>（二）项目支出情况</w:t>
      </w:r>
      <w:r>
        <w:rPr>
          <w:rFonts w:hint="eastAsia" w:ascii="Times New Roman" w:hAnsi="Times New Roman" w:eastAsia="仿宋_GB2312"/>
          <w:sz w:val="32"/>
          <w:szCs w:val="32"/>
          <w:lang w:eastAsia="zh-CN"/>
        </w:rPr>
        <w:t>：</w:t>
      </w:r>
      <w:r>
        <w:rPr>
          <w:rFonts w:hint="eastAsia" w:ascii="仿宋_GB2312" w:eastAsia="仿宋_GB2312" w:cs="仿宋_GB2312"/>
          <w:sz w:val="32"/>
          <w:szCs w:val="32"/>
          <w:lang w:val="en-US" w:eastAsia="zh-CN"/>
        </w:rPr>
        <w:t>一般公共预算财政拨款项目支出为167.43万元。其中，白蚁防治费用23.5万元，机改人员开支15.2万元，化解退休人员待遇支出困难问题专项资金15万元，保障性住房工作经费6.3万元，保障房维修费、基础设施建设费及退还产权共有款70.6万元，国有资产盘活工作经费4万元，2025年中央财政城镇保障性安居工程补助资金20.41万元。遗属生活补助、抚恤金等费用12.42万元。</w:t>
      </w:r>
    </w:p>
    <w:p>
      <w:pPr>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p>
    <w:p>
      <w:pPr>
        <w:pStyle w:val="9"/>
        <w:spacing w:line="570" w:lineRule="exact"/>
        <w:ind w:firstLine="640"/>
        <w:rPr>
          <w:rFonts w:hint="eastAsia" w:ascii="Times New Roman" w:hAnsi="Times New Roman" w:eastAsia="仿宋_GB2312"/>
          <w:color w:val="000000"/>
          <w:sz w:val="32"/>
          <w:szCs w:val="32"/>
        </w:rPr>
      </w:pPr>
      <w:r>
        <w:rPr>
          <w:rFonts w:hint="eastAsia" w:eastAsia="仿宋_GB2312"/>
          <w:color w:val="000000"/>
          <w:sz w:val="32"/>
          <w:szCs w:val="32"/>
          <w:lang w:val="en-US" w:eastAsia="zh-CN"/>
        </w:rPr>
        <w:t>政府性基金</w:t>
      </w:r>
      <w:r>
        <w:rPr>
          <w:rFonts w:hint="eastAsia" w:ascii="仿宋_GB2312" w:hAnsi="Times New Roman" w:eastAsia="仿宋_GB2312" w:cs="仿宋_GB2312"/>
          <w:kern w:val="2"/>
          <w:sz w:val="32"/>
          <w:szCs w:val="32"/>
          <w:lang w:val="en-US" w:eastAsia="zh-CN" w:bidi="ar-SA"/>
        </w:rPr>
        <w:t>预算支出7.6万元，为其</w:t>
      </w:r>
      <w:r>
        <w:rPr>
          <w:rFonts w:hint="eastAsia" w:eastAsia="仿宋_GB2312"/>
          <w:color w:val="000000"/>
          <w:sz w:val="32"/>
          <w:szCs w:val="32"/>
          <w:lang w:val="en-US" w:eastAsia="zh-CN"/>
        </w:rPr>
        <w:t>他政府性基金债务收入安排的支出，用于偿还拖欠企业账款，公租房租金追缴法律服务费。</w:t>
      </w:r>
    </w:p>
    <w:p>
      <w:pPr>
        <w:pStyle w:val="9"/>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p>
    <w:p>
      <w:pPr>
        <w:pStyle w:val="9"/>
        <w:spacing w:line="570" w:lineRule="exact"/>
        <w:ind w:firstLine="64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pPr>
        <w:pStyle w:val="9"/>
        <w:numPr>
          <w:ilvl w:val="0"/>
          <w:numId w:val="2"/>
        </w:numPr>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9"/>
        <w:numPr>
          <w:ilvl w:val="0"/>
          <w:numId w:val="0"/>
        </w:numPr>
        <w:spacing w:line="570" w:lineRule="exact"/>
        <w:rPr>
          <w:rFonts w:hint="eastAsia" w:ascii="Times New Roman" w:hAnsi="Times New Roman" w:eastAsia="黑体"/>
          <w:sz w:val="32"/>
          <w:szCs w:val="32"/>
        </w:rPr>
      </w:pPr>
      <w:r>
        <w:rPr>
          <w:rFonts w:hint="eastAsia" w:ascii="Times New Roman" w:hAnsi="Times New Roman" w:eastAsia="仿宋_GB2312"/>
          <w:color w:val="000000"/>
          <w:sz w:val="32"/>
          <w:szCs w:val="32"/>
          <w:lang w:val="en-US" w:eastAsia="zh-CN"/>
        </w:rPr>
        <w:t xml:space="preserve">    </w:t>
      </w: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pPr>
        <w:spacing w:line="570" w:lineRule="exact"/>
        <w:ind w:firstLine="640" w:firstLineChars="200"/>
        <w:rPr>
          <w:rFonts w:eastAsia="黑体"/>
          <w:sz w:val="32"/>
          <w:szCs w:val="32"/>
        </w:rPr>
      </w:pPr>
      <w:r>
        <w:rPr>
          <w:rFonts w:eastAsia="黑体"/>
          <w:sz w:val="32"/>
          <w:szCs w:val="32"/>
        </w:rPr>
        <w:t>六、部门整体支出绩效情况</w:t>
      </w:r>
    </w:p>
    <w:p>
      <w:pPr>
        <w:numPr>
          <w:ilvl w:val="0"/>
          <w:numId w:val="0"/>
        </w:numPr>
        <w:adjustRightInd w:val="0"/>
        <w:snapToGrid w:val="0"/>
        <w:spacing w:line="600" w:lineRule="exac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（一）基本支出情况</w:t>
      </w:r>
    </w:p>
    <w:p>
      <w:pPr>
        <w:numPr>
          <w:ilvl w:val="0"/>
          <w:numId w:val="0"/>
        </w:numPr>
        <w:adjustRightInd w:val="0"/>
        <w:snapToGrid w:val="0"/>
        <w:spacing w:line="60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按照年初财政预算，我单位财务管理根据《会计法》及相关财经纪律，严格执行各项有关法律法规、财经纪律、财务规章制度，对保障性安居工程专项资金实行专账核算，专款专用，根据城镇保障性安居工程实施进度及时拨付资金，确保城镇保障性安居工程资金需要，切实提高资金使用效率。在财政资金极其紧张的情况下，我单位开源节流，保障了我单位职工工资的正常发放、五险两金的及时缴纳以及日常办公费用开支，保证了我单位的正常运转。</w:t>
      </w:r>
    </w:p>
    <w:p>
      <w:pPr>
        <w:widowControl w:val="0"/>
        <w:numPr>
          <w:ilvl w:val="0"/>
          <w:numId w:val="0"/>
        </w:numPr>
        <w:wordWrap/>
        <w:adjustRightInd/>
        <w:spacing w:before="0" w:after="0" w:line="360" w:lineRule="auto"/>
        <w:ind w:right="0"/>
        <w:jc w:val="both"/>
        <w:textAlignment w:val="auto"/>
        <w:outlineLvl w:val="9"/>
        <w:rPr>
          <w:rFonts w:hint="eastAsia" w:ascii="宋体" w:hAnsi="宋体" w:cs="宋体"/>
          <w:b/>
          <w:bCs/>
          <w:sz w:val="32"/>
          <w:szCs w:val="32"/>
          <w:lang w:val="en-US" w:eastAsia="zh-CN"/>
        </w:rPr>
      </w:pPr>
      <w:r>
        <w:rPr>
          <w:rFonts w:hint="eastAsia" w:ascii="宋体" w:hAnsi="宋体" w:cs="宋体"/>
          <w:b/>
          <w:bCs/>
          <w:sz w:val="32"/>
          <w:szCs w:val="32"/>
          <w:lang w:val="en-US" w:eastAsia="zh-CN"/>
        </w:rPr>
        <w:t>（二）</w:t>
      </w:r>
      <w:r>
        <w:rPr>
          <w:rFonts w:hint="eastAsia" w:ascii="宋体" w:hAnsi="宋体" w:eastAsia="宋体" w:cs="宋体"/>
          <w:b/>
          <w:bCs/>
          <w:sz w:val="32"/>
          <w:szCs w:val="32"/>
          <w:lang w:val="en-US" w:eastAsia="zh-CN"/>
        </w:rPr>
        <w:t>、</w:t>
      </w:r>
      <w:r>
        <w:rPr>
          <w:rFonts w:hint="eastAsia" w:ascii="宋体" w:hAnsi="宋体" w:cs="宋体"/>
          <w:b/>
          <w:bCs/>
          <w:sz w:val="32"/>
          <w:szCs w:val="32"/>
          <w:lang w:val="en-US" w:eastAsia="zh-CN"/>
        </w:rPr>
        <w:t>工作情况</w:t>
      </w:r>
    </w:p>
    <w:p>
      <w:pPr>
        <w:widowControl w:val="0"/>
        <w:numPr>
          <w:ilvl w:val="0"/>
          <w:numId w:val="0"/>
        </w:numPr>
        <w:wordWrap/>
        <w:adjustRightInd/>
        <w:spacing w:before="0" w:after="0" w:line="360" w:lineRule="auto"/>
        <w:ind w:right="0" w:firstLine="640" w:firstLineChars="200"/>
        <w:jc w:val="both"/>
        <w:textAlignment w:val="auto"/>
        <w:outlineLvl w:val="9"/>
        <w:rPr>
          <w:rFonts w:hint="eastAsia" w:ascii="宋体" w:hAnsi="宋体" w:eastAsia="宋体" w:cs="宋体"/>
          <w:b/>
          <w:bCs/>
          <w:sz w:val="30"/>
          <w:szCs w:val="30"/>
          <w:lang w:val="en-US" w:eastAsia="zh-CN"/>
        </w:rPr>
      </w:pPr>
      <w:r>
        <w:rPr>
          <w:rFonts w:hint="eastAsia" w:ascii="仿宋_GB2312" w:hAnsi="仿宋_GB2312" w:eastAsia="仿宋_GB2312" w:cs="仿宋_GB2312"/>
          <w:color w:val="auto"/>
          <w:sz w:val="32"/>
          <w:szCs w:val="32"/>
          <w:lang w:val="en-US" w:eastAsia="zh-CN"/>
        </w:rPr>
        <w:t>2025年我单位在县委、县政府的正确领导下，在县住建局党组的具体指导下，紧紧围绕年初制定的目标任务，</w:t>
      </w:r>
      <w:r>
        <w:rPr>
          <w:rFonts w:hint="eastAsia" w:ascii="仿宋_GB2312" w:hAnsi="仿宋_GB2312" w:eastAsia="仿宋_GB2312" w:cs="仿宋_GB2312"/>
          <w:color w:val="auto"/>
          <w:sz w:val="32"/>
          <w:szCs w:val="32"/>
          <w:lang w:eastAsia="zh-CN"/>
        </w:rPr>
        <w:t>突出抓好保障房运营管理和物业管理服务等工作，圆满完成各项任务。</w:t>
      </w:r>
      <w:r>
        <w:rPr>
          <w:rFonts w:hint="eastAsia" w:ascii="宋体" w:hAnsi="宋体" w:eastAsia="宋体" w:cs="宋体"/>
          <w:sz w:val="30"/>
          <w:szCs w:val="30"/>
          <w:lang w:eastAsia="zh-CN"/>
        </w:rPr>
        <w:t>具体</w:t>
      </w:r>
      <w:r>
        <w:rPr>
          <w:rFonts w:hint="eastAsia" w:ascii="宋体" w:hAnsi="宋体" w:eastAsia="宋体" w:cs="宋体"/>
          <w:sz w:val="30"/>
          <w:szCs w:val="30"/>
          <w:lang w:val="en-US" w:eastAsia="zh-CN"/>
        </w:rPr>
        <w:t>工作情况如下</w:t>
      </w:r>
      <w:r>
        <w:rPr>
          <w:rFonts w:hint="eastAsia" w:ascii="宋体" w:hAnsi="宋体" w:cs="宋体"/>
          <w:sz w:val="30"/>
          <w:szCs w:val="30"/>
          <w:lang w:val="en-US" w:eastAsia="zh-CN"/>
        </w:rPr>
        <w:t>：</w:t>
      </w:r>
    </w:p>
    <w:p>
      <w:pPr>
        <w:numPr>
          <w:numId w:val="0"/>
        </w:numPr>
        <w:adjustRightInd w:val="0"/>
        <w:snapToGrid w:val="0"/>
        <w:spacing w:line="600" w:lineRule="exact"/>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1、按时发放住房租赁补贴。</w:t>
      </w:r>
    </w:p>
    <w:p>
      <w:pPr>
        <w:numPr>
          <w:ilvl w:val="0"/>
          <w:numId w:val="0"/>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r>
        <w:rPr>
          <w:rFonts w:hint="eastAsia" w:ascii="仿宋" w:hAnsi="仿宋" w:eastAsia="仿宋" w:cs="仿宋"/>
          <w:b w:val="0"/>
          <w:bCs w:val="0"/>
          <w:kern w:val="2"/>
          <w:sz w:val="32"/>
          <w:szCs w:val="32"/>
          <w:lang w:val="en-US" w:eastAsia="zh-CN" w:bidi="ar-SA"/>
        </w:rPr>
        <w:t>一是住房租赁补贴按季度通过“一卡通”打卡发放；二 是坚持一年一审，确保公平公正、应保尽保。</w:t>
      </w:r>
    </w:p>
    <w:p>
      <w:pPr>
        <w:widowControl w:val="0"/>
        <w:numPr>
          <w:ilvl w:val="0"/>
          <w:numId w:val="3"/>
        </w:numPr>
        <w:wordWrap/>
        <w:autoSpaceDN w:val="0"/>
        <w:adjustRightInd/>
        <w:snapToGrid w:val="0"/>
        <w:spacing w:before="0" w:after="0" w:line="620" w:lineRule="exact"/>
        <w:ind w:right="0" w:rightChars="0"/>
        <w:jc w:val="both"/>
        <w:textAlignment w:val="auto"/>
        <w:outlineLvl w:val="9"/>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规范公租房运营管理，确保阳光分配。</w:t>
      </w:r>
    </w:p>
    <w:p>
      <w:pPr>
        <w:widowControl w:val="0"/>
        <w:numPr>
          <w:numId w:val="0"/>
        </w:numPr>
        <w:wordWrap/>
        <w:autoSpaceDN w:val="0"/>
        <w:adjustRightInd/>
        <w:snapToGrid w:val="0"/>
        <w:spacing w:before="0" w:after="0" w:line="620" w:lineRule="exact"/>
        <w:ind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一是按照“三级审核，两级公示”的程序，突出抓好住户申请、社区初审、部门调查、对外公示四个关键环节，并依托审计、人社、市场管理等部门信息技术，加强信息共享。同时，坚持优先照顾老弱病残、低保家庭的原则，采取轮候、摇号分配等方式，确保分配公平公正、应保尽保。二是加强动态管理，不定期的开展入户核查。</w:t>
      </w:r>
    </w:p>
    <w:p>
      <w:pPr>
        <w:widowControl w:val="0"/>
        <w:numPr>
          <w:ilvl w:val="0"/>
          <w:numId w:val="0"/>
        </w:numPr>
        <w:wordWrap/>
        <w:autoSpaceDN w:val="0"/>
        <w:adjustRightInd/>
        <w:snapToGrid w:val="0"/>
        <w:spacing w:before="0" w:after="0" w:line="620" w:lineRule="exact"/>
        <w:ind w:leftChars="200" w:right="0" w:firstLine="321" w:firstLineChars="100"/>
        <w:jc w:val="both"/>
        <w:textAlignment w:val="auto"/>
        <w:outlineLvl w:val="9"/>
        <w:rPr>
          <w:rFonts w:hint="eastAsia" w:ascii="仿宋_GB2312" w:hAnsi="仿宋_GB2312" w:eastAsia="仿宋_GB2312" w:cs="仿宋_GB2312"/>
          <w:b w:val="0"/>
          <w:i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3、采取多种方式方法，加强</w:t>
      </w:r>
      <w:r>
        <w:rPr>
          <w:rFonts w:hint="eastAsia" w:ascii="仿宋_GB2312" w:hAnsi="仿宋_GB2312" w:eastAsia="仿宋_GB2312" w:cs="仿宋_GB2312"/>
          <w:b/>
          <w:bCs/>
          <w:i w:val="0"/>
          <w:color w:val="auto"/>
          <w:sz w:val="32"/>
          <w:szCs w:val="32"/>
          <w:lang w:val="en-US" w:eastAsia="zh-CN"/>
        </w:rPr>
        <w:t>服务监督。</w:t>
      </w:r>
    </w:p>
    <w:p>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lang w:eastAsia="zh-CN"/>
        </w:rPr>
      </w:pPr>
      <w:r>
        <w:rPr>
          <w:rFonts w:hint="eastAsia" w:ascii="仿宋_GB2312" w:hAnsi="仿宋_GB2312" w:eastAsia="仿宋_GB2312" w:cs="仿宋_GB2312"/>
          <w:color w:val="auto"/>
          <w:sz w:val="32"/>
          <w:lang w:eastAsia="zh-CN"/>
        </w:rPr>
        <w:t>通过</w:t>
      </w:r>
      <w:r>
        <w:rPr>
          <w:rFonts w:hint="eastAsia" w:ascii="仿宋_GB2312" w:hAnsi="仿宋_GB2312" w:eastAsia="仿宋_GB2312" w:cs="仿宋_GB2312"/>
          <w:color w:val="auto"/>
          <w:sz w:val="32"/>
        </w:rPr>
        <w:t>采取不定期巡查和处理业主投诉等方式</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对全县</w:t>
      </w:r>
      <w:r>
        <w:rPr>
          <w:rFonts w:hint="eastAsia" w:ascii="仿宋_GB2312" w:hAnsi="仿宋_GB2312" w:eastAsia="仿宋_GB2312" w:cs="仿宋_GB2312"/>
          <w:color w:val="auto"/>
          <w:sz w:val="32"/>
          <w:lang w:eastAsia="zh-CN"/>
        </w:rPr>
        <w:t>物业</w:t>
      </w:r>
      <w:r>
        <w:rPr>
          <w:rFonts w:hint="eastAsia" w:ascii="仿宋_GB2312" w:hAnsi="仿宋_GB2312" w:eastAsia="仿宋_GB2312" w:cs="仿宋_GB2312"/>
          <w:color w:val="auto"/>
          <w:sz w:val="32"/>
        </w:rPr>
        <w:t>小区的物业服务企业提供的服务质量进行监督管理</w:t>
      </w:r>
      <w:r>
        <w:rPr>
          <w:rFonts w:hint="eastAsia" w:ascii="仿宋_GB2312" w:hAnsi="仿宋_GB2312" w:eastAsia="仿宋_GB2312" w:cs="仿宋_GB2312"/>
          <w:color w:val="auto"/>
          <w:sz w:val="32"/>
          <w:lang w:eastAsia="zh-CN"/>
        </w:rPr>
        <w:t>。</w:t>
      </w:r>
    </w:p>
    <w:p>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color w:val="auto"/>
          <w:sz w:val="32"/>
          <w:lang w:val="en-US" w:eastAsia="zh-CN"/>
        </w:rPr>
        <w:t>4、</w:t>
      </w:r>
      <w:r>
        <w:rPr>
          <w:rFonts w:hint="eastAsia" w:ascii="仿宋_GB2312" w:hAnsi="仿宋_GB2312" w:eastAsia="仿宋_GB2312" w:cs="仿宋_GB2312"/>
          <w:b/>
          <w:bCs/>
          <w:color w:val="auto"/>
          <w:sz w:val="32"/>
          <w:szCs w:val="32"/>
          <w:lang w:eastAsia="zh-CN"/>
        </w:rPr>
        <w:t>规范</w:t>
      </w:r>
      <w:r>
        <w:rPr>
          <w:rFonts w:hint="eastAsia" w:ascii="仿宋_GB2312" w:hAnsi="仿宋_GB2312" w:eastAsia="仿宋_GB2312" w:cs="仿宋_GB2312"/>
          <w:b/>
          <w:bCs/>
          <w:color w:val="auto"/>
          <w:sz w:val="32"/>
          <w:szCs w:val="32"/>
          <w:lang w:val="en-US" w:eastAsia="zh-CN"/>
        </w:rPr>
        <w:t>房屋维修</w:t>
      </w:r>
      <w:r>
        <w:rPr>
          <w:rFonts w:hint="eastAsia" w:ascii="仿宋_GB2312" w:hAnsi="仿宋_GB2312" w:eastAsia="仿宋_GB2312" w:cs="仿宋_GB2312"/>
          <w:b/>
          <w:bCs/>
          <w:color w:val="auto"/>
          <w:sz w:val="32"/>
          <w:szCs w:val="32"/>
          <w:lang w:eastAsia="zh-CN"/>
        </w:rPr>
        <w:t>资金归集使用，解决居民所需。</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b w:val="0"/>
          <w:i w:val="0"/>
          <w:color w:val="auto"/>
          <w:sz w:val="32"/>
          <w:szCs w:val="32"/>
          <w:shd w:val="clear" w:color="auto" w:fill="FFFFFF"/>
          <w:lang w:eastAsia="zh-CN"/>
        </w:rPr>
        <w:t>严格规范房屋维修资金归集，按程序提取使用维修资金，</w:t>
      </w:r>
      <w:r>
        <w:rPr>
          <w:rFonts w:hint="default" w:ascii="仿宋_GB2312" w:hAnsi="仿宋_GB2312" w:eastAsia="仿宋_GB2312"/>
          <w:b w:val="0"/>
          <w:i w:val="0"/>
          <w:color w:val="auto"/>
          <w:sz w:val="32"/>
          <w:shd w:val="clear" w:color="auto" w:fill="FFFFFF"/>
          <w:lang w:eastAsia="zh-CN"/>
        </w:rPr>
        <w:t>解决了小区居民出行困难和生活不便问题。</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i w:val="0"/>
          <w:color w:val="auto"/>
          <w:sz w:val="32"/>
          <w:shd w:val="clear" w:color="auto" w:fill="FFFFFF"/>
          <w:lang w:eastAsia="zh-CN"/>
        </w:rPr>
      </w:pPr>
      <w:r>
        <w:rPr>
          <w:rFonts w:hint="eastAsia" w:ascii="仿宋_GB2312" w:hAnsi="仿宋_GB2312" w:eastAsia="仿宋_GB2312"/>
          <w:b w:val="0"/>
          <w:i w:val="0"/>
          <w:color w:val="auto"/>
          <w:sz w:val="32"/>
          <w:shd w:val="clear" w:color="auto" w:fill="FFFFFF"/>
          <w:lang w:val="en-US" w:eastAsia="zh-CN"/>
        </w:rPr>
        <w:t>5、</w:t>
      </w:r>
      <w:r>
        <w:rPr>
          <w:rFonts w:hint="eastAsia" w:ascii="仿宋_GB2312" w:hAnsi="仿宋_GB2312" w:eastAsia="仿宋_GB2312"/>
          <w:b/>
          <w:bCs/>
          <w:i w:val="0"/>
          <w:color w:val="auto"/>
          <w:sz w:val="32"/>
          <w:shd w:val="clear" w:color="auto" w:fill="FFFFFF"/>
          <w:lang w:val="en-US" w:eastAsia="zh-CN"/>
        </w:rPr>
        <w:t>开展</w:t>
      </w:r>
      <w:r>
        <w:rPr>
          <w:rFonts w:hint="default" w:ascii="仿宋_GB2312" w:hAnsi="仿宋_GB2312" w:eastAsia="仿宋_GB2312"/>
          <w:b/>
          <w:i w:val="0"/>
          <w:color w:val="auto"/>
          <w:sz w:val="32"/>
          <w:shd w:val="clear" w:color="auto" w:fill="FFFFFF"/>
          <w:lang w:eastAsia="zh-CN"/>
        </w:rPr>
        <w:t>白蚁防治</w:t>
      </w:r>
      <w:r>
        <w:rPr>
          <w:rFonts w:hint="eastAsia" w:ascii="仿宋_GB2312" w:hAnsi="仿宋_GB2312" w:eastAsia="仿宋_GB2312"/>
          <w:b/>
          <w:i w:val="0"/>
          <w:color w:val="auto"/>
          <w:sz w:val="32"/>
          <w:shd w:val="clear" w:color="auto" w:fill="FFFFFF"/>
          <w:lang w:eastAsia="zh-CN"/>
        </w:rPr>
        <w:t>灭治，服务市民大众。</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cs="仿宋_GB2312"/>
          <w:color w:val="auto"/>
          <w:sz w:val="32"/>
          <w:szCs w:val="32"/>
          <w:lang w:eastAsia="zh-CN"/>
        </w:rPr>
        <w:t>经常性开展</w:t>
      </w:r>
      <w:r>
        <w:rPr>
          <w:rFonts w:hint="eastAsia" w:ascii="仿宋_GB2312" w:hAnsi="仿宋_GB2312" w:eastAsia="仿宋_GB2312" w:cs="仿宋_GB2312"/>
          <w:color w:val="auto"/>
          <w:sz w:val="32"/>
          <w:szCs w:val="32"/>
        </w:rPr>
        <w:t>白蚁防治</w:t>
      </w:r>
      <w:r>
        <w:rPr>
          <w:rFonts w:hint="eastAsia" w:ascii="仿宋_GB2312" w:hAnsi="仿宋_GB2312" w:eastAsia="仿宋_GB2312" w:cs="仿宋_GB2312"/>
          <w:color w:val="auto"/>
          <w:sz w:val="32"/>
          <w:szCs w:val="32"/>
          <w:lang w:eastAsia="zh-CN"/>
        </w:rPr>
        <w:t>法规和防治</w:t>
      </w:r>
      <w:r>
        <w:rPr>
          <w:rFonts w:hint="eastAsia" w:ascii="仿宋_GB2312" w:hAnsi="仿宋_GB2312" w:eastAsia="仿宋_GB2312" w:cs="仿宋_GB2312"/>
          <w:color w:val="auto"/>
          <w:sz w:val="32"/>
          <w:szCs w:val="32"/>
        </w:rPr>
        <w:t>知识</w:t>
      </w:r>
      <w:r>
        <w:rPr>
          <w:rFonts w:hint="eastAsia" w:ascii="仿宋_GB2312" w:hAnsi="仿宋_GB2312" w:eastAsia="仿宋_GB2312" w:cs="仿宋_GB2312"/>
          <w:color w:val="auto"/>
          <w:sz w:val="32"/>
          <w:szCs w:val="32"/>
          <w:lang w:eastAsia="zh-CN"/>
        </w:rPr>
        <w:t>的宣传，</w:t>
      </w:r>
      <w:r>
        <w:rPr>
          <w:rFonts w:hint="eastAsia" w:ascii="仿宋_GB2312" w:hAnsi="仿宋_GB2312" w:eastAsia="仿宋_GB2312" w:cs="仿宋_GB2312"/>
          <w:color w:val="auto"/>
          <w:sz w:val="32"/>
          <w:szCs w:val="32"/>
        </w:rPr>
        <w:t>依法依规开展白蚁</w:t>
      </w:r>
      <w:r>
        <w:rPr>
          <w:rFonts w:hint="eastAsia" w:ascii="仿宋_GB2312" w:hAnsi="仿宋_GB2312" w:eastAsia="仿宋_GB2312" w:cs="仿宋_GB2312"/>
          <w:color w:val="auto"/>
          <w:sz w:val="32"/>
          <w:szCs w:val="32"/>
          <w:lang w:eastAsia="zh-CN"/>
        </w:rPr>
        <w:t>预</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灭治</w:t>
      </w:r>
      <w:r>
        <w:rPr>
          <w:rFonts w:hint="eastAsia" w:ascii="仿宋_GB2312" w:hAnsi="仿宋_GB2312" w:eastAsia="仿宋_GB2312" w:cs="仿宋_GB2312"/>
          <w:color w:val="auto"/>
          <w:sz w:val="32"/>
          <w:szCs w:val="32"/>
        </w:rPr>
        <w:t>工作</w:t>
      </w:r>
      <w:r>
        <w:rPr>
          <w:rFonts w:hint="eastAsia" w:ascii="仿宋_GB2312" w:hAnsi="仿宋_GB2312" w:eastAsia="仿宋_GB2312" w:cs="仿宋_GB2312"/>
          <w:color w:val="auto"/>
          <w:sz w:val="32"/>
          <w:szCs w:val="32"/>
          <w:lang w:eastAsia="zh-CN"/>
        </w:rPr>
        <w:t>，主动服务市民大众</w:t>
      </w:r>
      <w:r>
        <w:rPr>
          <w:rFonts w:hint="eastAsia" w:ascii="仿宋_GB2312" w:hAnsi="仿宋_GB2312" w:eastAsia="仿宋_GB2312" w:cs="仿宋_GB2312"/>
          <w:color w:val="auto"/>
          <w:sz w:val="32"/>
          <w:szCs w:val="32"/>
        </w:rPr>
        <w:t>。</w:t>
      </w:r>
    </w:p>
    <w:p>
      <w:pPr>
        <w:widowControl w:val="0"/>
        <w:wordWrap/>
        <w:adjustRightInd/>
        <w:snapToGrid w:val="0"/>
        <w:spacing w:before="0" w:after="0" w:line="620" w:lineRule="exact"/>
        <w:ind w:left="0" w:leftChars="0" w:right="0" w:firstLine="643"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6、加强党风廉政建设，完成各项中心工作。</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积极开展党风廉政建设活动，将党风廉政建设专题学习纳入理论学习中心组和干部理论学习计划，多次组织全中心党员观看廉洁警示教育片，支部书记多次讲党课，进一步提升了全中心党员的党性修养和廉洁意识。驻村帮扶、烤烟生产、农村建设等后盾帮扶工作全面支持到位。</w:t>
      </w:r>
    </w:p>
    <w:p>
      <w:pPr>
        <w:spacing w:line="570" w:lineRule="exact"/>
        <w:ind w:firstLine="640"/>
        <w:rPr>
          <w:rFonts w:hint="eastAsia" w:ascii="Times New Roman" w:hAnsi="Times New Roman" w:eastAsia="黑体"/>
          <w:sz w:val="32"/>
          <w:szCs w:val="32"/>
          <w:lang w:val="en-US" w:eastAsia="zh-CN"/>
        </w:rPr>
      </w:pPr>
    </w:p>
    <w:p>
      <w:pPr>
        <w:numPr>
          <w:ilvl w:val="0"/>
          <w:numId w:val="0"/>
        </w:numPr>
        <w:spacing w:line="570" w:lineRule="exact"/>
      </w:pPr>
      <w:r>
        <w:rPr>
          <w:rFonts w:hint="eastAsia" w:eastAsia="黑体"/>
          <w:sz w:val="32"/>
          <w:szCs w:val="32"/>
          <w:lang w:val="en-US" w:eastAsia="zh-CN"/>
        </w:rPr>
        <w:t>七、</w:t>
      </w:r>
      <w:r>
        <w:rPr>
          <w:rFonts w:ascii="Times New Roman" w:hAnsi="Times New Roman" w:eastAsia="黑体"/>
          <w:sz w:val="32"/>
          <w:szCs w:val="32"/>
        </w:rPr>
        <w:t>存在的问题及原因分析</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（一）、相关管理制度不够健全，还有待进一步完善。</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（二）、对公租房转租、转借、占用现象整治机制不完善，清退难度大；</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（三）、公租房租金收缴难。重点是企业经营不善；学校、医院、乡镇交租意识不强；退伍残疾困难等特殊群体拒缴，目前没有明确的减免政策，如操作不好，信访隐患风险较大。</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（四）、物业服务管理以业务指导监督为主，大部分业主投诉事项都涉及多个其他职能部门依法处理的问题，因部门联动力度不够，导致业主投诉得不到及时有效的解决。</w:t>
      </w:r>
    </w:p>
    <w:p>
      <w:pPr>
        <w:spacing w:line="570" w:lineRule="exact"/>
        <w:ind w:firstLine="640" w:firstLineChars="200"/>
        <w:rPr>
          <w:rFonts w:eastAsia="黑体"/>
          <w:sz w:val="32"/>
          <w:szCs w:val="32"/>
        </w:rPr>
      </w:pPr>
      <w:r>
        <w:rPr>
          <w:rFonts w:eastAsia="黑体"/>
          <w:sz w:val="32"/>
          <w:szCs w:val="32"/>
        </w:rPr>
        <w:t>八、下一步改进措施</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b w:val="0"/>
          <w:i w:val="0"/>
          <w:color w:val="auto"/>
          <w:sz w:val="32"/>
          <w:szCs w:val="32"/>
          <w:shd w:val="clear" w:color="auto" w:fill="FFFFFF"/>
          <w:lang w:eastAsia="zh-CN"/>
        </w:rPr>
      </w:pPr>
      <w:r>
        <w:rPr>
          <w:rFonts w:hint="eastAsia" w:ascii="仿宋_GB2312" w:hAnsi="仿宋_GB2312" w:eastAsia="仿宋_GB2312"/>
          <w:b w:val="0"/>
          <w:i w:val="0"/>
          <w:color w:val="auto"/>
          <w:sz w:val="32"/>
          <w:szCs w:val="32"/>
          <w:shd w:val="clear" w:color="auto" w:fill="FFFFFF"/>
          <w:lang w:val="en-US" w:eastAsia="zh-CN"/>
        </w:rPr>
        <w:t>1、</w:t>
      </w:r>
      <w:r>
        <w:rPr>
          <w:rFonts w:hint="eastAsia" w:ascii="仿宋_GB2312" w:hAnsi="仿宋_GB2312" w:eastAsia="仿宋_GB2312"/>
          <w:b w:val="0"/>
          <w:i w:val="0"/>
          <w:color w:val="auto"/>
          <w:sz w:val="32"/>
          <w:szCs w:val="32"/>
          <w:shd w:val="clear" w:color="auto" w:fill="FFFFFF"/>
          <w:lang w:eastAsia="zh-CN"/>
        </w:rPr>
        <w:t>规范账务处理，提高财务信息质量 ；落实管理制度，进一步加强“三公经费”等支出的管理。</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b w:val="0"/>
          <w:i w:val="0"/>
          <w:color w:val="auto"/>
          <w:sz w:val="32"/>
          <w:szCs w:val="32"/>
          <w:shd w:val="clear" w:color="auto" w:fill="FFFFFF"/>
          <w:lang w:val="en-US" w:eastAsia="zh-CN"/>
        </w:rPr>
      </w:pPr>
      <w:r>
        <w:rPr>
          <w:rFonts w:hint="eastAsia" w:ascii="仿宋_GB2312" w:hAnsi="仿宋_GB2312" w:eastAsia="仿宋_GB2312"/>
          <w:b w:val="0"/>
          <w:i w:val="0"/>
          <w:color w:val="auto"/>
          <w:sz w:val="32"/>
          <w:szCs w:val="32"/>
          <w:shd w:val="clear" w:color="auto" w:fill="FFFFFF"/>
          <w:lang w:val="en-US" w:eastAsia="zh-CN"/>
        </w:rPr>
        <w:t>2、加大公租房运营管理力度，实行逐月逐户收缴租金，确保租金按时入库。对恶意欠缴租金的行为，要加大收缴力度，依法收缴，确保提高租金收缴率。</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b w:val="0"/>
          <w:i w:val="0"/>
          <w:color w:val="auto"/>
          <w:sz w:val="32"/>
          <w:szCs w:val="32"/>
          <w:shd w:val="clear" w:color="auto" w:fill="FFFFFF"/>
          <w:lang w:val="en-US" w:eastAsia="zh-CN"/>
        </w:rPr>
      </w:pPr>
      <w:r>
        <w:rPr>
          <w:rFonts w:hint="eastAsia" w:ascii="仿宋_GB2312" w:hAnsi="仿宋_GB2312" w:eastAsia="仿宋_GB2312"/>
          <w:b w:val="0"/>
          <w:i w:val="0"/>
          <w:color w:val="auto"/>
          <w:sz w:val="32"/>
          <w:szCs w:val="32"/>
          <w:shd w:val="clear" w:color="auto" w:fill="FFFFFF"/>
          <w:lang w:val="en-US" w:eastAsia="zh-CN"/>
        </w:rPr>
        <w:t>3、加大房屋维修资金监管力度。优化维修资金交存归集程序，方便办事群众；严格规范使用程序，确保资金使用安全和科学。</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b w:val="0"/>
          <w:i w:val="0"/>
          <w:color w:val="auto"/>
          <w:sz w:val="32"/>
          <w:szCs w:val="32"/>
          <w:shd w:val="clear" w:color="auto" w:fill="FFFFFF"/>
          <w:lang w:val="en-US" w:eastAsia="zh-CN"/>
        </w:rPr>
      </w:pPr>
      <w:r>
        <w:rPr>
          <w:rFonts w:hint="eastAsia" w:ascii="仿宋_GB2312" w:hAnsi="仿宋_GB2312" w:eastAsia="仿宋_GB2312"/>
          <w:b w:val="0"/>
          <w:i w:val="0"/>
          <w:color w:val="auto"/>
          <w:sz w:val="32"/>
          <w:szCs w:val="32"/>
          <w:shd w:val="clear" w:color="auto" w:fill="FFFFFF"/>
          <w:lang w:val="en-US" w:eastAsia="zh-CN"/>
        </w:rPr>
        <w:t>4、</w:t>
      </w:r>
      <w:r>
        <w:rPr>
          <w:rFonts w:hint="default" w:ascii="仿宋_GB2312" w:hAnsi="仿宋_GB2312" w:eastAsia="仿宋_GB2312"/>
          <w:b w:val="0"/>
          <w:i w:val="0"/>
          <w:color w:val="auto"/>
          <w:sz w:val="32"/>
          <w:szCs w:val="32"/>
          <w:shd w:val="clear" w:color="auto" w:fill="FFFFFF"/>
          <w:lang w:val="en-US" w:eastAsia="zh-CN"/>
        </w:rPr>
        <w:t>加大物业</w:t>
      </w:r>
      <w:r>
        <w:rPr>
          <w:rFonts w:hint="eastAsia" w:ascii="仿宋_GB2312" w:hAnsi="仿宋_GB2312" w:eastAsia="仿宋_GB2312"/>
          <w:b w:val="0"/>
          <w:i w:val="0"/>
          <w:color w:val="auto"/>
          <w:sz w:val="32"/>
          <w:szCs w:val="32"/>
          <w:shd w:val="clear" w:color="auto" w:fill="FFFFFF"/>
          <w:lang w:val="en-US" w:eastAsia="zh-CN"/>
        </w:rPr>
        <w:t>管理</w:t>
      </w:r>
      <w:r>
        <w:rPr>
          <w:rFonts w:hint="default" w:ascii="仿宋_GB2312" w:hAnsi="仿宋_GB2312" w:eastAsia="仿宋_GB2312"/>
          <w:b w:val="0"/>
          <w:i w:val="0"/>
          <w:color w:val="auto"/>
          <w:sz w:val="32"/>
          <w:szCs w:val="32"/>
          <w:shd w:val="clear" w:color="auto" w:fill="FFFFFF"/>
          <w:lang w:val="en-US" w:eastAsia="zh-CN"/>
        </w:rPr>
        <w:t>相关政策的</w:t>
      </w:r>
      <w:r>
        <w:rPr>
          <w:rFonts w:hint="eastAsia" w:ascii="仿宋_GB2312" w:hAnsi="仿宋_GB2312" w:eastAsia="仿宋_GB2312"/>
          <w:b w:val="0"/>
          <w:i w:val="0"/>
          <w:color w:val="auto"/>
          <w:sz w:val="32"/>
          <w:szCs w:val="32"/>
          <w:shd w:val="clear" w:color="auto" w:fill="FFFFFF"/>
          <w:lang w:val="en-US" w:eastAsia="zh-CN"/>
        </w:rPr>
        <w:t>学习</w:t>
      </w:r>
      <w:r>
        <w:rPr>
          <w:rFonts w:hint="default" w:ascii="仿宋_GB2312" w:hAnsi="仿宋_GB2312" w:eastAsia="仿宋_GB2312"/>
          <w:b w:val="0"/>
          <w:i w:val="0"/>
          <w:color w:val="auto"/>
          <w:sz w:val="32"/>
          <w:szCs w:val="32"/>
          <w:shd w:val="clear" w:color="auto" w:fill="FFFFFF"/>
          <w:lang w:val="en-US" w:eastAsia="zh-CN"/>
        </w:rPr>
        <w:t>力度</w:t>
      </w:r>
      <w:r>
        <w:rPr>
          <w:rFonts w:hint="eastAsia" w:ascii="仿宋_GB2312" w:hAnsi="仿宋_GB2312" w:eastAsia="仿宋_GB2312"/>
          <w:b w:val="0"/>
          <w:i w:val="0"/>
          <w:color w:val="auto"/>
          <w:sz w:val="32"/>
          <w:szCs w:val="32"/>
          <w:shd w:val="clear" w:color="auto" w:fill="FFFFFF"/>
          <w:lang w:val="en-US" w:eastAsia="zh-CN"/>
        </w:rPr>
        <w:t>，</w:t>
      </w:r>
      <w:r>
        <w:rPr>
          <w:rFonts w:hint="default" w:ascii="仿宋_GB2312" w:hAnsi="仿宋_GB2312" w:eastAsia="仿宋_GB2312"/>
          <w:b w:val="0"/>
          <w:i w:val="0"/>
          <w:color w:val="auto"/>
          <w:sz w:val="32"/>
          <w:szCs w:val="32"/>
          <w:shd w:val="clear" w:color="auto" w:fill="FFFFFF"/>
          <w:lang w:val="en-US" w:eastAsia="zh-CN"/>
        </w:rPr>
        <w:t>强化</w:t>
      </w:r>
      <w:r>
        <w:rPr>
          <w:rFonts w:hint="eastAsia" w:ascii="仿宋_GB2312" w:hAnsi="仿宋_GB2312" w:eastAsia="仿宋_GB2312"/>
          <w:b w:val="0"/>
          <w:i w:val="0"/>
          <w:color w:val="auto"/>
          <w:sz w:val="32"/>
          <w:szCs w:val="32"/>
          <w:shd w:val="clear" w:color="auto" w:fill="FFFFFF"/>
          <w:lang w:val="en-US" w:eastAsia="zh-CN"/>
        </w:rPr>
        <w:t>服务指导</w:t>
      </w:r>
      <w:r>
        <w:rPr>
          <w:rFonts w:hint="default" w:ascii="仿宋_GB2312" w:hAnsi="仿宋_GB2312" w:eastAsia="仿宋_GB2312"/>
          <w:b w:val="0"/>
          <w:i w:val="0"/>
          <w:color w:val="auto"/>
          <w:sz w:val="32"/>
          <w:szCs w:val="32"/>
          <w:shd w:val="clear" w:color="auto" w:fill="FFFFFF"/>
          <w:lang w:val="en-US" w:eastAsia="zh-CN"/>
        </w:rPr>
        <w:t>能，</w:t>
      </w:r>
      <w:r>
        <w:rPr>
          <w:rFonts w:hint="eastAsia" w:ascii="仿宋_GB2312" w:hAnsi="仿宋_GB2312" w:eastAsia="仿宋_GB2312"/>
          <w:b w:val="0"/>
          <w:i w:val="0"/>
          <w:color w:val="auto"/>
          <w:sz w:val="32"/>
          <w:szCs w:val="32"/>
          <w:shd w:val="clear" w:color="auto" w:fill="FFFFFF"/>
          <w:lang w:val="en-US" w:eastAsia="zh-CN"/>
        </w:rPr>
        <w:t>督促各物业服务企业严格按照合同约定的服务内容提供服务。处理好物业服务过程中的投诉，及时有效的化解物业矛盾纠纷。同时，健全物业管理服务一系列操作流程。</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eastAsia="黑体"/>
          <w:sz w:val="32"/>
          <w:szCs w:val="32"/>
          <w:lang w:val="en-US" w:eastAsia="zh-CN"/>
        </w:rPr>
      </w:pPr>
      <w:r>
        <w:rPr>
          <w:rFonts w:hint="eastAsia" w:ascii="仿宋_GB2312" w:hAnsi="仿宋_GB2312" w:eastAsia="仿宋_GB2312"/>
          <w:b w:val="0"/>
          <w:i w:val="0"/>
          <w:color w:val="auto"/>
          <w:sz w:val="32"/>
          <w:szCs w:val="32"/>
          <w:shd w:val="clear" w:color="auto" w:fill="FFFFFF"/>
          <w:lang w:val="en-US" w:eastAsia="zh-CN"/>
        </w:rPr>
        <w:t>提高白蚁防治服务水平。全力做好我县白蚁防治工作，努力提高服务水平。</w:t>
      </w:r>
    </w:p>
    <w:p>
      <w:pPr>
        <w:spacing w:line="570" w:lineRule="exact"/>
        <w:rPr>
          <w:rFonts w:eastAsia="黑体"/>
          <w:sz w:val="32"/>
          <w:szCs w:val="32"/>
        </w:rPr>
      </w:pPr>
      <w:r>
        <w:rPr>
          <w:rFonts w:eastAsia="黑体"/>
          <w:sz w:val="32"/>
          <w:szCs w:val="32"/>
        </w:rPr>
        <w:t>九、部门整体支出绩效自评结果拟应用和公开情况</w:t>
      </w:r>
    </w:p>
    <w:p>
      <w:pPr>
        <w:spacing w:line="570" w:lineRule="exact"/>
        <w:rPr>
          <w:rFonts w:eastAsia="黑体"/>
          <w:sz w:val="32"/>
          <w:szCs w:val="32"/>
        </w:rPr>
      </w:pPr>
      <w:r>
        <w:rPr>
          <w:rFonts w:hint="eastAsia" w:eastAsia="黑体"/>
          <w:sz w:val="32"/>
          <w:szCs w:val="32"/>
        </w:rPr>
        <w:t>十、</w:t>
      </w:r>
      <w:r>
        <w:rPr>
          <w:rFonts w:eastAsia="黑体"/>
          <w:sz w:val="32"/>
          <w:szCs w:val="32"/>
        </w:rPr>
        <w:t>其他需要说明的情况</w:t>
      </w:r>
    </w:p>
    <w:p>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b w:val="0"/>
          <w:i w:val="0"/>
          <w:color w:val="auto"/>
          <w:sz w:val="32"/>
          <w:szCs w:val="32"/>
          <w:shd w:val="clear" w:color="auto" w:fill="FFFFFF"/>
          <w:lang w:val="en-US" w:eastAsia="zh-CN"/>
        </w:rPr>
      </w:pPr>
      <w:r>
        <w:rPr>
          <w:rFonts w:hint="eastAsia" w:ascii="仿宋_GB2312" w:hAnsi="仿宋_GB2312" w:eastAsia="仿宋_GB2312"/>
          <w:b w:val="0"/>
          <w:i w:val="0"/>
          <w:color w:val="auto"/>
          <w:sz w:val="32"/>
          <w:szCs w:val="32"/>
          <w:shd w:val="clear" w:color="auto" w:fill="FFFFFF"/>
          <w:lang w:val="en-US" w:eastAsia="zh-CN"/>
        </w:rPr>
        <w:t>无</w:t>
      </w:r>
      <w:bookmarkStart w:id="0" w:name="_GoBack"/>
      <w:bookmarkEnd w:id="0"/>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831D0"/>
    <w:multiLevelType w:val="singleLevel"/>
    <w:tmpl w:val="FFF831D0"/>
    <w:lvl w:ilvl="0" w:tentative="0">
      <w:start w:val="2"/>
      <w:numFmt w:val="decimal"/>
      <w:suff w:val="nothing"/>
      <w:lvlText w:val="%1、"/>
      <w:lvlJc w:val="left"/>
    </w:lvl>
  </w:abstractNum>
  <w:abstractNum w:abstractNumId="1">
    <w:nsid w:val="6A155997"/>
    <w:multiLevelType w:val="singleLevel"/>
    <w:tmpl w:val="6A155997"/>
    <w:lvl w:ilvl="0" w:tentative="0">
      <w:start w:val="2"/>
      <w:numFmt w:val="chineseCounting"/>
      <w:suff w:val="nothing"/>
      <w:lvlText w:val="（%1）"/>
      <w:lvlJc w:val="left"/>
    </w:lvl>
  </w:abstractNum>
  <w:abstractNum w:abstractNumId="2">
    <w:nsid w:val="6A156701"/>
    <w:multiLevelType w:val="singleLevel"/>
    <w:tmpl w:val="6A156701"/>
    <w:lvl w:ilvl="0" w:tentative="0">
      <w:start w:val="5"/>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mU5ZWU0YzczYzJkMDE3YjZmMDc5NDdmMGMyNzhjNDYifQ=="/>
  </w:docVars>
  <w:rsids>
    <w:rsidRoot w:val="00000000"/>
    <w:rsid w:val="6C692E30"/>
    <w:rsid w:val="6ED14D9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nhideWhenUsed/>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eastAsia="宋体"/>
      <w:sz w:val="18"/>
      <w:szCs w:val="18"/>
    </w:rPr>
  </w:style>
  <w:style w:type="paragraph" w:styleId="6">
    <w:name w:val="Normal (Web)"/>
    <w:basedOn w:val="1"/>
    <w:uiPriority w:val="0"/>
    <w:pPr>
      <w:spacing w:before="100" w:beforeAutospacing="1" w:after="100" w:afterAutospacing="1"/>
      <w:ind w:left="0" w:right="0"/>
      <w:jc w:val="left"/>
    </w:pPr>
    <w:rPr>
      <w:kern w:val="0"/>
      <w:sz w:val="24"/>
      <w:lang w:val="en-US" w:eastAsia="zh-CN"/>
    </w:rPr>
  </w:style>
  <w:style w:type="paragraph" w:customStyle="1" w:styleId="9">
    <w:name w:val="List Paragraph"/>
    <w:basedOn w:val="1"/>
    <w:qFormat/>
    <w:uiPriority w:val="99"/>
    <w:pPr>
      <w:ind w:firstLine="420" w:firstLineChars="200"/>
    </w:pPr>
    <w:rPr>
      <w:rFonts w:ascii="Calibri" w:hAnsi="Calibri"/>
      <w:kern w:val="0"/>
      <w:sz w:val="28"/>
      <w:szCs w:val="22"/>
    </w:rPr>
  </w:style>
  <w:style w:type="paragraph" w:customStyle="1" w:styleId="10">
    <w:name w:val="BodyText1I2"/>
    <w:qFormat/>
    <w:uiPriority w:val="99"/>
    <w:pPr>
      <w:ind w:firstLine="420" w:firstLine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2411</Words>
  <Characters>2512</Characters>
  <Lines>0</Lines>
  <Paragraphs>0</Paragraphs>
  <TotalTime>2</TotalTime>
  <ScaleCrop>false</ScaleCrop>
  <LinksUpToDate>false</LinksUpToDate>
  <CharactersWithSpaces>2549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2026-03-13T07:17:00Z</dcterms:created>
  <dc:creator>29448</dc:creator>
  <cp:lastModifiedBy>水蜜桃</cp:lastModifiedBy>
  <cp:lastPrinted>2026-05-26T09:21:00Z</cp:lastPrinted>
  <dcterms:modified xsi:type="dcterms:W3CDTF">2026-09-15T01:04:18Z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eyJoZGlkIjoiNTJjYmFjYTI5NGJmMjhmMTk1NzYwNzRkMTBjNTQwZjUiLCJ1c2VySWQiOiI4NDM4OTQxODQifQ==</vt:lpwstr>
  </property>
  <property fmtid="{D5CDD505-2E9C-101B-9397-08002B2CF9AE}" pid="4" name="ICV">
    <vt:lpwstr>93821CB3BAF3462B8067F76E3716B430_12</vt:lpwstr>
  </property>
</Properties>
</file>