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B98B6">
      <w:pPr>
        <w:spacing w:before="253" w:line="203" w:lineRule="exact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-3"/>
          <w:position w:val="-5"/>
          <w:sz w:val="30"/>
          <w:szCs w:val="30"/>
        </w:rPr>
        <w:t>---</w:t>
      </w:r>
    </w:p>
    <w:p w14:paraId="2991FDFC">
      <w:pPr>
        <w:spacing w:before="271" w:line="219" w:lineRule="auto"/>
        <w:ind w:left="2169"/>
        <w:rPr>
          <w:rFonts w:ascii="宋体" w:hAnsi="宋体" w:eastAsia="宋体" w:cs="宋体"/>
          <w:b w:val="0"/>
          <w:bCs w:val="0"/>
          <w:sz w:val="44"/>
          <w:szCs w:val="44"/>
        </w:rPr>
      </w:pPr>
      <w:r>
        <w:rPr>
          <w:rFonts w:ascii="宋体" w:hAnsi="宋体" w:eastAsia="宋体" w:cs="宋体"/>
          <w:b w:val="0"/>
          <w:bCs w:val="0"/>
          <w:spacing w:val="3"/>
          <w:sz w:val="44"/>
          <w:szCs w:val="44"/>
        </w:rPr>
        <w:t>2025年道县城市管理综合行政执法大队</w:t>
      </w:r>
    </w:p>
    <w:p w14:paraId="423B7CEC">
      <w:pPr>
        <w:spacing w:before="77" w:line="218" w:lineRule="auto"/>
        <w:ind w:left="3326"/>
        <w:rPr>
          <w:rFonts w:ascii="宋体" w:hAnsi="宋体" w:eastAsia="宋体" w:cs="宋体"/>
          <w:b w:val="0"/>
          <w:bCs w:val="0"/>
          <w:sz w:val="44"/>
          <w:szCs w:val="44"/>
        </w:rPr>
      </w:pPr>
      <w:r>
        <w:rPr>
          <w:rFonts w:ascii="宋体" w:hAnsi="宋体" w:eastAsia="宋体" w:cs="宋体"/>
          <w:b w:val="0"/>
          <w:bCs w:val="0"/>
          <w:spacing w:val="-9"/>
          <w:sz w:val="44"/>
          <w:szCs w:val="44"/>
        </w:rPr>
        <w:t>部门整体支出绩效评价报告</w:t>
      </w:r>
    </w:p>
    <w:p w14:paraId="0BE932B2">
      <w:pPr>
        <w:spacing w:line="381" w:lineRule="auto"/>
        <w:rPr>
          <w:rFonts w:ascii="Arial"/>
          <w:sz w:val="21"/>
        </w:rPr>
      </w:pPr>
    </w:p>
    <w:p w14:paraId="52F72AC5">
      <w:pPr>
        <w:pStyle w:val="2"/>
        <w:spacing w:before="108" w:line="222" w:lineRule="auto"/>
        <w:ind w:left="2369"/>
        <w:rPr>
          <w:sz w:val="33"/>
          <w:szCs w:val="33"/>
        </w:rPr>
      </w:pPr>
      <w:r>
        <w:rPr>
          <w:spacing w:val="-30"/>
          <w:sz w:val="33"/>
          <w:szCs w:val="33"/>
        </w:rPr>
        <w:t>一、部门概况</w:t>
      </w:r>
    </w:p>
    <w:p w14:paraId="5AC12326">
      <w:pPr>
        <w:pStyle w:val="2"/>
        <w:spacing w:before="282" w:line="222" w:lineRule="auto"/>
        <w:ind w:left="2549"/>
      </w:pPr>
      <w:r>
        <w:rPr>
          <w:spacing w:val="9"/>
        </w:rPr>
        <w:t>(一)部门基本情况：</w:t>
      </w:r>
    </w:p>
    <w:p w14:paraId="5884AA49">
      <w:pPr>
        <w:pStyle w:val="2"/>
        <w:spacing w:before="229" w:line="222" w:lineRule="auto"/>
        <w:ind w:left="2369"/>
      </w:pPr>
      <w:r>
        <w:rPr>
          <w:rFonts w:ascii="Times New Roman" w:hAnsi="Times New Roman" w:eastAsia="Times New Roman" w:cs="Times New Roman"/>
          <w:spacing w:val="-6"/>
        </w:rPr>
        <w:t>1.</w:t>
      </w:r>
      <w:r>
        <w:rPr>
          <w:rFonts w:ascii="Times New Roman" w:hAnsi="Times New Roman" w:eastAsia="Times New Roman" w:cs="Times New Roman"/>
          <w:spacing w:val="-9"/>
        </w:rPr>
        <w:t xml:space="preserve"> </w:t>
      </w:r>
      <w:r>
        <w:rPr>
          <w:spacing w:val="-6"/>
        </w:rPr>
        <w:t>主要职能。</w:t>
      </w:r>
    </w:p>
    <w:p w14:paraId="003ECDB9">
      <w:pPr>
        <w:pStyle w:val="2"/>
        <w:spacing w:before="291" w:line="381" w:lineRule="auto"/>
        <w:ind w:left="1780" w:right="102" w:firstLine="589"/>
      </w:pPr>
      <w:r>
        <w:rPr>
          <w:spacing w:val="-8"/>
        </w:rPr>
        <w:t>贯彻落实中央、省、市、县关于城市管理执法工作的方针政</w:t>
      </w:r>
      <w:r>
        <w:rPr>
          <w:spacing w:val="18"/>
        </w:rPr>
        <w:t xml:space="preserve"> </w:t>
      </w:r>
      <w:r>
        <w:rPr>
          <w:spacing w:val="-7"/>
        </w:rPr>
        <w:t>策和决策部署，以道县城市管理和综合执法局的</w:t>
      </w:r>
      <w:r>
        <w:rPr>
          <w:spacing w:val="-8"/>
        </w:rPr>
        <w:t>名义统一行使城</w:t>
      </w:r>
      <w:r>
        <w:t xml:space="preserve"> </w:t>
      </w:r>
      <w:r>
        <w:rPr>
          <w:spacing w:val="-7"/>
        </w:rPr>
        <w:t>市管理领域的行政处罚权以及与之相关的行政检查权、行政强制</w:t>
      </w:r>
      <w:r>
        <w:rPr>
          <w:spacing w:val="11"/>
        </w:rPr>
        <w:t xml:space="preserve"> </w:t>
      </w:r>
      <w:r>
        <w:rPr>
          <w:spacing w:val="-7"/>
        </w:rPr>
        <w:t>权等执法职能，在履行职责过程中坚持和加强党对城市管理执法</w:t>
      </w:r>
      <w:r>
        <w:rPr>
          <w:spacing w:val="14"/>
        </w:rPr>
        <w:t xml:space="preserve"> </w:t>
      </w:r>
      <w:r>
        <w:rPr>
          <w:spacing w:val="-6"/>
        </w:rPr>
        <w:t>工作的集中统一领导。</w:t>
      </w:r>
    </w:p>
    <w:p w14:paraId="1103040A">
      <w:pPr>
        <w:pStyle w:val="2"/>
        <w:spacing w:before="65" w:line="222" w:lineRule="auto"/>
        <w:ind w:left="2369"/>
      </w:pPr>
      <w:r>
        <w:rPr>
          <w:rFonts w:ascii="Times New Roman" w:hAnsi="Times New Roman" w:eastAsia="Times New Roman" w:cs="Times New Roman"/>
          <w:spacing w:val="-2"/>
        </w:rPr>
        <w:t xml:space="preserve">2. </w:t>
      </w:r>
      <w:r>
        <w:rPr>
          <w:spacing w:val="-2"/>
        </w:rPr>
        <w:t>机构情况，包括当年变动情况及原因。</w:t>
      </w:r>
    </w:p>
    <w:p w14:paraId="54DF8B2D">
      <w:pPr>
        <w:pStyle w:val="2"/>
        <w:spacing w:before="327" w:line="320" w:lineRule="auto"/>
        <w:ind w:left="1780" w:right="90" w:firstLine="659"/>
        <w:rPr>
          <w:sz w:val="33"/>
          <w:szCs w:val="33"/>
        </w:rPr>
      </w:pPr>
      <w:r>
        <w:rPr>
          <w:spacing w:val="-15"/>
          <w:sz w:val="33"/>
          <w:szCs w:val="33"/>
        </w:rPr>
        <w:t>本大队内设综合室、案件审理室、督察协调中心，按区</w:t>
      </w:r>
      <w:r>
        <w:rPr>
          <w:spacing w:val="10"/>
          <w:sz w:val="33"/>
          <w:szCs w:val="33"/>
        </w:rPr>
        <w:t xml:space="preserve"> </w:t>
      </w:r>
      <w:r>
        <w:rPr>
          <w:spacing w:val="-14"/>
          <w:sz w:val="33"/>
          <w:szCs w:val="33"/>
        </w:rPr>
        <w:t>域划分设置万家庄中队、营江中队、东门中队、濂溪中队、</w:t>
      </w:r>
      <w:r>
        <w:rPr>
          <w:spacing w:val="14"/>
          <w:sz w:val="33"/>
          <w:szCs w:val="33"/>
        </w:rPr>
        <w:t xml:space="preserve"> </w:t>
      </w:r>
      <w:r>
        <w:rPr>
          <w:spacing w:val="-6"/>
          <w:sz w:val="33"/>
          <w:szCs w:val="33"/>
        </w:rPr>
        <w:t>富塘中队、上关中队、西洲中队等7个执法</w:t>
      </w:r>
      <w:r>
        <w:rPr>
          <w:spacing w:val="-7"/>
          <w:sz w:val="33"/>
          <w:szCs w:val="33"/>
        </w:rPr>
        <w:t>中队。</w:t>
      </w:r>
    </w:p>
    <w:p w14:paraId="66A673E5">
      <w:pPr>
        <w:pStyle w:val="2"/>
        <w:spacing w:before="6" w:line="222" w:lineRule="auto"/>
        <w:ind w:left="2369"/>
      </w:pPr>
      <w:r>
        <w:rPr>
          <w:rFonts w:ascii="Times New Roman" w:hAnsi="Times New Roman" w:eastAsia="Times New Roman" w:cs="Times New Roman"/>
          <w:spacing w:val="-2"/>
        </w:rPr>
        <w:t xml:space="preserve">3. </w:t>
      </w:r>
      <w:r>
        <w:rPr>
          <w:spacing w:val="-2"/>
        </w:rPr>
        <w:t>人员情况，包括当年变动情况及原因。</w:t>
      </w:r>
    </w:p>
    <w:p w14:paraId="5FA1C002">
      <w:pPr>
        <w:pStyle w:val="2"/>
        <w:spacing w:before="273" w:line="389" w:lineRule="auto"/>
        <w:ind w:left="1780" w:right="82" w:firstLine="589"/>
      </w:pPr>
      <w:r>
        <w:rPr>
          <w:spacing w:val="6"/>
        </w:rPr>
        <w:t>2025年度年末在职人员104人，因退休1</w:t>
      </w:r>
      <w:r>
        <w:rPr>
          <w:spacing w:val="-44"/>
        </w:rPr>
        <w:t xml:space="preserve"> </w:t>
      </w:r>
      <w:r>
        <w:rPr>
          <w:spacing w:val="6"/>
        </w:rPr>
        <w:t>人，较2024年105</w:t>
      </w:r>
      <w:r>
        <w:t xml:space="preserve"> </w:t>
      </w:r>
      <w:r>
        <w:rPr>
          <w:spacing w:val="21"/>
        </w:rPr>
        <w:t>人减少1人。</w:t>
      </w:r>
    </w:p>
    <w:p w14:paraId="1BCD59E1">
      <w:pPr>
        <w:pStyle w:val="2"/>
        <w:spacing w:before="1" w:line="221" w:lineRule="auto"/>
        <w:ind w:left="2369"/>
      </w:pPr>
      <w:r>
        <w:rPr>
          <w:spacing w:val="3"/>
        </w:rPr>
        <w:t>(二)部门整体支出规模、使用方向和主要内容</w:t>
      </w:r>
    </w:p>
    <w:p w14:paraId="5714906F">
      <w:pPr>
        <w:pStyle w:val="2"/>
        <w:spacing w:before="257" w:line="377" w:lineRule="auto"/>
        <w:ind w:left="1780" w:right="98" w:firstLine="589"/>
        <w:rPr>
          <w:sz w:val="31"/>
          <w:szCs w:val="31"/>
        </w:rPr>
      </w:pPr>
      <w:r>
        <w:rPr>
          <w:spacing w:val="1"/>
          <w:sz w:val="31"/>
          <w:szCs w:val="31"/>
        </w:rPr>
        <w:t>2025年收入支出预算执行基本情况。当年收入1579.82万</w:t>
      </w:r>
      <w:r>
        <w:rPr>
          <w:spacing w:val="6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元，较上年1409.12万元增加170.</w:t>
      </w:r>
      <w:r>
        <w:rPr>
          <w:rFonts w:hint="eastAsia"/>
          <w:spacing w:val="4"/>
          <w:sz w:val="31"/>
          <w:szCs w:val="31"/>
          <w:lang w:val="en-US" w:eastAsia="zh-CN"/>
        </w:rPr>
        <w:t>70</w:t>
      </w:r>
      <w:r>
        <w:rPr>
          <w:spacing w:val="4"/>
          <w:sz w:val="31"/>
          <w:szCs w:val="31"/>
        </w:rPr>
        <w:t>万元，增幅达12.1</w:t>
      </w:r>
      <w:r>
        <w:rPr>
          <w:rFonts w:hint="eastAsia"/>
          <w:spacing w:val="4"/>
          <w:sz w:val="31"/>
          <w:szCs w:val="31"/>
          <w:lang w:val="en-US" w:eastAsia="zh-CN"/>
        </w:rPr>
        <w:t>1</w:t>
      </w:r>
      <w:r>
        <w:rPr>
          <w:spacing w:val="4"/>
          <w:sz w:val="31"/>
          <w:szCs w:val="31"/>
        </w:rPr>
        <w:t>%,主</w:t>
      </w:r>
      <w:r>
        <w:rPr>
          <w:spacing w:val="1"/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要是工资福利支出增加。当年支出1579.82万元，其中基本支出</w:t>
      </w:r>
    </w:p>
    <w:p w14:paraId="52F319AA">
      <w:pPr>
        <w:spacing w:line="377" w:lineRule="auto"/>
        <w:rPr>
          <w:sz w:val="31"/>
          <w:szCs w:val="31"/>
        </w:rPr>
        <w:sectPr>
          <w:headerReference r:id="rId5" w:type="default"/>
          <w:footerReference r:id="rId6" w:type="default"/>
          <w:pgSz w:w="11920" w:h="16830"/>
          <w:pgMar w:top="1430" w:right="1788" w:bottom="0" w:left="30" w:header="0" w:footer="0" w:gutter="0"/>
          <w:cols w:space="720" w:num="1"/>
        </w:sectPr>
      </w:pPr>
    </w:p>
    <w:p w14:paraId="65F79DB4">
      <w:pPr>
        <w:spacing w:before="232" w:line="203" w:lineRule="exact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-3"/>
          <w:position w:val="-5"/>
          <w:sz w:val="30"/>
          <w:szCs w:val="30"/>
        </w:rPr>
        <w:t>---</w:t>
      </w:r>
    </w:p>
    <w:p w14:paraId="5BA81251">
      <w:pPr>
        <w:spacing w:line="459" w:lineRule="auto"/>
        <w:rPr>
          <w:rFonts w:ascii="Arial"/>
          <w:sz w:val="21"/>
        </w:rPr>
      </w:pPr>
    </w:p>
    <w:p w14:paraId="6FB99C41">
      <w:pPr>
        <w:pStyle w:val="2"/>
        <w:spacing w:before="101" w:line="222" w:lineRule="auto"/>
        <w:ind w:left="1729"/>
        <w:rPr>
          <w:rFonts w:ascii="Arial"/>
          <w:sz w:val="21"/>
        </w:rPr>
      </w:pPr>
      <w:r>
        <w:rPr>
          <w:spacing w:val="-1"/>
          <w:sz w:val="31"/>
          <w:szCs w:val="31"/>
        </w:rPr>
        <w:t>1579.82万元(人员经费1458.98万元，日常公用经费120.84万</w:t>
      </w:r>
    </w:p>
    <w:p w14:paraId="6FE080DA">
      <w:pPr>
        <w:pStyle w:val="2"/>
        <w:spacing w:before="100" w:line="222" w:lineRule="auto"/>
        <w:ind w:left="1729"/>
        <w:rPr>
          <w:rFonts w:hint="default" w:ascii="Arial" w:eastAsia="仿宋"/>
          <w:sz w:val="21"/>
          <w:lang w:val="en-US" w:eastAsia="zh-CN"/>
        </w:rPr>
      </w:pPr>
      <w:r>
        <w:rPr>
          <w:spacing w:val="-4"/>
          <w:sz w:val="31"/>
          <w:szCs w:val="31"/>
        </w:rPr>
        <w:t>元),项目支出0万元。当年支出较上年1409.1</w:t>
      </w:r>
      <w:r>
        <w:rPr>
          <w:spacing w:val="-5"/>
          <w:sz w:val="31"/>
          <w:szCs w:val="31"/>
        </w:rPr>
        <w:t>2万元增加170.</w:t>
      </w:r>
      <w:r>
        <w:rPr>
          <w:rFonts w:hint="eastAsia"/>
          <w:spacing w:val="-5"/>
          <w:sz w:val="31"/>
          <w:szCs w:val="31"/>
          <w:lang w:val="en-US" w:eastAsia="zh-CN"/>
        </w:rPr>
        <w:t>70</w:t>
      </w:r>
    </w:p>
    <w:p w14:paraId="04C5A28A">
      <w:pPr>
        <w:pStyle w:val="2"/>
        <w:spacing w:before="101" w:line="222" w:lineRule="auto"/>
        <w:ind w:left="1729"/>
        <w:rPr>
          <w:sz w:val="31"/>
          <w:szCs w:val="31"/>
        </w:rPr>
      </w:pPr>
      <w:r>
        <w:rPr>
          <w:spacing w:val="-3"/>
          <w:sz w:val="31"/>
          <w:szCs w:val="31"/>
        </w:rPr>
        <w:t>万元，增幅达12.1</w:t>
      </w:r>
      <w:r>
        <w:rPr>
          <w:rFonts w:hint="eastAsia"/>
          <w:spacing w:val="-3"/>
          <w:sz w:val="31"/>
          <w:szCs w:val="31"/>
          <w:lang w:val="en-US" w:eastAsia="zh-CN"/>
        </w:rPr>
        <w:t>1</w:t>
      </w:r>
      <w:r>
        <w:rPr>
          <w:spacing w:val="-3"/>
          <w:sz w:val="31"/>
          <w:szCs w:val="31"/>
        </w:rPr>
        <w:t>%,主要是工资福利支出增加。</w:t>
      </w:r>
    </w:p>
    <w:p w14:paraId="2FAE3805">
      <w:pPr>
        <w:pStyle w:val="2"/>
        <w:spacing w:before="195" w:line="222" w:lineRule="auto"/>
        <w:ind w:left="2379"/>
        <w:rPr>
          <w:sz w:val="32"/>
          <w:szCs w:val="32"/>
        </w:rPr>
      </w:pPr>
      <w:r>
        <w:rPr>
          <w:spacing w:val="-18"/>
          <w:sz w:val="32"/>
          <w:szCs w:val="32"/>
        </w:rPr>
        <w:t>二、</w:t>
      </w:r>
      <w:r>
        <w:rPr>
          <w:spacing w:val="-74"/>
          <w:sz w:val="32"/>
          <w:szCs w:val="32"/>
        </w:rPr>
        <w:t xml:space="preserve"> </w:t>
      </w:r>
      <w:r>
        <w:rPr>
          <w:spacing w:val="-18"/>
          <w:sz w:val="32"/>
          <w:szCs w:val="32"/>
        </w:rPr>
        <w:t>一般公共预算支出情况</w:t>
      </w:r>
    </w:p>
    <w:p w14:paraId="31C5572C">
      <w:pPr>
        <w:pStyle w:val="2"/>
        <w:spacing w:before="307" w:line="222" w:lineRule="auto"/>
        <w:ind w:left="2489"/>
        <w:rPr>
          <w:sz w:val="32"/>
          <w:szCs w:val="32"/>
        </w:rPr>
      </w:pPr>
      <w:r>
        <w:rPr>
          <w:spacing w:val="-6"/>
          <w:sz w:val="32"/>
          <w:szCs w:val="32"/>
        </w:rPr>
        <w:t>(一)基本支出情况</w:t>
      </w:r>
    </w:p>
    <w:p w14:paraId="4B8FB75C">
      <w:pPr>
        <w:pStyle w:val="2"/>
        <w:spacing w:before="230" w:line="383" w:lineRule="auto"/>
        <w:ind w:left="1729" w:right="120" w:firstLine="649"/>
      </w:pPr>
      <w:r>
        <w:rPr>
          <w:spacing w:val="-8"/>
        </w:rPr>
        <w:t>用于为保障我单位正常运转、完成日常工作任务而发生</w:t>
      </w:r>
      <w:r>
        <w:rPr>
          <w:spacing w:val="-9"/>
        </w:rPr>
        <w:t>的支</w:t>
      </w:r>
      <w:r>
        <w:t xml:space="preserve"> </w:t>
      </w:r>
      <w:r>
        <w:rPr>
          <w:spacing w:val="-5"/>
        </w:rPr>
        <w:t>出，包括人员经费和公用经费。</w:t>
      </w:r>
    </w:p>
    <w:p w14:paraId="4FBE0AC9">
      <w:pPr>
        <w:pStyle w:val="2"/>
        <w:spacing w:before="5" w:line="381" w:lineRule="auto"/>
        <w:ind w:left="1729" w:right="31" w:firstLine="760"/>
        <w:jc w:val="both"/>
      </w:pPr>
      <w:r>
        <w:rPr>
          <w:spacing w:val="9"/>
        </w:rPr>
        <w:t>(1)2025年度财政拨款基本支出1579.82万元，其中</w:t>
      </w:r>
      <w:r>
        <w:rPr>
          <w:spacing w:val="8"/>
        </w:rPr>
        <w:t>：人</w:t>
      </w:r>
      <w:r>
        <w:t xml:space="preserve"> </w:t>
      </w:r>
      <w:r>
        <w:rPr>
          <w:spacing w:val="-2"/>
        </w:rPr>
        <w:t>员经费1458.98万元，占基本支出的92.35%,主要包括基本工资、</w:t>
      </w:r>
      <w:r>
        <w:t xml:space="preserve"> </w:t>
      </w:r>
      <w:r>
        <w:rPr>
          <w:spacing w:val="-6"/>
        </w:rPr>
        <w:t>津贴补贴、奖金、绩效工资、机关事业单位基本养老保险费、职</w:t>
      </w:r>
      <w:r>
        <w:rPr>
          <w:spacing w:val="4"/>
        </w:rPr>
        <w:t xml:space="preserve"> </w:t>
      </w:r>
      <w:r>
        <w:rPr>
          <w:spacing w:val="-13"/>
        </w:rPr>
        <w:t>工基本医疗保险缴费、其他工资福利支出、抚恤金</w:t>
      </w:r>
      <w:r>
        <w:rPr>
          <w:rFonts w:hint="eastAsia"/>
          <w:spacing w:val="-13"/>
          <w:lang w:eastAsia="zh-CN"/>
        </w:rPr>
        <w:t>、退休费；</w:t>
      </w:r>
      <w:r>
        <w:rPr>
          <w:spacing w:val="7"/>
        </w:rPr>
        <w:t>公用经费120.84万元，占基本支出的7.65%,主要包括办公</w:t>
      </w:r>
      <w:r>
        <w:rPr>
          <w:spacing w:val="6"/>
        </w:rPr>
        <w:t>费、</w:t>
      </w:r>
      <w:r>
        <w:t xml:space="preserve"> </w:t>
      </w:r>
      <w:r>
        <w:rPr>
          <w:spacing w:val="-3"/>
        </w:rPr>
        <w:t>印刷费、水费、电费、邮电费、差旅费、维修(护)费、会议费、</w:t>
      </w:r>
      <w:r>
        <w:rPr>
          <w:spacing w:val="16"/>
        </w:rPr>
        <w:t xml:space="preserve"> </w:t>
      </w:r>
      <w:r>
        <w:rPr>
          <w:spacing w:val="-7"/>
        </w:rPr>
        <w:t>培训费、专用材料费、劳务费、工会经费、福利费、公务</w:t>
      </w:r>
      <w:r>
        <w:rPr>
          <w:spacing w:val="-8"/>
        </w:rPr>
        <w:t>用车运</w:t>
      </w:r>
      <w:r>
        <w:t xml:space="preserve"> </w:t>
      </w:r>
      <w:r>
        <w:rPr>
          <w:spacing w:val="-3"/>
        </w:rPr>
        <w:t>行维护费、其他交通费用、其他商品和服务支出。</w:t>
      </w:r>
    </w:p>
    <w:p w14:paraId="79E21918">
      <w:pPr>
        <w:pStyle w:val="2"/>
        <w:spacing w:before="41" w:line="373" w:lineRule="auto"/>
        <w:ind w:left="1729" w:right="44" w:firstLine="760"/>
        <w:jc w:val="both"/>
        <w:rPr>
          <w:sz w:val="31"/>
          <w:szCs w:val="31"/>
        </w:rPr>
      </w:pPr>
      <w:r>
        <w:rPr>
          <w:spacing w:val="-6"/>
          <w:sz w:val="31"/>
          <w:szCs w:val="31"/>
        </w:rPr>
        <w:t>(2)2025年“三公”经费12.80万元，其中：因公出国(</w:t>
      </w:r>
      <w:r>
        <w:rPr>
          <w:spacing w:val="-7"/>
          <w:sz w:val="31"/>
          <w:szCs w:val="31"/>
        </w:rPr>
        <w:t>境)</w:t>
      </w:r>
      <w:r>
        <w:rPr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 xml:space="preserve">0  </w:t>
      </w:r>
      <w:r>
        <w:rPr>
          <w:spacing w:val="-3"/>
          <w:sz w:val="31"/>
          <w:szCs w:val="31"/>
        </w:rPr>
        <w:t>万元、公务用车购置及运行维护费12.80</w:t>
      </w:r>
      <w:r>
        <w:rPr>
          <w:spacing w:val="-4"/>
          <w:sz w:val="31"/>
          <w:szCs w:val="31"/>
        </w:rPr>
        <w:t>万元、公务接待费0</w:t>
      </w:r>
      <w:r>
        <w:rPr>
          <w:sz w:val="31"/>
          <w:szCs w:val="31"/>
        </w:rPr>
        <w:t xml:space="preserve"> </w:t>
      </w:r>
      <w:r>
        <w:rPr>
          <w:spacing w:val="-15"/>
          <w:sz w:val="31"/>
          <w:szCs w:val="31"/>
        </w:rPr>
        <w:t>万元。</w:t>
      </w:r>
    </w:p>
    <w:p w14:paraId="0CB5A384">
      <w:pPr>
        <w:pStyle w:val="2"/>
        <w:spacing w:before="8" w:line="395" w:lineRule="auto"/>
        <w:ind w:left="1729" w:right="180" w:firstLine="600"/>
        <w:jc w:val="both"/>
        <w:rPr>
          <w:spacing w:val="11"/>
        </w:rPr>
      </w:pPr>
      <w:r>
        <w:rPr>
          <w:spacing w:val="1"/>
        </w:rPr>
        <w:t>2025年为更好地贯彻落实中央厉行节约的有关规定，财务</w:t>
      </w:r>
      <w:r>
        <w:t xml:space="preserve"> </w:t>
      </w:r>
      <w:r>
        <w:rPr>
          <w:spacing w:val="5"/>
        </w:rPr>
        <w:t>管理不断加强，年度内“三公”经费预算16.80万</w:t>
      </w:r>
      <w:r>
        <w:rPr>
          <w:spacing w:val="4"/>
        </w:rPr>
        <w:t>元，2025年</w:t>
      </w:r>
      <w:r>
        <w:t xml:space="preserve"> </w:t>
      </w:r>
      <w:r>
        <w:rPr>
          <w:spacing w:val="11"/>
        </w:rPr>
        <w:t>实际支出是12.80万元，实际支出较2024年13.47万元减少了</w:t>
      </w:r>
      <w:r>
        <w:rPr>
          <w:rFonts w:hint="eastAsia"/>
          <w:spacing w:val="-28"/>
          <w:sz w:val="32"/>
          <w:szCs w:val="32"/>
          <w:lang w:val="en-US" w:eastAsia="zh-CN"/>
        </w:rPr>
        <w:t>0.67万元；实际支出较预算支出减少了4.00万元，“三公”经费</w:t>
      </w:r>
    </w:p>
    <w:p w14:paraId="142D56CF">
      <w:pPr>
        <w:pStyle w:val="2"/>
        <w:spacing w:before="8" w:line="395" w:lineRule="auto"/>
        <w:ind w:right="180" w:firstLine="1584" w:firstLineChars="600"/>
        <w:jc w:val="both"/>
        <w:rPr>
          <w:spacing w:val="11"/>
        </w:rPr>
        <w:sectPr>
          <w:headerReference r:id="rId7" w:type="default"/>
          <w:footerReference r:id="rId8" w:type="default"/>
          <w:pgSz w:w="11920" w:h="16830"/>
          <w:pgMar w:top="1" w:right="1788" w:bottom="1283" w:left="40" w:header="0" w:footer="1120" w:gutter="0"/>
          <w:cols w:space="720" w:num="1"/>
        </w:sectPr>
      </w:pPr>
      <w:r>
        <w:rPr>
          <w:spacing w:val="-28"/>
          <w:sz w:val="32"/>
          <w:szCs w:val="32"/>
        </w:rPr>
        <w:t>得到有效控制。</w:t>
      </w:r>
    </w:p>
    <w:p w14:paraId="77A492BC">
      <w:pPr>
        <w:spacing w:line="318" w:lineRule="auto"/>
        <w:rPr>
          <w:rFonts w:ascii="Arial"/>
          <w:sz w:val="21"/>
        </w:rPr>
      </w:pPr>
    </w:p>
    <w:p w14:paraId="52E8B905">
      <w:pPr>
        <w:pStyle w:val="2"/>
        <w:spacing w:before="104" w:line="317" w:lineRule="auto"/>
        <w:ind w:left="2028" w:leftChars="932" w:hanging="71" w:hangingChars="27"/>
        <w:rPr>
          <w:sz w:val="32"/>
          <w:szCs w:val="32"/>
        </w:rPr>
      </w:pPr>
      <w:r>
        <w:rPr>
          <w:rFonts w:hint="eastAsia"/>
          <w:spacing w:val="-28"/>
          <w:sz w:val="32"/>
          <w:szCs w:val="32"/>
          <w:lang w:val="en-US" w:eastAsia="zh-CN"/>
        </w:rPr>
        <w:t xml:space="preserve">                 </w:t>
      </w:r>
    </w:p>
    <w:p w14:paraId="246A3163">
      <w:pPr>
        <w:pStyle w:val="2"/>
        <w:spacing w:before="277" w:line="222" w:lineRule="auto"/>
        <w:ind w:left="2540"/>
        <w:rPr>
          <w:sz w:val="32"/>
          <w:szCs w:val="32"/>
        </w:rPr>
      </w:pPr>
      <w:r>
        <w:rPr>
          <w:spacing w:val="-4"/>
          <w:sz w:val="32"/>
          <w:szCs w:val="32"/>
        </w:rPr>
        <w:t>(二)项目支出情况</w:t>
      </w:r>
    </w:p>
    <w:p w14:paraId="07BA428B">
      <w:pPr>
        <w:pStyle w:val="2"/>
        <w:spacing w:before="282" w:line="222" w:lineRule="auto"/>
        <w:ind w:left="2340"/>
      </w:pPr>
      <w:r>
        <w:rPr>
          <w:spacing w:val="6"/>
        </w:rPr>
        <w:t>一般公共预算财政拨款项目支出0万元。</w:t>
      </w:r>
    </w:p>
    <w:p w14:paraId="1C11CF86">
      <w:pPr>
        <w:pStyle w:val="2"/>
        <w:spacing w:before="188" w:line="220" w:lineRule="auto"/>
        <w:ind w:left="2340"/>
        <w:rPr>
          <w:sz w:val="32"/>
          <w:szCs w:val="32"/>
        </w:rPr>
      </w:pPr>
      <w:r>
        <w:rPr>
          <w:spacing w:val="-21"/>
          <w:sz w:val="32"/>
          <w:szCs w:val="32"/>
        </w:rPr>
        <w:t>三、政府性基金预算支出情况</w:t>
      </w:r>
    </w:p>
    <w:p w14:paraId="57F8C256">
      <w:pPr>
        <w:pStyle w:val="2"/>
        <w:spacing w:before="288" w:line="220" w:lineRule="auto"/>
        <w:ind w:left="2340"/>
      </w:pPr>
      <w:r>
        <w:rPr>
          <w:spacing w:val="1"/>
        </w:rPr>
        <w:t>2025年度本单位无政府性基金预算支出。</w:t>
      </w:r>
    </w:p>
    <w:p w14:paraId="4524C669">
      <w:pPr>
        <w:pStyle w:val="2"/>
        <w:spacing w:before="233" w:line="222" w:lineRule="auto"/>
        <w:ind w:left="2340"/>
      </w:pPr>
      <w:r>
        <w:rPr>
          <w:spacing w:val="-2"/>
        </w:rPr>
        <w:t>四、国有资本经营预算支出情况</w:t>
      </w:r>
    </w:p>
    <w:p w14:paraId="55DBF1FC">
      <w:pPr>
        <w:pStyle w:val="2"/>
        <w:spacing w:before="259" w:line="221" w:lineRule="auto"/>
        <w:ind w:left="2340"/>
      </w:pPr>
      <w:r>
        <w:rPr>
          <w:spacing w:val="1"/>
        </w:rPr>
        <w:t>2025年度本单位无国有资本经营预算支出。</w:t>
      </w:r>
    </w:p>
    <w:p w14:paraId="6850ABF3">
      <w:pPr>
        <w:pStyle w:val="2"/>
        <w:spacing w:before="281" w:line="221" w:lineRule="auto"/>
        <w:ind w:left="2340"/>
      </w:pPr>
      <w:r>
        <w:rPr>
          <w:spacing w:val="-2"/>
        </w:rPr>
        <w:t>五、社会保险基金预算支出情况</w:t>
      </w:r>
    </w:p>
    <w:p w14:paraId="4CCBA79A">
      <w:pPr>
        <w:pStyle w:val="2"/>
        <w:spacing w:before="291" w:line="221" w:lineRule="auto"/>
        <w:ind w:left="2340"/>
      </w:pPr>
      <w:r>
        <w:rPr>
          <w:spacing w:val="1"/>
        </w:rPr>
        <w:t>2025年度本单位无社会保险基金预算支出。</w:t>
      </w:r>
    </w:p>
    <w:p w14:paraId="15A61373">
      <w:pPr>
        <w:pStyle w:val="2"/>
        <w:spacing w:before="241" w:line="222" w:lineRule="auto"/>
        <w:ind w:left="2340"/>
      </w:pPr>
      <w:r>
        <w:rPr>
          <w:spacing w:val="-1"/>
        </w:rPr>
        <w:t>六、部门整体支出绩效情况</w:t>
      </w:r>
    </w:p>
    <w:p w14:paraId="4003332D">
      <w:pPr>
        <w:pStyle w:val="2"/>
        <w:spacing w:before="284" w:line="359" w:lineRule="auto"/>
        <w:ind w:left="1780" w:right="1720" w:firstLine="649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7"/>
          <w:sz w:val="32"/>
          <w:szCs w:val="32"/>
        </w:rPr>
        <w:t xml:space="preserve">1. </w:t>
      </w:r>
      <w:r>
        <w:rPr>
          <w:spacing w:val="7"/>
          <w:sz w:val="32"/>
          <w:szCs w:val="32"/>
        </w:rPr>
        <w:t>专项整治成效显著。累计清理出店经营2000户次、</w:t>
      </w:r>
      <w:r>
        <w:rPr>
          <w:sz w:val="32"/>
          <w:szCs w:val="32"/>
        </w:rPr>
        <w:t xml:space="preserve">  </w:t>
      </w:r>
      <w:r>
        <w:rPr>
          <w:spacing w:val="14"/>
          <w:sz w:val="32"/>
          <w:szCs w:val="32"/>
        </w:rPr>
        <w:t>流动摊点2000处次，规范设置小推车售卖点4处(管理130</w:t>
      </w:r>
      <w:r>
        <w:rPr>
          <w:sz w:val="32"/>
          <w:szCs w:val="32"/>
        </w:rPr>
        <w:t xml:space="preserve"> </w:t>
      </w:r>
      <w:r>
        <w:rPr>
          <w:spacing w:val="13"/>
          <w:sz w:val="32"/>
          <w:szCs w:val="32"/>
        </w:rPr>
        <w:t>余台)、自产自销果蔬集中销售点23处(380余个摊位);处</w:t>
      </w:r>
      <w:r>
        <w:rPr>
          <w:spacing w:val="4"/>
          <w:sz w:val="32"/>
          <w:szCs w:val="32"/>
        </w:rPr>
        <w:t xml:space="preserve"> </w:t>
      </w:r>
      <w:r>
        <w:rPr>
          <w:spacing w:val="8"/>
          <w:sz w:val="32"/>
          <w:szCs w:val="32"/>
        </w:rPr>
        <w:t>置违停机动车8000余台次、非机动车4000余台次，录入严</w:t>
      </w:r>
      <w:r>
        <w:rPr>
          <w:sz w:val="32"/>
          <w:szCs w:val="32"/>
        </w:rPr>
        <w:t xml:space="preserve"> </w:t>
      </w:r>
      <w:r>
        <w:rPr>
          <w:spacing w:val="18"/>
          <w:sz w:val="32"/>
          <w:szCs w:val="32"/>
        </w:rPr>
        <w:t>重违停信息2361辆；拆除存量违建5处(9750平方米</w:t>
      </w:r>
      <w:r>
        <w:rPr>
          <w:spacing w:val="17"/>
          <w:sz w:val="32"/>
          <w:szCs w:val="32"/>
        </w:rPr>
        <w:t>),全</w:t>
      </w:r>
      <w:r>
        <w:rPr>
          <w:sz w:val="32"/>
          <w:szCs w:val="32"/>
        </w:rPr>
        <w:t xml:space="preserve">  </w:t>
      </w:r>
      <w:r>
        <w:rPr>
          <w:spacing w:val="-4"/>
          <w:sz w:val="32"/>
          <w:szCs w:val="32"/>
        </w:rPr>
        <w:t>年累计拆除违建5.4万平方米，新增违建</w:t>
      </w:r>
      <w:r>
        <w:rPr>
          <w:spacing w:val="-5"/>
          <w:sz w:val="32"/>
          <w:szCs w:val="32"/>
        </w:rPr>
        <w:t>实现“动态清零”。</w:t>
      </w:r>
    </w:p>
    <w:p w14:paraId="48558918">
      <w:pPr>
        <w:pStyle w:val="2"/>
        <w:spacing w:before="6" w:line="346" w:lineRule="auto"/>
        <w:ind w:left="1780" w:right="1845" w:firstLine="560"/>
        <w:jc w:val="both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pacing w:val="2"/>
          <w:sz w:val="33"/>
          <w:szCs w:val="33"/>
        </w:rPr>
        <w:t xml:space="preserve">2. </w:t>
      </w:r>
      <w:r>
        <w:rPr>
          <w:spacing w:val="2"/>
          <w:sz w:val="33"/>
          <w:szCs w:val="33"/>
        </w:rPr>
        <w:t>执法规范化推进。审批户外广告及招</w:t>
      </w:r>
      <w:r>
        <w:rPr>
          <w:spacing w:val="1"/>
          <w:sz w:val="33"/>
          <w:szCs w:val="33"/>
        </w:rPr>
        <w:t>牌372件(通过</w:t>
      </w:r>
      <w:r>
        <w:rPr>
          <w:sz w:val="33"/>
          <w:szCs w:val="33"/>
        </w:rPr>
        <w:t xml:space="preserve"> </w:t>
      </w:r>
      <w:r>
        <w:rPr>
          <w:spacing w:val="21"/>
          <w:sz w:val="33"/>
          <w:szCs w:val="33"/>
        </w:rPr>
        <w:t>率100%),拆除违规广告227处(1000平</w:t>
      </w:r>
      <w:r>
        <w:rPr>
          <w:spacing w:val="20"/>
          <w:sz w:val="33"/>
          <w:szCs w:val="33"/>
        </w:rPr>
        <w:t>方米);依托数字</w:t>
      </w:r>
      <w:r>
        <w:rPr>
          <w:sz w:val="33"/>
          <w:szCs w:val="33"/>
        </w:rPr>
        <w:t xml:space="preserve"> </w:t>
      </w:r>
      <w:r>
        <w:rPr>
          <w:spacing w:val="-2"/>
          <w:sz w:val="33"/>
          <w:szCs w:val="33"/>
        </w:rPr>
        <w:t>城管平台受理案件超3000件，办结率96%。</w:t>
      </w:r>
    </w:p>
    <w:p w14:paraId="17BD03F1">
      <w:pPr>
        <w:pStyle w:val="2"/>
        <w:spacing w:before="9" w:line="219" w:lineRule="auto"/>
        <w:ind w:left="2340"/>
        <w:rPr>
          <w:sz w:val="32"/>
          <w:szCs w:val="32"/>
        </w:rPr>
      </w:pPr>
      <w:r>
        <w:rPr>
          <w:spacing w:val="-20"/>
          <w:sz w:val="32"/>
          <w:szCs w:val="32"/>
        </w:rPr>
        <w:t>七、存在的问题及原因分析</w:t>
      </w:r>
    </w:p>
    <w:p w14:paraId="12CA126E">
      <w:pPr>
        <w:pStyle w:val="2"/>
        <w:spacing w:before="300" w:line="220" w:lineRule="auto"/>
        <w:ind w:left="2340"/>
      </w:pPr>
      <w:r>
        <w:rPr>
          <w:rFonts w:hint="eastAsia" w:ascii="仿宋" w:hAnsi="仿宋" w:eastAsia="仿宋" w:cs="仿宋"/>
          <w:spacing w:val="-1"/>
          <w:sz w:val="32"/>
          <w:szCs w:val="32"/>
        </w:rPr>
        <w:t>1</w:t>
      </w:r>
      <w:r>
        <w:rPr>
          <w:rFonts w:hint="eastAsia" w:ascii="仿宋" w:hAnsi="仿宋" w:eastAsia="仿宋" w:cs="仿宋"/>
          <w:spacing w:val="-35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、预算绩效管理机制有待进一步完善，需进一步结合工作</w:t>
      </w:r>
    </w:p>
    <w:p w14:paraId="52C47B5C">
      <w:pPr>
        <w:spacing w:line="220" w:lineRule="auto"/>
      </w:pPr>
    </w:p>
    <w:p w14:paraId="20F0868B">
      <w:pPr>
        <w:spacing w:line="220" w:lineRule="auto"/>
        <w:sectPr>
          <w:footerReference r:id="rId9" w:type="default"/>
          <w:pgSz w:w="11920" w:h="16830"/>
          <w:pgMar w:top="400" w:right="0" w:bottom="1325" w:left="59" w:header="0" w:footer="1163" w:gutter="0"/>
          <w:cols w:space="720" w:num="1"/>
        </w:sectPr>
      </w:pPr>
    </w:p>
    <w:p w14:paraId="58658F10">
      <w:pPr>
        <w:spacing w:line="219" w:lineRule="auto"/>
        <w:jc w:val="center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20"/>
          <w:sz w:val="30"/>
          <w:szCs w:val="30"/>
        </w:rPr>
        <w:t xml:space="preserve"> </w:t>
      </w:r>
    </w:p>
    <w:p w14:paraId="5F3AA1BD">
      <w:pPr>
        <w:rPr>
          <w:rFonts w:ascii="Arial"/>
          <w:sz w:val="21"/>
        </w:rPr>
      </w:pPr>
    </w:p>
    <w:p w14:paraId="505968BA">
      <w:pPr>
        <w:spacing w:line="241" w:lineRule="auto"/>
        <w:rPr>
          <w:rFonts w:ascii="Arial"/>
          <w:sz w:val="21"/>
        </w:rPr>
      </w:pPr>
    </w:p>
    <w:p w14:paraId="00EF3E3E">
      <w:pPr>
        <w:pStyle w:val="2"/>
        <w:spacing w:before="97" w:line="222" w:lineRule="auto"/>
        <w:ind w:left="183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5"/>
          <w:sz w:val="32"/>
          <w:szCs w:val="32"/>
        </w:rPr>
        <w:t>实际完善资金管理文件办法等。</w:t>
      </w:r>
    </w:p>
    <w:p w14:paraId="402837A2">
      <w:pPr>
        <w:pStyle w:val="2"/>
        <w:spacing w:before="98" w:line="285" w:lineRule="auto"/>
        <w:ind w:left="1839" w:right="1888" w:firstLine="50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2"/>
          <w:sz w:val="32"/>
          <w:szCs w:val="32"/>
        </w:rPr>
        <w:t>2、绩效目标设定不够细化，绩效目标的科学性、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合理性以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及量化可考核性有待进一步加强。</w:t>
      </w:r>
    </w:p>
    <w:p w14:paraId="75D23D39">
      <w:pPr>
        <w:pStyle w:val="2"/>
        <w:spacing w:before="303" w:line="221" w:lineRule="auto"/>
        <w:ind w:left="234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5"/>
          <w:sz w:val="32"/>
          <w:szCs w:val="32"/>
        </w:rPr>
        <w:t>3</w:t>
      </w:r>
      <w:r>
        <w:rPr>
          <w:rFonts w:hint="eastAsia" w:ascii="仿宋" w:hAnsi="仿宋" w:eastAsia="仿宋" w:cs="仿宋"/>
          <w:spacing w:val="-2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、内控制度执行有待进一步规范。</w:t>
      </w:r>
    </w:p>
    <w:p w14:paraId="299193A2">
      <w:pPr>
        <w:pStyle w:val="2"/>
        <w:spacing w:before="259" w:line="219" w:lineRule="auto"/>
        <w:ind w:left="2439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4</w:t>
      </w:r>
      <w:r>
        <w:rPr>
          <w:rFonts w:ascii="Times New Roman" w:hAnsi="Times New Roman" w:eastAsia="Times New Roman" w:cs="Times New Roman"/>
          <w:spacing w:val="-37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、</w:t>
      </w:r>
      <w:r>
        <w:rPr>
          <w:spacing w:val="-5"/>
          <w:sz w:val="32"/>
          <w:szCs w:val="32"/>
        </w:rPr>
        <w:t>存在预算资金不够细，支出与预算不够专的问题。</w:t>
      </w:r>
    </w:p>
    <w:p w14:paraId="5904EA4D">
      <w:pPr>
        <w:pStyle w:val="2"/>
        <w:spacing w:before="325" w:line="246" w:lineRule="auto"/>
        <w:ind w:left="1809" w:right="1882" w:firstLine="53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2"/>
          <w:sz w:val="32"/>
          <w:szCs w:val="32"/>
        </w:rPr>
        <w:t>5</w:t>
      </w:r>
      <w:r>
        <w:rPr>
          <w:rFonts w:hint="eastAsia"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2"/>
          <w:sz w:val="32"/>
          <w:szCs w:val="32"/>
        </w:rPr>
        <w:t>、资金到位比较滞后，甚至不到位，致使项目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建设速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度相对滞后。</w:t>
      </w:r>
    </w:p>
    <w:p w14:paraId="76E0BD46">
      <w:pPr>
        <w:pStyle w:val="2"/>
        <w:spacing w:before="148" w:line="222" w:lineRule="auto"/>
        <w:ind w:left="234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20"/>
          <w:sz w:val="32"/>
          <w:szCs w:val="32"/>
        </w:rPr>
        <w:t>八、下一步改进措施</w:t>
      </w:r>
    </w:p>
    <w:p w14:paraId="035F011D">
      <w:pPr>
        <w:spacing w:line="266" w:lineRule="auto"/>
        <w:rPr>
          <w:rFonts w:hint="eastAsia" w:ascii="仿宋" w:hAnsi="仿宋" w:eastAsia="仿宋" w:cs="仿宋"/>
          <w:sz w:val="21"/>
        </w:rPr>
      </w:pPr>
    </w:p>
    <w:p w14:paraId="79321F02">
      <w:pPr>
        <w:pStyle w:val="2"/>
        <w:spacing w:before="101" w:line="358" w:lineRule="auto"/>
        <w:ind w:left="1739" w:right="1729" w:firstLine="609"/>
        <w:jc w:val="both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z w:val="31"/>
          <w:szCs w:val="31"/>
        </w:rPr>
        <w:t>1、规范账务处理，提高财务信息质量。严格按照《会计</w:t>
      </w:r>
      <w:r>
        <w:rPr>
          <w:rFonts w:hint="eastAsia" w:ascii="仿宋" w:hAnsi="仿宋" w:eastAsia="仿宋" w:cs="仿宋"/>
          <w:spacing w:val="2"/>
          <w:sz w:val="31"/>
          <w:szCs w:val="31"/>
        </w:rPr>
        <w:t xml:space="preserve">  </w:t>
      </w:r>
      <w:r>
        <w:rPr>
          <w:rFonts w:hint="eastAsia" w:ascii="仿宋" w:hAnsi="仿宋" w:eastAsia="仿宋" w:cs="仿宋"/>
          <w:spacing w:val="6"/>
          <w:sz w:val="31"/>
          <w:szCs w:val="31"/>
        </w:rPr>
        <w:t>法》、《政府会计制度》等规定执行财务核算，并结合实际</w:t>
      </w:r>
      <w:r>
        <w:rPr>
          <w:rFonts w:hint="eastAsia" w:ascii="仿宋" w:hAnsi="仿宋" w:eastAsia="仿宋" w:cs="仿宋"/>
          <w:sz w:val="31"/>
          <w:szCs w:val="31"/>
        </w:rPr>
        <w:t xml:space="preserve">  情况，完整、准确地披露相关信息，做到决算</w:t>
      </w:r>
      <w:r>
        <w:rPr>
          <w:rFonts w:hint="eastAsia" w:ascii="仿宋" w:hAnsi="仿宋" w:eastAsia="仿宋" w:cs="仿宋"/>
          <w:spacing w:val="-1"/>
          <w:sz w:val="31"/>
          <w:szCs w:val="31"/>
        </w:rPr>
        <w:t>与预算相衔接。</w:t>
      </w:r>
      <w:r>
        <w:rPr>
          <w:rFonts w:hint="eastAsia" w:ascii="仿宋" w:hAnsi="仿宋" w:eastAsia="仿宋" w:cs="仿宋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-17"/>
          <w:sz w:val="31"/>
          <w:szCs w:val="31"/>
        </w:rPr>
        <w:t>财务部门应加强与各部门的沟通，了解具体的事项，合理安排资</w:t>
      </w:r>
      <w:r>
        <w:rPr>
          <w:rFonts w:hint="eastAsia" w:ascii="仿宋" w:hAnsi="仿宋" w:eastAsia="仿宋" w:cs="仿宋"/>
          <w:spacing w:val="7"/>
          <w:sz w:val="31"/>
          <w:szCs w:val="31"/>
        </w:rPr>
        <w:t xml:space="preserve">  </w:t>
      </w:r>
      <w:r>
        <w:rPr>
          <w:rFonts w:hint="eastAsia" w:ascii="仿宋" w:hAnsi="仿宋" w:eastAsia="仿宋" w:cs="仿宋"/>
          <w:spacing w:val="-16"/>
          <w:sz w:val="31"/>
          <w:szCs w:val="31"/>
        </w:rPr>
        <w:t>金支付，提高财务核算的准确性，加强人才队伍建设，提高业务</w:t>
      </w:r>
      <w:r>
        <w:rPr>
          <w:rFonts w:hint="eastAsia"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-13"/>
          <w:sz w:val="31"/>
          <w:szCs w:val="31"/>
        </w:rPr>
        <w:t>能力水平。</w:t>
      </w:r>
    </w:p>
    <w:p w14:paraId="7454CA3A">
      <w:pPr>
        <w:pStyle w:val="2"/>
        <w:spacing w:before="86" w:line="373" w:lineRule="auto"/>
        <w:ind w:left="1739" w:right="1754" w:firstLine="609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3"/>
        </w:rPr>
        <w:t>2</w:t>
      </w:r>
      <w:r>
        <w:rPr>
          <w:rFonts w:hint="eastAsia" w:ascii="仿宋" w:hAnsi="仿宋" w:eastAsia="仿宋" w:cs="仿宋"/>
          <w:spacing w:val="-37"/>
        </w:rPr>
        <w:t xml:space="preserve"> </w:t>
      </w:r>
      <w:r>
        <w:rPr>
          <w:rFonts w:hint="eastAsia" w:ascii="仿宋" w:hAnsi="仿宋" w:eastAsia="仿宋" w:cs="仿宋"/>
          <w:spacing w:val="-3"/>
        </w:rPr>
        <w:t>、明确职责，加强项目管理。一是应针对每一个项目制定</w:t>
      </w:r>
      <w:r>
        <w:rPr>
          <w:rFonts w:hint="eastAsia" w:ascii="仿宋" w:hAnsi="仿宋" w:eastAsia="仿宋" w:cs="仿宋"/>
        </w:rPr>
        <w:t xml:space="preserve"> </w:t>
      </w:r>
      <w:r>
        <w:rPr>
          <w:rFonts w:hint="eastAsia" w:ascii="仿宋" w:hAnsi="仿宋" w:eastAsia="仿宋" w:cs="仿宋"/>
          <w:spacing w:val="-13"/>
        </w:rPr>
        <w:t>工作目标，科学编制和细化预算，做到预算有目标，执行有细则，</w:t>
      </w:r>
      <w:r>
        <w:rPr>
          <w:rFonts w:hint="eastAsia" w:ascii="仿宋" w:hAnsi="仿宋" w:eastAsia="仿宋" w:cs="仿宋"/>
          <w:spacing w:val="15"/>
        </w:rPr>
        <w:t xml:space="preserve"> </w:t>
      </w:r>
      <w:r>
        <w:rPr>
          <w:rFonts w:hint="eastAsia" w:ascii="仿宋" w:hAnsi="仿宋" w:eastAsia="仿宋" w:cs="仿宋"/>
          <w:spacing w:val="-3"/>
        </w:rPr>
        <w:t>控制专项支出，提高资金的使用效益。</w:t>
      </w:r>
    </w:p>
    <w:p w14:paraId="367304E4">
      <w:pPr>
        <w:pStyle w:val="2"/>
        <w:spacing w:before="52" w:line="341" w:lineRule="auto"/>
        <w:ind w:left="1739" w:right="1833" w:firstLine="609"/>
        <w:jc w:val="both"/>
        <w:rPr>
          <w:rFonts w:hint="eastAsia" w:ascii="仿宋" w:hAnsi="仿宋" w:eastAsia="仿宋" w:cs="仿宋"/>
          <w:sz w:val="33"/>
          <w:szCs w:val="33"/>
        </w:rPr>
      </w:pPr>
      <w:r>
        <w:rPr>
          <w:rFonts w:hint="eastAsia" w:ascii="仿宋" w:hAnsi="仿宋" w:eastAsia="仿宋" w:cs="仿宋"/>
          <w:spacing w:val="-6"/>
          <w:sz w:val="33"/>
          <w:szCs w:val="33"/>
        </w:rPr>
        <w:t>3</w:t>
      </w:r>
      <w:r>
        <w:rPr>
          <w:rFonts w:hint="eastAsia" w:ascii="仿宋" w:hAnsi="仿宋" w:eastAsia="仿宋" w:cs="仿宋"/>
          <w:spacing w:val="-44"/>
          <w:sz w:val="33"/>
          <w:szCs w:val="33"/>
        </w:rPr>
        <w:t xml:space="preserve"> </w:t>
      </w:r>
      <w:r>
        <w:rPr>
          <w:rFonts w:hint="eastAsia" w:ascii="仿宋" w:hAnsi="仿宋" w:eastAsia="仿宋" w:cs="仿宋"/>
          <w:spacing w:val="-6"/>
          <w:sz w:val="33"/>
          <w:szCs w:val="33"/>
        </w:rPr>
        <w:t>、通过对预算绩效管理工作的制度、流程和职责的梳</w:t>
      </w:r>
      <w:r>
        <w:rPr>
          <w:rFonts w:hint="eastAsia" w:ascii="仿宋" w:hAnsi="仿宋" w:eastAsia="仿宋" w:cs="仿宋"/>
          <w:spacing w:val="-1"/>
          <w:sz w:val="33"/>
          <w:szCs w:val="33"/>
        </w:rPr>
        <w:t>理，制定适应单位特点的预算绩效管理制度及相关实施细</w:t>
      </w:r>
      <w:r>
        <w:rPr>
          <w:rFonts w:hint="eastAsia" w:ascii="仿宋" w:hAnsi="仿宋" w:eastAsia="仿宋" w:cs="仿宋"/>
          <w:spacing w:val="-14"/>
          <w:sz w:val="33"/>
          <w:szCs w:val="33"/>
        </w:rPr>
        <w:t>则，以提升预算绩效管理工作的整体规划性。</w:t>
      </w:r>
    </w:p>
    <w:p w14:paraId="10B4274D">
      <w:pPr>
        <w:pStyle w:val="2"/>
        <w:spacing w:before="62" w:line="365" w:lineRule="auto"/>
        <w:ind w:left="1739" w:right="1884" w:firstLine="60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2"/>
          <w:sz w:val="32"/>
          <w:szCs w:val="32"/>
        </w:rPr>
        <w:t>4</w:t>
      </w:r>
      <w:r>
        <w:rPr>
          <w:rFonts w:hint="eastAsia"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2"/>
          <w:sz w:val="32"/>
          <w:szCs w:val="32"/>
        </w:rPr>
        <w:t>、构建更为科学合理的财政资金绩效评价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体系，合理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化设置绩效目标指标体系，充分激发科技创新活力。</w:t>
      </w:r>
    </w:p>
    <w:p w14:paraId="3BC89107">
      <w:pPr>
        <w:spacing w:before="241" w:line="188" w:lineRule="auto"/>
        <w:ind w:left="5809"/>
        <w:rPr>
          <w:rFonts w:hint="eastAsia" w:ascii="仿宋" w:hAnsi="仿宋" w:eastAsia="仿宋" w:cs="仿宋"/>
          <w:sz w:val="15"/>
          <w:szCs w:val="15"/>
        </w:rPr>
      </w:pPr>
      <w:r>
        <w:rPr>
          <w:rFonts w:hint="eastAsia" w:ascii="仿宋" w:hAnsi="仿宋" w:eastAsia="仿宋" w:cs="仿宋"/>
          <w:spacing w:val="-1"/>
          <w:sz w:val="15"/>
          <w:szCs w:val="15"/>
        </w:rPr>
        <w:t>4.</w:t>
      </w:r>
    </w:p>
    <w:p w14:paraId="26DA4C9A">
      <w:pPr>
        <w:spacing w:line="188" w:lineRule="auto"/>
        <w:rPr>
          <w:rFonts w:hint="eastAsia" w:ascii="仿宋" w:hAnsi="仿宋" w:eastAsia="仿宋" w:cs="仿宋"/>
          <w:sz w:val="15"/>
          <w:szCs w:val="15"/>
        </w:rPr>
        <w:sectPr>
          <w:footerReference r:id="rId10" w:type="default"/>
          <w:pgSz w:w="11920" w:h="16830"/>
          <w:pgMar w:top="352" w:right="55" w:bottom="400" w:left="30" w:header="0" w:footer="0" w:gutter="0"/>
          <w:cols w:space="720" w:num="1"/>
        </w:sectPr>
      </w:pPr>
    </w:p>
    <w:p w14:paraId="7B2EE7C2">
      <w:pPr>
        <w:spacing w:line="263" w:lineRule="auto"/>
        <w:rPr>
          <w:rFonts w:hint="eastAsia" w:ascii="仿宋" w:hAnsi="仿宋" w:eastAsia="仿宋" w:cs="仿宋"/>
          <w:sz w:val="21"/>
        </w:rPr>
      </w:pPr>
    </w:p>
    <w:p w14:paraId="40A6C5C0">
      <w:pPr>
        <w:spacing w:line="263" w:lineRule="auto"/>
        <w:rPr>
          <w:rFonts w:hint="eastAsia" w:ascii="仿宋" w:hAnsi="仿宋" w:eastAsia="仿宋" w:cs="仿宋"/>
          <w:sz w:val="21"/>
        </w:rPr>
      </w:pPr>
    </w:p>
    <w:p w14:paraId="5CEA79B4">
      <w:pPr>
        <w:spacing w:line="264" w:lineRule="auto"/>
        <w:rPr>
          <w:rFonts w:hint="eastAsia" w:ascii="仿宋" w:hAnsi="仿宋" w:eastAsia="仿宋" w:cs="仿宋"/>
          <w:sz w:val="21"/>
        </w:rPr>
      </w:pPr>
    </w:p>
    <w:p w14:paraId="115301A1">
      <w:pPr>
        <w:spacing w:line="264" w:lineRule="auto"/>
        <w:rPr>
          <w:rFonts w:hint="eastAsia" w:ascii="仿宋" w:hAnsi="仿宋" w:eastAsia="仿宋" w:cs="仿宋"/>
          <w:sz w:val="21"/>
        </w:rPr>
      </w:pPr>
    </w:p>
    <w:p w14:paraId="6E9E09D8">
      <w:pPr>
        <w:pStyle w:val="2"/>
        <w:spacing w:before="104" w:line="358" w:lineRule="auto"/>
        <w:ind w:left="73" w:right="32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3"/>
          <w:sz w:val="32"/>
          <w:szCs w:val="32"/>
        </w:rPr>
        <w:t>5、加强内控管理保障各项工作合规进行，通过定</w:t>
      </w:r>
      <w:r>
        <w:rPr>
          <w:rFonts w:hint="eastAsia" w:ascii="仿宋" w:hAnsi="仿宋" w:eastAsia="仿宋" w:cs="仿宋"/>
          <w:spacing w:val="2"/>
          <w:sz w:val="32"/>
          <w:szCs w:val="32"/>
        </w:rPr>
        <w:t>期绩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效评价规范内控执行，并根据绩效评价结果及时纠偏，确保</w:t>
      </w:r>
      <w:r>
        <w:rPr>
          <w:rFonts w:hint="eastAsia" w:ascii="仿宋" w:hAnsi="仿宋" w:eastAsia="仿宋" w:cs="仿宋"/>
          <w:spacing w:val="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内控执行的有效性。</w:t>
      </w:r>
    </w:p>
    <w:p w14:paraId="3FA82336">
      <w:pPr>
        <w:pStyle w:val="2"/>
        <w:spacing w:before="24" w:line="222" w:lineRule="auto"/>
        <w:ind w:left="543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3"/>
        </w:rPr>
        <w:t>九、绩效自评结果拟应用和公开情况</w:t>
      </w:r>
    </w:p>
    <w:p w14:paraId="426B6D58">
      <w:pPr>
        <w:pStyle w:val="2"/>
        <w:spacing w:before="254" w:line="219" w:lineRule="auto"/>
        <w:ind w:left="543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3"/>
        </w:rPr>
        <w:t>按照要求将部门整体支出自评结果在部门门户网站进行公</w:t>
      </w:r>
    </w:p>
    <w:p w14:paraId="46AEF4A0">
      <w:pPr>
        <w:pStyle w:val="2"/>
        <w:spacing w:before="265" w:line="382" w:lineRule="auto"/>
        <w:ind w:left="73" w:right="32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6"/>
        </w:rPr>
        <w:t>开，优化支出结构、完善相关办法、改进预算管理。强化</w:t>
      </w:r>
      <w:r>
        <w:rPr>
          <w:rFonts w:hint="eastAsia" w:ascii="仿宋" w:hAnsi="仿宋" w:eastAsia="仿宋" w:cs="仿宋"/>
          <w:spacing w:val="-7"/>
        </w:rPr>
        <w:t>结果应</w:t>
      </w:r>
      <w:r>
        <w:rPr>
          <w:rFonts w:hint="eastAsia" w:ascii="仿宋" w:hAnsi="仿宋" w:eastAsia="仿宋" w:cs="仿宋"/>
        </w:rPr>
        <w:t xml:space="preserve"> </w:t>
      </w:r>
      <w:r>
        <w:rPr>
          <w:rFonts w:hint="eastAsia" w:ascii="仿宋" w:hAnsi="仿宋" w:eastAsia="仿宋" w:cs="仿宋"/>
          <w:spacing w:val="-7"/>
        </w:rPr>
        <w:t>用，建立完善评价结果与预算调整、改进管理、完善政策挂钩机</w:t>
      </w:r>
      <w:r>
        <w:rPr>
          <w:rFonts w:hint="eastAsia" w:ascii="仿宋" w:hAnsi="仿宋" w:eastAsia="仿宋" w:cs="仿宋"/>
          <w:spacing w:val="13"/>
        </w:rPr>
        <w:t xml:space="preserve"> </w:t>
      </w:r>
      <w:r>
        <w:rPr>
          <w:rFonts w:hint="eastAsia" w:ascii="仿宋" w:hAnsi="仿宋" w:eastAsia="仿宋" w:cs="仿宋"/>
          <w:spacing w:val="-11"/>
        </w:rPr>
        <w:t>制。</w:t>
      </w:r>
    </w:p>
    <w:p w14:paraId="29FC9EE0">
      <w:pPr>
        <w:pStyle w:val="2"/>
        <w:spacing w:before="1" w:line="221" w:lineRule="auto"/>
        <w:ind w:left="543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22"/>
          <w:sz w:val="32"/>
          <w:szCs w:val="32"/>
        </w:rPr>
        <w:t>十、其他需要说明的情况</w:t>
      </w:r>
    </w:p>
    <w:p w14:paraId="1C695610">
      <w:pPr>
        <w:pStyle w:val="2"/>
        <w:spacing w:before="262" w:line="225" w:lineRule="auto"/>
        <w:ind w:left="543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13"/>
          <w:sz w:val="32"/>
          <w:szCs w:val="32"/>
        </w:rPr>
        <w:t>无。</w:t>
      </w:r>
    </w:p>
    <w:p w14:paraId="5259C979">
      <w:pPr>
        <w:spacing w:line="289" w:lineRule="auto"/>
        <w:rPr>
          <w:rFonts w:hint="eastAsia" w:ascii="仿宋" w:hAnsi="仿宋" w:eastAsia="仿宋" w:cs="仿宋"/>
          <w:sz w:val="21"/>
        </w:rPr>
      </w:pPr>
    </w:p>
    <w:p w14:paraId="5B4332EC">
      <w:pPr>
        <w:spacing w:line="289" w:lineRule="auto"/>
        <w:rPr>
          <w:rFonts w:hint="eastAsia" w:ascii="仿宋" w:hAnsi="仿宋" w:eastAsia="仿宋" w:cs="仿宋"/>
          <w:sz w:val="21"/>
        </w:rPr>
      </w:pPr>
    </w:p>
    <w:p w14:paraId="60BB44BE">
      <w:pPr>
        <w:spacing w:line="290" w:lineRule="auto"/>
        <w:rPr>
          <w:rFonts w:hint="eastAsia" w:ascii="仿宋" w:hAnsi="仿宋" w:eastAsia="仿宋" w:cs="仿宋"/>
          <w:sz w:val="21"/>
        </w:rPr>
      </w:pPr>
    </w:p>
    <w:p w14:paraId="4F551A21">
      <w:pPr>
        <w:pStyle w:val="2"/>
        <w:spacing w:before="98" w:line="221" w:lineRule="auto"/>
        <w:ind w:right="23"/>
        <w:jc w:val="righ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2"/>
        </w:rPr>
        <w:t>道县城市管理综合行政执法大队</w:t>
      </w:r>
    </w:p>
    <w:p w14:paraId="3AFCD9F0">
      <w:pPr>
        <w:pStyle w:val="2"/>
        <w:spacing w:before="273" w:line="222" w:lineRule="auto"/>
        <w:ind w:left="5043"/>
        <w:rPr>
          <w:rFonts w:hint="eastAsia" w:ascii="仿宋" w:hAnsi="仿宋" w:eastAsia="仿宋" w:cs="仿宋"/>
          <w:spacing w:val="37"/>
        </w:rPr>
      </w:pPr>
      <w:r>
        <w:rPr>
          <w:rFonts w:hint="eastAsia" w:ascii="仿宋" w:hAnsi="仿宋" w:eastAsia="仿宋" w:cs="仿宋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-5992495</wp:posOffset>
            </wp:positionH>
            <wp:positionV relativeFrom="paragraph">
              <wp:posOffset>367665</wp:posOffset>
            </wp:positionV>
            <wp:extent cx="1447800" cy="14478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47756" cy="1447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pacing w:val="37"/>
        </w:rPr>
        <w:t>2026年6月13日</w:t>
      </w:r>
    </w:p>
    <w:p w14:paraId="6AA01AB5">
      <w:pPr>
        <w:pStyle w:val="2"/>
        <w:spacing w:before="273" w:line="222" w:lineRule="auto"/>
        <w:ind w:left="5043"/>
        <w:rPr>
          <w:rFonts w:hint="eastAsia" w:ascii="仿宋" w:hAnsi="仿宋" w:eastAsia="仿宋" w:cs="仿宋"/>
          <w:spacing w:val="37"/>
        </w:rPr>
      </w:pPr>
    </w:p>
    <w:p w14:paraId="0F41AA55">
      <w:pPr>
        <w:pStyle w:val="2"/>
        <w:spacing w:before="273" w:line="222" w:lineRule="auto"/>
        <w:ind w:left="5043"/>
        <w:rPr>
          <w:rFonts w:hint="eastAsia" w:ascii="仿宋" w:hAnsi="仿宋" w:eastAsia="仿宋" w:cs="仿宋"/>
          <w:spacing w:val="37"/>
        </w:rPr>
      </w:pPr>
    </w:p>
    <w:p w14:paraId="37947ADD">
      <w:pPr>
        <w:pStyle w:val="2"/>
        <w:spacing w:before="273" w:line="222" w:lineRule="auto"/>
        <w:ind w:left="5043"/>
        <w:rPr>
          <w:rFonts w:hint="eastAsia" w:ascii="仿宋" w:hAnsi="仿宋" w:eastAsia="仿宋" w:cs="仿宋"/>
          <w:spacing w:val="37"/>
        </w:rPr>
      </w:pPr>
    </w:p>
    <w:p w14:paraId="34AA6874">
      <w:pPr>
        <w:pStyle w:val="2"/>
        <w:spacing w:before="273" w:line="222" w:lineRule="auto"/>
        <w:rPr>
          <w:rFonts w:hint="eastAsia" w:ascii="仿宋" w:hAnsi="仿宋" w:eastAsia="仿宋" w:cs="仿宋"/>
          <w:spacing w:val="37"/>
        </w:rPr>
      </w:pPr>
      <w:bookmarkStart w:id="0" w:name="_GoBack"/>
    </w:p>
    <w:p w14:paraId="5FEFBBB8">
      <w:pPr>
        <w:pStyle w:val="2"/>
        <w:spacing w:before="273" w:line="222" w:lineRule="auto"/>
        <w:ind w:left="5043"/>
        <w:rPr>
          <w:rFonts w:hint="eastAsia" w:ascii="仿宋" w:hAnsi="仿宋" w:eastAsia="仿宋" w:cs="仿宋"/>
          <w:spacing w:val="37"/>
        </w:rPr>
        <w:sectPr>
          <w:footerReference r:id="rId11" w:type="default"/>
          <w:pgSz w:w="11910" w:h="16830"/>
          <w:pgMar w:top="400" w:right="1786" w:bottom="1292" w:left="1786" w:header="0" w:footer="1159" w:gutter="0"/>
          <w:cols w:space="720" w:num="1"/>
        </w:sectPr>
      </w:pPr>
    </w:p>
    <w:bookmarkEnd w:id="0"/>
    <w:p w14:paraId="63C65111">
      <w:pPr>
        <w:spacing w:line="16817" w:lineRule="exact"/>
      </w:pPr>
    </w:p>
    <w:sectPr>
      <w:footerReference r:id="rId12" w:type="default"/>
      <w:pgSz w:w="11920" w:h="16830"/>
      <w:pgMar w:top="1" w:right="0" w:bottom="1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923A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2069E">
    <w:pPr>
      <w:spacing w:line="176" w:lineRule="auto"/>
      <w:ind w:left="579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E563B">
    <w:pPr>
      <w:spacing w:line="176" w:lineRule="auto"/>
      <w:ind w:left="582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9F6C59"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3FB74">
    <w:pPr>
      <w:spacing w:line="171" w:lineRule="auto"/>
      <w:ind w:left="4123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7E2B1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54524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D76B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2E17EB"/>
    <w:rsid w:val="0C686809"/>
    <w:rsid w:val="1A320794"/>
    <w:rsid w:val="2329420B"/>
    <w:rsid w:val="28373F5D"/>
    <w:rsid w:val="2F1F2B13"/>
    <w:rsid w:val="57814E04"/>
    <w:rsid w:val="59B75A09"/>
    <w:rsid w:val="5D291B19"/>
    <w:rsid w:val="643028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1894</Words>
  <Characters>2120</Characters>
  <TotalTime>124</TotalTime>
  <ScaleCrop>false</ScaleCrop>
  <LinksUpToDate>false</LinksUpToDate>
  <CharactersWithSpaces>2200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2026-09-05T15:41:00Z</dcterms:created>
  <dc:creator>pc</dc:creator>
  <cp:lastModifiedBy>道县城管局冯自成</cp:lastModifiedBy>
  <dcterms:modified xsi:type="dcterms:W3CDTF">2026-09-07T02:34:55Z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2026-09-05T15:41:25Z</vt:filetime>
  </property>
  <property fmtid="{D5CDD505-2E9C-101B-9397-08002B2CF9AE}" pid="4" name="UsrData">
    <vt:lpwstr>6a9bc79febbc0a001f359c0awl</vt:lpwstr>
  </property>
  <property fmtid="{D5CDD505-2E9C-101B-9397-08002B2CF9AE}" pid="5" name="KSOTemplateDocerSaveRecord">
    <vt:lpwstr>eyJoZGlkIjoiZjBmN2Q2NjNlM2M3NWQyODAxNzQyOGZiOTQ1MmZhZmUiLCJ1c2VySWQiOiI2MDMzNzQ5ODkifQ==</vt:lpwstr>
  </property>
  <property fmtid="{D5CDD505-2E9C-101B-9397-08002B2CF9AE}" pid="6" name="KSOProductBuildVer">
    <vt:lpwstr>2052-12.1.0.28505</vt:lpwstr>
  </property>
  <property fmtid="{D5CDD505-2E9C-101B-9397-08002B2CF9AE}" pid="7" name="ICV">
    <vt:lpwstr>A052A4787FD64EC4AB6DE903D077A9BD_12</vt:lpwstr>
  </property>
</Properties>
</file>