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center"/>
        <w:rPr>
          <w:sz w:val="56"/>
          <w:szCs w:val="56"/>
        </w:rPr>
      </w:pPr>
    </w:p>
    <w:p>
      <w:pPr>
        <w:pStyle w:val="13"/>
        <w:jc w:val="center"/>
        <w:rPr>
          <w:sz w:val="56"/>
          <w:szCs w:val="56"/>
        </w:rPr>
      </w:pPr>
    </w:p>
    <w:p>
      <w:pPr>
        <w:pStyle w:val="13"/>
        <w:jc w:val="center"/>
        <w:rPr>
          <w:sz w:val="84"/>
          <w:szCs w:val="84"/>
        </w:rPr>
      </w:pPr>
    </w:p>
    <w:p>
      <w:pPr>
        <w:pStyle w:val="13"/>
        <w:jc w:val="center"/>
        <w:rPr>
          <w:sz w:val="84"/>
          <w:szCs w:val="84"/>
        </w:rPr>
      </w:pPr>
    </w:p>
    <w:p>
      <w:pPr>
        <w:pStyle w:val="13"/>
        <w:jc w:val="center"/>
        <w:rPr>
          <w:sz w:val="84"/>
          <w:szCs w:val="84"/>
        </w:rPr>
      </w:pPr>
      <w:r>
        <w:rPr>
          <w:rFonts w:hint="eastAsia"/>
          <w:sz w:val="84"/>
          <w:szCs w:val="84"/>
        </w:rPr>
        <w:t>2025年度</w:t>
      </w:r>
    </w:p>
    <w:p>
      <w:pPr>
        <w:pStyle w:val="13"/>
        <w:jc w:val="center"/>
        <w:rPr>
          <w:rFonts w:hint="eastAsia"/>
          <w:sz w:val="84"/>
          <w:szCs w:val="84"/>
          <w:lang w:eastAsia="zh-CN"/>
        </w:rPr>
      </w:pPr>
      <w:r>
        <w:rPr>
          <w:rFonts w:hint="eastAsia"/>
          <w:sz w:val="84"/>
          <w:szCs w:val="84"/>
          <w:lang w:eastAsia="zh-CN"/>
        </w:rPr>
        <w:t>道县旅游发展服务中心</w:t>
      </w:r>
    </w:p>
    <w:p>
      <w:pPr>
        <w:pStyle w:val="13"/>
        <w:jc w:val="center"/>
        <w:rPr>
          <w:sz w:val="84"/>
          <w:szCs w:val="84"/>
        </w:rPr>
      </w:pPr>
      <w:r>
        <w:rPr>
          <w:rFonts w:hint="eastAsia"/>
          <w:sz w:val="84"/>
          <w:szCs w:val="84"/>
        </w:rPr>
        <w:t>部门决算</w:t>
      </w:r>
    </w:p>
    <w:p>
      <w:pPr>
        <w:pStyle w:val="13"/>
        <w:jc w:val="center"/>
        <w:rPr>
          <w:sz w:val="56"/>
          <w:szCs w:val="56"/>
        </w:rPr>
      </w:pPr>
    </w:p>
    <w:p>
      <w:pPr>
        <w:pStyle w:val="13"/>
        <w:jc w:val="center"/>
        <w:rPr>
          <w:sz w:val="56"/>
          <w:szCs w:val="56"/>
        </w:rPr>
      </w:pPr>
    </w:p>
    <w:p>
      <w:pPr>
        <w:pStyle w:val="13"/>
        <w:jc w:val="center"/>
        <w:rPr>
          <w:sz w:val="56"/>
          <w:szCs w:val="56"/>
        </w:rPr>
      </w:pPr>
    </w:p>
    <w:p>
      <w:pPr>
        <w:pStyle w:val="13"/>
        <w:jc w:val="center"/>
        <w:rPr>
          <w:sz w:val="56"/>
          <w:szCs w:val="56"/>
        </w:rPr>
      </w:pPr>
    </w:p>
    <w:p>
      <w:pPr>
        <w:pStyle w:val="13"/>
        <w:jc w:val="center"/>
        <w:rPr>
          <w:sz w:val="32"/>
          <w:szCs w:val="32"/>
        </w:rPr>
      </w:pPr>
    </w:p>
    <w:p>
      <w:pPr>
        <w:pStyle w:val="13"/>
        <w:jc w:val="center"/>
        <w:rPr>
          <w:sz w:val="32"/>
          <w:szCs w:val="32"/>
        </w:rPr>
      </w:pPr>
    </w:p>
    <w:p>
      <w:pPr>
        <w:pStyle w:val="13"/>
        <w:jc w:val="center"/>
        <w:rPr>
          <w:sz w:val="32"/>
          <w:szCs w:val="32"/>
        </w:rPr>
      </w:pPr>
    </w:p>
    <w:p>
      <w:pPr>
        <w:pStyle w:val="13"/>
        <w:spacing w:line="500" w:lineRule="exact"/>
        <w:jc w:val="both"/>
        <w:rPr>
          <w:b/>
          <w:sz w:val="36"/>
          <w:szCs w:val="28"/>
        </w:rPr>
      </w:pPr>
    </w:p>
    <w:p>
      <w:pPr>
        <w:pStyle w:val="13"/>
        <w:keepNext w:val="0"/>
        <w:keepLines w:val="0"/>
        <w:pageBreakBefore w:val="0"/>
        <w:widowControl w:val="0"/>
        <w:kinsoku/>
        <w:wordWrap/>
        <w:overflowPunct/>
        <w:topLinePunct w:val="0"/>
        <w:autoSpaceDE w:val="0"/>
        <w:autoSpaceDN w:val="0"/>
        <w:bidi w:val="0"/>
        <w:adjustRightInd w:val="0"/>
        <w:snapToGrid/>
        <w:spacing w:before="157" w:beforeLines="50" w:after="157" w:afterLines="50" w:line="600" w:lineRule="exact"/>
        <w:jc w:val="center"/>
        <w:textAlignment w:val="auto"/>
        <w:rPr>
          <w:rFonts w:ascii="Times New Roman" w:hAnsi="Times New Roman" w:cs="Times New Roman"/>
          <w:bCs/>
          <w:sz w:val="36"/>
          <w:szCs w:val="28"/>
        </w:rPr>
      </w:pPr>
      <w:r>
        <w:rPr>
          <w:rFonts w:hint="eastAsia" w:ascii="Times New Roman" w:hAnsi="Times New Roman" w:cs="Times New Roman"/>
          <w:bCs/>
          <w:sz w:val="36"/>
          <w:szCs w:val="28"/>
        </w:rPr>
        <w:t>目</w:t>
      </w:r>
      <w:r>
        <w:rPr>
          <w:rFonts w:hint="eastAsia" w:ascii="Times New Roman" w:hAnsi="Times New Roman" w:cs="Times New Roman"/>
          <w:bCs/>
          <w:sz w:val="36"/>
          <w:szCs w:val="28"/>
          <w:lang w:val="en-US" w:eastAsia="zh-CN"/>
        </w:rPr>
        <w:t xml:space="preserve">  </w:t>
      </w:r>
      <w:r>
        <w:rPr>
          <w:rFonts w:hint="eastAsia" w:ascii="Times New Roman" w:hAnsi="Times New Roman" w:cs="Times New Roman"/>
          <w:bCs/>
          <w:sz w:val="36"/>
          <w:szCs w:val="28"/>
        </w:rPr>
        <w:t>录</w:t>
      </w:r>
    </w:p>
    <w:p>
      <w:pPr>
        <w:pStyle w:val="13"/>
        <w:keepNext w:val="0"/>
        <w:keepLines w:val="0"/>
        <w:pageBreakBefore w:val="0"/>
        <w:widowControl w:val="0"/>
        <w:kinsoku/>
        <w:wordWrap/>
        <w:overflowPunct/>
        <w:topLinePunct w:val="0"/>
        <w:autoSpaceDE w:val="0"/>
        <w:autoSpaceDN w:val="0"/>
        <w:bidi w:val="0"/>
        <w:adjustRightInd w:val="0"/>
        <w:snapToGrid/>
        <w:spacing w:before="157" w:beforeLines="50" w:after="156" w:afterLines="50" w:line="600" w:lineRule="exact"/>
        <w:textAlignment w:val="auto"/>
        <w:rPr>
          <w:rFonts w:ascii="Times New Roman" w:hAnsi="Times New Roman" w:cs="Times New Roman"/>
          <w:bCs/>
          <w:sz w:val="32"/>
          <w:szCs w:val="32"/>
        </w:rPr>
      </w:pPr>
      <w:r>
        <w:rPr>
          <w:rFonts w:hint="eastAsia"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w:t>
      </w:r>
      <w:r>
        <w:rPr>
          <w:rFonts w:hint="eastAsia" w:ascii="Times New Roman" w:hAnsi="Times New Roman" w:cs="Times New Roman"/>
          <w:bCs/>
          <w:sz w:val="32"/>
          <w:szCs w:val="32"/>
          <w:lang w:eastAsia="zh-CN"/>
        </w:rPr>
        <w:t>道县旅游发展服务中心</w:t>
      </w:r>
      <w:r>
        <w:rPr>
          <w:rFonts w:hint="eastAsia" w:ascii="Times New Roman" w:hAnsi="Times New Roman" w:cs="Times New Roman"/>
          <w:bCs/>
          <w:sz w:val="32"/>
          <w:szCs w:val="32"/>
        </w:rPr>
        <w:t>单位概况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w:t>
      </w:r>
    </w:p>
    <w:p>
      <w:pPr>
        <w:pStyle w:val="13"/>
        <w:keepNext w:val="0"/>
        <w:keepLines w:val="0"/>
        <w:pageBreakBefore w:val="0"/>
        <w:widowControl w:val="0"/>
        <w:kinsoku/>
        <w:wordWrap/>
        <w:overflowPunct/>
        <w:topLinePunct w:val="0"/>
        <w:autoSpaceDE w:val="0"/>
        <w:autoSpaceDN w:val="0"/>
        <w:bidi w:val="0"/>
        <w:adjustRightInd w:val="0"/>
        <w:snapToGrid/>
        <w:spacing w:before="157" w:beforeLines="50" w:after="156" w:afterLines="50" w:line="600" w:lineRule="exact"/>
        <w:textAlignment w:val="auto"/>
        <w:rPr>
          <w:rFonts w:hint="eastAsia" w:ascii="Times New Roman" w:hAnsi="Times New Roman" w:cs="Times New Roman"/>
          <w:bCs/>
          <w:sz w:val="32"/>
          <w:szCs w:val="32"/>
          <w:lang w:eastAsia="zh-CN"/>
        </w:rPr>
      </w:pPr>
      <w:r>
        <w:rPr>
          <w:rFonts w:hint="eastAsia" w:ascii="Times New Roman" w:hAnsi="Times New Roman" w:cs="Times New Roman"/>
          <w:bCs/>
          <w:sz w:val="32"/>
          <w:szCs w:val="32"/>
          <w:lang w:eastAsia="zh-CN"/>
        </w:rPr>
        <w:t>第二部分</w:t>
      </w:r>
      <w:r>
        <w:rPr>
          <w:rFonts w:hint="eastAsia" w:ascii="Times New Roman" w:hAnsi="Times New Roman" w:cs="Times New Roman"/>
          <w:bCs/>
          <w:sz w:val="32"/>
          <w:szCs w:val="32"/>
          <w:lang w:val="en-US" w:eastAsia="zh-CN"/>
        </w:rPr>
        <w:t xml:space="preserve"> </w:t>
      </w:r>
      <w:r>
        <w:rPr>
          <w:rFonts w:hint="eastAsia" w:ascii="Times New Roman" w:hAnsi="Times New Roman" w:cs="Times New Roman"/>
          <w:bCs/>
          <w:sz w:val="32"/>
          <w:szCs w:val="32"/>
          <w:lang w:eastAsia="zh-CN"/>
        </w:rPr>
        <w:t>2025年度部门决算表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w:t>
      </w:r>
      <w:r>
        <w:rPr>
          <w:rFonts w:hint="eastAsia" w:ascii="Times New Roman" w:hAnsi="Times New Roman" w:eastAsia="仿宋_GB2312" w:cs="Times New Roman"/>
          <w:sz w:val="32"/>
          <w:szCs w:val="32"/>
        </w:rPr>
        <w:t>明细</w:t>
      </w:r>
      <w:r>
        <w:rPr>
          <w:rFonts w:ascii="Times New Roman" w:hAnsi="Times New Roman" w:eastAsia="仿宋_GB2312" w:cs="Times New Roman"/>
          <w:sz w:val="32"/>
          <w:szCs w:val="32"/>
        </w:rPr>
        <w:t>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七、一般公共预算财政拨款“三公”经费支出决算表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八、政府性基金预算财政拨款收入支出决算表</w:t>
      </w:r>
    </w:p>
    <w:p>
      <w:pPr>
        <w:pStyle w:val="13"/>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九、国有资本经营预算财政拨款支出决算表</w:t>
      </w:r>
    </w:p>
    <w:p>
      <w:pPr>
        <w:pStyle w:val="13"/>
        <w:spacing w:after="156" w:afterLines="50" w:line="600" w:lineRule="exact"/>
        <w:rPr>
          <w:rFonts w:hint="eastAsia" w:ascii="Times New Roman" w:hAnsi="Times New Roman" w:cs="Times New Roman"/>
          <w:bCs/>
          <w:sz w:val="32"/>
          <w:szCs w:val="32"/>
          <w:lang w:eastAsia="zh-CN"/>
        </w:rPr>
      </w:pPr>
      <w:r>
        <w:rPr>
          <w:rFonts w:hint="eastAsia" w:ascii="Times New Roman" w:hAnsi="Times New Roman" w:cs="Times New Roman"/>
          <w:bCs/>
          <w:sz w:val="32"/>
          <w:szCs w:val="32"/>
          <w:lang w:eastAsia="zh-CN"/>
        </w:rPr>
        <w:t>第三部分2025年度部门决算情况说明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七、一般公共预算财政拨款</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经费支出决算情况说明</w:t>
      </w:r>
    </w:p>
    <w:p>
      <w:pPr>
        <w:pStyle w:val="13"/>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政府性基金预算收入支出决算情况</w:t>
      </w:r>
    </w:p>
    <w:p>
      <w:pPr>
        <w:pStyle w:val="13"/>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机关运行经费支出说明</w:t>
      </w:r>
    </w:p>
    <w:p>
      <w:pPr>
        <w:pStyle w:val="13"/>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十、一般性支出情况说明</w:t>
      </w:r>
    </w:p>
    <w:p>
      <w:pPr>
        <w:pStyle w:val="13"/>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十一、政府采购支出说明</w:t>
      </w:r>
    </w:p>
    <w:p>
      <w:pPr>
        <w:pStyle w:val="13"/>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十二、国有资产占用情况说明</w:t>
      </w:r>
    </w:p>
    <w:p>
      <w:pPr>
        <w:pStyle w:val="13"/>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十三、2025年度预算绩效情况说明</w:t>
      </w:r>
    </w:p>
    <w:p>
      <w:pPr>
        <w:keepNext w:val="0"/>
        <w:keepLines w:val="0"/>
        <w:pageBreakBefore w:val="0"/>
        <w:widowControl w:val="0"/>
        <w:kinsoku/>
        <w:wordWrap/>
        <w:overflowPunct/>
        <w:topLinePunct w:val="0"/>
        <w:autoSpaceDE w:val="0"/>
        <w:autoSpaceDN w:val="0"/>
        <w:bidi w:val="0"/>
        <w:adjustRightInd w:val="0"/>
        <w:snapToGrid/>
        <w:spacing w:before="157" w:beforeLines="50" w:after="157" w:afterLines="50" w:line="600" w:lineRule="exact"/>
        <w:jc w:val="left"/>
        <w:textAlignment w:val="auto"/>
        <w:rPr>
          <w:rFonts w:hint="eastAsia" w:ascii="Times New Roman" w:hAnsi="Times New Roman" w:eastAsia="黑体" w:cs="Times New Roman"/>
          <w:bCs/>
          <w:color w:val="000000"/>
          <w:kern w:val="0"/>
          <w:sz w:val="32"/>
          <w:szCs w:val="32"/>
          <w:lang w:val="en-US" w:eastAsia="zh-CN" w:bidi="ar-SA"/>
        </w:rPr>
      </w:pPr>
      <w:r>
        <w:rPr>
          <w:rFonts w:hint="eastAsia" w:ascii="Times New Roman" w:hAnsi="Times New Roman" w:eastAsia="黑体" w:cs="Times New Roman"/>
          <w:bCs/>
          <w:color w:val="000000"/>
          <w:kern w:val="0"/>
          <w:sz w:val="32"/>
          <w:szCs w:val="32"/>
          <w:lang w:val="en-US" w:eastAsia="zh-CN" w:bidi="ar-SA"/>
        </w:rPr>
        <w:t>第四部分 名词解释</w:t>
      </w:r>
    </w:p>
    <w:p>
      <w:pPr>
        <w:keepNext w:val="0"/>
        <w:keepLines w:val="0"/>
        <w:pageBreakBefore w:val="0"/>
        <w:widowControl w:val="0"/>
        <w:kinsoku/>
        <w:wordWrap/>
        <w:overflowPunct/>
        <w:topLinePunct w:val="0"/>
        <w:autoSpaceDE w:val="0"/>
        <w:autoSpaceDN w:val="0"/>
        <w:bidi w:val="0"/>
        <w:adjustRightInd w:val="0"/>
        <w:snapToGrid/>
        <w:spacing w:before="157" w:beforeLines="50" w:after="157" w:afterLines="50" w:line="600" w:lineRule="exact"/>
        <w:jc w:val="left"/>
        <w:textAlignment w:val="auto"/>
        <w:rPr>
          <w:rFonts w:hint="eastAsia" w:ascii="Times New Roman" w:hAnsi="Times New Roman" w:eastAsia="黑体" w:cs="Times New Roman"/>
          <w:bCs/>
          <w:color w:val="000000"/>
          <w:kern w:val="0"/>
          <w:sz w:val="32"/>
          <w:szCs w:val="32"/>
          <w:lang w:val="en-US" w:eastAsia="zh-CN" w:bidi="ar-SA"/>
        </w:rPr>
      </w:pPr>
      <w:r>
        <w:rPr>
          <w:rFonts w:hint="eastAsia" w:ascii="Times New Roman" w:hAnsi="Times New Roman" w:eastAsia="黑体" w:cs="Times New Roman"/>
          <w:bCs/>
          <w:color w:val="000000"/>
          <w:kern w:val="0"/>
          <w:sz w:val="32"/>
          <w:szCs w:val="32"/>
          <w:lang w:val="en-US" w:eastAsia="zh-CN" w:bidi="ar-SA"/>
        </w:rPr>
        <w:t>第五部分 附件</w:t>
      </w:r>
    </w:p>
    <w:p>
      <w:pPr>
        <w:jc w:val="center"/>
        <w:rPr>
          <w:sz w:val="72"/>
          <w:szCs w:val="72"/>
        </w:rPr>
      </w:pPr>
    </w:p>
    <w:p>
      <w:pPr>
        <w:jc w:val="center"/>
        <w:rPr>
          <w:sz w:val="72"/>
          <w:szCs w:val="72"/>
        </w:rPr>
      </w:pPr>
    </w:p>
    <w:p>
      <w:pPr>
        <w:jc w:val="center"/>
        <w:rPr>
          <w:sz w:val="72"/>
          <w:szCs w:val="72"/>
        </w:rPr>
      </w:pPr>
    </w:p>
    <w:p>
      <w:pPr>
        <w:jc w:val="center"/>
        <w:rPr>
          <w:sz w:val="72"/>
          <w:szCs w:val="72"/>
        </w:rPr>
      </w:pPr>
    </w:p>
    <w:p>
      <w:pPr>
        <w:rPr>
          <w:sz w:val="72"/>
          <w:szCs w:val="72"/>
        </w:rPr>
      </w:pPr>
    </w:p>
    <w:p>
      <w:pPr>
        <w:rPr>
          <w:sz w:val="72"/>
          <w:szCs w:val="72"/>
        </w:rPr>
      </w:pPr>
    </w:p>
    <w:p>
      <w:pPr>
        <w:rPr>
          <w:sz w:val="72"/>
          <w:szCs w:val="72"/>
        </w:rPr>
      </w:pPr>
    </w:p>
    <w:p>
      <w:pPr>
        <w:pStyle w:val="13"/>
        <w:jc w:val="center"/>
        <w:rPr>
          <w:rFonts w:hint="eastAsia"/>
          <w:sz w:val="84"/>
          <w:szCs w:val="84"/>
        </w:rPr>
      </w:pPr>
    </w:p>
    <w:p>
      <w:pPr>
        <w:pStyle w:val="13"/>
        <w:jc w:val="center"/>
        <w:rPr>
          <w:rFonts w:hint="eastAsia"/>
          <w:sz w:val="84"/>
          <w:szCs w:val="84"/>
        </w:rPr>
      </w:pPr>
    </w:p>
    <w:p>
      <w:pPr>
        <w:pStyle w:val="13"/>
        <w:jc w:val="center"/>
        <w:rPr>
          <w:rFonts w:hint="eastAsia"/>
          <w:sz w:val="84"/>
          <w:szCs w:val="84"/>
        </w:rPr>
      </w:pPr>
    </w:p>
    <w:p>
      <w:pPr>
        <w:pStyle w:val="13"/>
        <w:jc w:val="center"/>
        <w:rPr>
          <w:rFonts w:hint="eastAsia"/>
          <w:sz w:val="84"/>
          <w:szCs w:val="84"/>
        </w:rPr>
      </w:pPr>
    </w:p>
    <w:p>
      <w:pPr>
        <w:pStyle w:val="13"/>
        <w:jc w:val="center"/>
        <w:rPr>
          <w:sz w:val="84"/>
          <w:szCs w:val="84"/>
        </w:rPr>
      </w:pPr>
      <w:r>
        <w:rPr>
          <w:rFonts w:hint="eastAsia" w:ascii="Times New Roman" w:hAnsi="Times New Roman" w:eastAsia="方正小标宋_GBK" w:cs="Times New Roman"/>
          <w:sz w:val="52"/>
          <w:szCs w:val="52"/>
        </w:rPr>
        <w:t>第一部分</w:t>
      </w:r>
      <w:r>
        <w:rPr>
          <w:sz w:val="84"/>
          <w:szCs w:val="84"/>
        </w:rPr>
        <w:t xml:space="preserve"> </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道县旅游发展服务中心</w:t>
      </w:r>
      <w:r>
        <w:rPr>
          <w:rFonts w:hint="eastAsia" w:ascii="Times New Roman" w:hAnsi="Times New Roman" w:eastAsia="方正小标宋_GBK" w:cs="Times New Roman"/>
          <w:sz w:val="52"/>
          <w:szCs w:val="52"/>
        </w:rPr>
        <w:t>单位概况</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4"/>
        <w:ind w:left="720" w:firstLine="0" w:firstLineChars="0"/>
        <w:jc w:val="left"/>
        <w:rPr>
          <w:rFonts w:ascii="黑体" w:hAnsi="黑体" w:eastAsia="黑体"/>
          <w:sz w:val="32"/>
          <w:szCs w:val="32"/>
        </w:rPr>
      </w:pPr>
    </w:p>
    <w:p>
      <w:pPr>
        <w:pStyle w:val="14"/>
        <w:ind w:left="720" w:firstLine="0" w:firstLineChars="0"/>
        <w:jc w:val="left"/>
        <w:rPr>
          <w:rFonts w:ascii="黑体" w:hAnsi="黑体" w:eastAsia="黑体"/>
          <w:sz w:val="32"/>
          <w:szCs w:val="32"/>
        </w:rPr>
      </w:pPr>
    </w:p>
    <w:p>
      <w:pPr>
        <w:pStyle w:val="14"/>
        <w:ind w:left="720" w:firstLine="0" w:firstLineChars="0"/>
        <w:jc w:val="left"/>
        <w:rPr>
          <w:rFonts w:ascii="黑体" w:hAnsi="黑体" w:eastAsia="黑体"/>
          <w:sz w:val="32"/>
          <w:szCs w:val="32"/>
        </w:rPr>
      </w:pPr>
    </w:p>
    <w:p>
      <w:pPr>
        <w:pStyle w:val="14"/>
        <w:ind w:left="720" w:firstLine="0" w:firstLineChars="0"/>
        <w:jc w:val="left"/>
        <w:rPr>
          <w:rFonts w:ascii="黑体" w:hAnsi="黑体" w:eastAsia="黑体"/>
          <w:sz w:val="32"/>
          <w:szCs w:val="32"/>
        </w:rPr>
      </w:pPr>
    </w:p>
    <w:p>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lang w:eastAsia="zh-CN"/>
        </w:rPr>
        <w:t>一、</w:t>
      </w:r>
      <w:r>
        <w:rPr>
          <w:rFonts w:ascii="Times New Roman" w:hAnsi="Times New Roman" w:eastAsia="黑体" w:cs="Times New Roman"/>
          <w:sz w:val="32"/>
          <w:szCs w:val="32"/>
        </w:rPr>
        <w:t>部门职责</w:t>
      </w:r>
    </w:p>
    <w:p>
      <w:pPr>
        <w:widowControl/>
        <w:spacing w:line="600" w:lineRule="exact"/>
        <w:ind w:firstLine="640" w:firstLineChars="200"/>
        <w:rPr>
          <w:rFonts w:ascii="Times New Roman" w:hAnsi="Times New Roman" w:eastAsia="仿宋_GB2312" w:cs="Times New Roman"/>
          <w:bCs/>
          <w:kern w:val="0"/>
          <w:sz w:val="32"/>
          <w:szCs w:val="32"/>
        </w:rPr>
      </w:pPr>
      <w:bookmarkStart w:id="0" w:name="FUNCRESP"/>
      <w:r>
        <w:rPr>
          <w:rFonts w:hint="eastAsia" w:ascii="Times New Roman" w:hAnsi="Times New Roman" w:eastAsia="仿宋_GB2312" w:cs="Times New Roman"/>
          <w:bCs/>
          <w:kern w:val="0"/>
          <w:sz w:val="32"/>
          <w:szCs w:val="32"/>
        </w:rPr>
        <w:t>负责全县旅游行业和旅游市场监管，旅游宣传推广，组织实施各类旅游规划，承办县委、县政府交办的其他事项。</w:t>
      </w:r>
      <w:bookmarkEnd w:id="0"/>
    </w:p>
    <w:p>
      <w:pPr>
        <w:widowControl/>
        <w:spacing w:line="600" w:lineRule="exact"/>
        <w:rPr>
          <w:rFonts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二、机构设置及决算单位构成</w:t>
      </w:r>
    </w:p>
    <w:p>
      <w:pPr>
        <w:widowControl/>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（一）内设机构设置。</w:t>
      </w:r>
      <w:bookmarkStart w:id="1" w:name="ORG_SET"/>
      <w:r>
        <w:rPr>
          <w:rFonts w:hint="eastAsia" w:ascii="Times New Roman" w:hAnsi="Times New Roman" w:eastAsia="仿宋_GB2312" w:cs="Times New Roman"/>
          <w:bCs/>
          <w:kern w:val="0"/>
          <w:sz w:val="32"/>
          <w:szCs w:val="32"/>
        </w:rPr>
        <w:t>下设综合股、政工财务股、市场营销股和产业发展股。</w:t>
      </w:r>
      <w:bookmarkEnd w:id="1"/>
    </w:p>
    <w:p>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道县旅游发展服务中心</w:t>
      </w:r>
      <w:r>
        <w:rPr>
          <w:rFonts w:hint="eastAsia" w:ascii="Times New Roman" w:hAnsi="Times New Roman" w:eastAsia="仿宋_GB2312" w:cs="Times New Roman"/>
          <w:bCs/>
          <w:kern w:val="0"/>
          <w:sz w:val="32"/>
          <w:szCs w:val="32"/>
        </w:rPr>
        <w:t>单位</w:t>
      </w:r>
      <w:r>
        <w:rPr>
          <w:rFonts w:hint="eastAsia" w:ascii="Times New Roman" w:hAnsi="Times New Roman" w:eastAsia="仿宋_GB2312" w:cs="Times New Roman"/>
          <w:bCs/>
          <w:kern w:val="0"/>
          <w:sz w:val="32"/>
          <w:szCs w:val="32"/>
          <w:lang w:eastAsia="zh-CN"/>
        </w:rPr>
        <w:t>2025年</w:t>
      </w:r>
      <w:r>
        <w:rPr>
          <w:rFonts w:hint="eastAsia" w:ascii="Times New Roman" w:hAnsi="Times New Roman" w:eastAsia="仿宋_GB2312" w:cs="Times New Roman"/>
          <w:bCs/>
          <w:kern w:val="0"/>
          <w:sz w:val="32"/>
          <w:szCs w:val="32"/>
        </w:rPr>
        <w:t>部门决算汇总公开单位构成包括：</w:t>
      </w:r>
      <w:r>
        <w:rPr>
          <w:rFonts w:hint="eastAsia" w:ascii="Times New Roman" w:hAnsi="Times New Roman" w:eastAsia="仿宋_GB2312" w:cs="Times New Roman"/>
          <w:bCs/>
          <w:kern w:val="0"/>
          <w:sz w:val="32"/>
          <w:szCs w:val="32"/>
          <w:lang w:eastAsia="zh-CN"/>
        </w:rPr>
        <w:t>只有道县旅游发展服务中心</w:t>
      </w:r>
      <w:r>
        <w:rPr>
          <w:rFonts w:hint="eastAsia" w:ascii="Times New Roman" w:hAnsi="Times New Roman" w:eastAsia="仿宋_GB2312" w:cs="Times New Roman"/>
          <w:bCs/>
          <w:kern w:val="0"/>
          <w:sz w:val="32"/>
          <w:szCs w:val="32"/>
        </w:rPr>
        <w:t>单位本级</w:t>
      </w:r>
      <w:r>
        <w:rPr>
          <w:rFonts w:hint="eastAsia" w:ascii="Times New Roman" w:hAnsi="Times New Roman" w:eastAsia="仿宋_GB2312" w:cs="Times New Roman"/>
          <w:bCs/>
          <w:kern w:val="0"/>
          <w:sz w:val="32"/>
          <w:szCs w:val="32"/>
          <w:lang w:eastAsia="zh-CN"/>
        </w:rPr>
        <w:t>。</w:t>
      </w: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rFonts w:hint="eastAsia" w:ascii="Times New Roman" w:hAnsi="Times New Roman" w:eastAsia="方正小标宋_GBK" w:cs="Times New Roman"/>
          <w:color w:val="000000"/>
          <w:kern w:val="0"/>
          <w:sz w:val="52"/>
          <w:szCs w:val="52"/>
          <w:lang w:val="en-US" w:eastAsia="zh-CN" w:bidi="ar-SA"/>
        </w:rPr>
      </w:pPr>
      <w:r>
        <w:rPr>
          <w:rFonts w:hint="eastAsia" w:ascii="Times New Roman" w:hAnsi="Times New Roman" w:eastAsia="方正小标宋_GBK" w:cs="Times New Roman"/>
          <w:color w:val="000000"/>
          <w:kern w:val="0"/>
          <w:sz w:val="52"/>
          <w:szCs w:val="52"/>
          <w:lang w:val="en-US" w:eastAsia="zh-CN" w:bidi="ar-SA"/>
        </w:rPr>
        <w:t>第二部分</w:t>
      </w:r>
    </w:p>
    <w:p>
      <w:pPr>
        <w:jc w:val="center"/>
        <w:rPr>
          <w:rFonts w:hint="eastAsia" w:ascii="Times New Roman" w:hAnsi="Times New Roman" w:eastAsia="方正小标宋_GBK" w:cs="Times New Roman"/>
          <w:color w:val="000000"/>
          <w:kern w:val="0"/>
          <w:sz w:val="52"/>
          <w:szCs w:val="52"/>
          <w:lang w:val="en-US" w:eastAsia="zh-CN" w:bidi="ar-SA"/>
        </w:rPr>
      </w:pPr>
      <w:r>
        <w:rPr>
          <w:rFonts w:hint="eastAsia" w:ascii="Times New Roman" w:hAnsi="Times New Roman" w:eastAsia="方正小标宋_GBK" w:cs="Times New Roman"/>
          <w:color w:val="000000"/>
          <w:kern w:val="0"/>
          <w:sz w:val="52"/>
          <w:szCs w:val="52"/>
          <w:lang w:val="en-US" w:eastAsia="zh-CN" w:bidi="ar-SA"/>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Theme="minorEastAsia" w:hAnsiTheme="minorEastAsia"/>
          <w:sz w:val="32"/>
          <w:szCs w:val="32"/>
        </w:rPr>
        <w:sectPr>
          <w:headerReference r:id="rId3" w:type="default"/>
          <w:footerReference r:id="rId4" w:type="default"/>
          <w:pgSz w:w="11906" w:h="16838"/>
          <w:pgMar w:top="1417" w:right="1587" w:bottom="1417" w:left="1587" w:header="851" w:footer="992" w:gutter="0"/>
          <w:cols w:space="425" w:num="1"/>
          <w:docGrid w:type="lines" w:linePitch="312" w:charSpace="0"/>
        </w:sectPr>
      </w:pPr>
    </w:p>
    <w:tbl>
      <w:tblPr>
        <w:tblStyle w:val="9"/>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tblPrEx>
          <w:tblCellMar>
            <w:top w:w="0" w:type="dxa"/>
            <w:left w:w="108" w:type="dxa"/>
            <w:bottom w:w="0" w:type="dxa"/>
            <w:right w:w="108" w:type="dxa"/>
          </w:tblCellMar>
        </w:tblPrEx>
        <w:trPr>
          <w:trHeight w:val="406" w:hRule="atLeast"/>
        </w:trPr>
        <w:tc>
          <w:tcPr>
            <w:tcW w:w="1408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部门：道县旅游发展服务中心</w:t>
            </w:r>
            <w:r>
              <w:rPr>
                <w:rFonts w:ascii="宋体" w:hAnsi="宋体" w:eastAsia="宋体" w:cs="宋体"/>
                <w:color w:val="000000"/>
                <w:kern w:val="0"/>
                <w:sz w:val="20"/>
                <w:szCs w:val="20"/>
              </w:rPr>
              <w:t xml:space="preserve"> </w:t>
            </w:r>
          </w:p>
        </w:tc>
        <w:tc>
          <w:tcPr>
            <w:tcW w:w="69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633"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164.40</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32</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二、外交支出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三、国防支出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五、事业收入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五、教育支出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六、经营收入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7</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38</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135.58</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八、其他收入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39</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12.59</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40</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7.35</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11</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42</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17</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48</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49</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50</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8.88</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21</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52</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lang w:eastAsia="zh-CN"/>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center"/>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27</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164.40</w:t>
            </w: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58</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164.40</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结余分配</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59</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60</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31</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164.40</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62</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b/>
                <w:bCs/>
                <w:kern w:val="0"/>
                <w:sz w:val="22"/>
                <w:lang w:eastAsia="zh-CN"/>
              </w:rPr>
            </w:pPr>
            <w:r>
              <w:rPr>
                <w:rFonts w:hint="eastAsia" w:ascii="宋体" w:hAnsi="宋体" w:eastAsia="宋体" w:cs="宋体"/>
                <w:color w:val="000000"/>
                <w:kern w:val="0"/>
                <w:sz w:val="22"/>
                <w:lang w:eastAsia="zh-CN"/>
              </w:rPr>
              <w:t>164.40</w:t>
            </w:r>
          </w:p>
        </w:tc>
      </w:tr>
      <w:tr>
        <w:tblPrEx>
          <w:tblCellMar>
            <w:top w:w="0" w:type="dxa"/>
            <w:left w:w="108" w:type="dxa"/>
            <w:bottom w:w="0" w:type="dxa"/>
            <w:right w:w="108" w:type="dxa"/>
          </w:tblCellMar>
        </w:tblPrEx>
        <w:trPr>
          <w:trHeight w:val="471" w:hRule="atLeast"/>
        </w:trPr>
        <w:tc>
          <w:tcPr>
            <w:tcW w:w="1408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9"/>
        <w:tblW w:w="15521" w:type="dxa"/>
        <w:tblInd w:w="0" w:type="dxa"/>
        <w:tblLayout w:type="fixed"/>
        <w:tblCellMar>
          <w:top w:w="0" w:type="dxa"/>
          <w:left w:w="0" w:type="dxa"/>
          <w:bottom w:w="0" w:type="dxa"/>
          <w:right w:w="0" w:type="dxa"/>
        </w:tblCellMar>
      </w:tblPr>
      <w:tblGrid>
        <w:gridCol w:w="1026"/>
        <w:gridCol w:w="72"/>
        <w:gridCol w:w="61"/>
        <w:gridCol w:w="626"/>
        <w:gridCol w:w="236"/>
        <w:gridCol w:w="1152"/>
        <w:gridCol w:w="586"/>
        <w:gridCol w:w="888"/>
        <w:gridCol w:w="429"/>
        <w:gridCol w:w="40"/>
        <w:gridCol w:w="1201"/>
        <w:gridCol w:w="437"/>
        <w:gridCol w:w="1233"/>
        <w:gridCol w:w="445"/>
        <w:gridCol w:w="93"/>
        <w:gridCol w:w="631"/>
        <w:gridCol w:w="435"/>
        <w:gridCol w:w="66"/>
        <w:gridCol w:w="453"/>
        <w:gridCol w:w="1053"/>
        <w:gridCol w:w="164"/>
        <w:gridCol w:w="461"/>
        <w:gridCol w:w="768"/>
        <w:gridCol w:w="441"/>
        <w:gridCol w:w="952"/>
        <w:gridCol w:w="145"/>
        <w:gridCol w:w="1275"/>
        <w:gridCol w:w="152"/>
      </w:tblGrid>
      <w:tr>
        <w:tblPrEx>
          <w:tblCellMar>
            <w:top w:w="0" w:type="dxa"/>
            <w:left w:w="0" w:type="dxa"/>
            <w:bottom w:w="0" w:type="dxa"/>
            <w:right w:w="0" w:type="dxa"/>
          </w:tblCellMar>
        </w:tblPrEx>
        <w:trPr>
          <w:gridAfter w:val="1"/>
          <w:wAfter w:w="152" w:type="dxa"/>
          <w:trHeight w:val="435" w:hRule="atLeast"/>
        </w:trPr>
        <w:tc>
          <w:tcPr>
            <w:tcW w:w="15369" w:type="dxa"/>
            <w:gridSpan w:val="27"/>
            <w:tcBorders>
              <w:top w:val="nil"/>
              <w:left w:val="nil"/>
              <w:bottom w:val="nil"/>
              <w:right w:val="nil"/>
            </w:tcBorders>
            <w:shd w:val="clear" w:color="auto" w:fill="auto"/>
            <w:noWrap/>
            <w:tcMar>
              <w:top w:w="15" w:type="dxa"/>
              <w:left w:w="15" w:type="dxa"/>
              <w:bottom w:w="0" w:type="dxa"/>
              <w:right w:w="15" w:type="dxa"/>
            </w:tcMar>
            <w:vAlign w:val="center"/>
          </w:tcPr>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gridAfter w:val="1"/>
          <w:wAfter w:w="152" w:type="dxa"/>
          <w:trHeight w:val="285" w:hRule="atLeast"/>
        </w:trPr>
        <w:tc>
          <w:tcPr>
            <w:tcW w:w="102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72"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075" w:type="dxa"/>
            <w:gridSpan w:val="4"/>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74"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0"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0"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0" w:type="dxa"/>
            <w:gridSpan w:val="5"/>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0"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0"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2"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gridAfter w:val="1"/>
          <w:wAfter w:w="152" w:type="dxa"/>
          <w:trHeight w:val="285" w:hRule="atLeast"/>
        </w:trPr>
        <w:tc>
          <w:tcPr>
            <w:tcW w:w="3173" w:type="dxa"/>
            <w:gridSpan w:val="6"/>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color w:val="000000"/>
                <w:sz w:val="20"/>
                <w:szCs w:val="20"/>
              </w:rPr>
              <w:t>部门：</w:t>
            </w:r>
            <w:r>
              <w:rPr>
                <w:rFonts w:hint="eastAsia" w:ascii="宋体" w:hAnsi="宋体" w:eastAsia="宋体" w:cs="宋体"/>
                <w:color w:val="000000"/>
                <w:kern w:val="0"/>
                <w:sz w:val="20"/>
                <w:szCs w:val="20"/>
              </w:rPr>
              <w:t>道县旅游发展服务中心</w:t>
            </w:r>
            <w:r>
              <w:rPr>
                <w:rFonts w:hint="eastAsia"/>
              </w:rPr>
              <w:t>　</w:t>
            </w:r>
          </w:p>
        </w:tc>
        <w:tc>
          <w:tcPr>
            <w:tcW w:w="1474"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0"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0"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670" w:type="dxa"/>
            <w:gridSpan w:val="5"/>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0"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0"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2"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gridAfter w:val="1"/>
          <w:wAfter w:w="152" w:type="dxa"/>
          <w:trHeight w:val="223" w:hRule="atLeast"/>
        </w:trPr>
        <w:tc>
          <w:tcPr>
            <w:tcW w:w="3173" w:type="dxa"/>
            <w:gridSpan w:val="6"/>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47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670" w:type="dxa"/>
            <w:gridSpan w:val="3"/>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67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670" w:type="dxa"/>
            <w:gridSpan w:val="5"/>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670"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670"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372"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gridAfter w:val="1"/>
          <w:wAfter w:w="152" w:type="dxa"/>
          <w:trHeight w:val="450" w:hRule="atLeast"/>
        </w:trPr>
        <w:tc>
          <w:tcPr>
            <w:tcW w:w="109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2075" w:type="dxa"/>
            <w:gridSpan w:val="4"/>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474"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gridSpan w:val="5"/>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372"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gridAfter w:val="1"/>
          <w:wAfter w:w="152" w:type="dxa"/>
          <w:trHeight w:val="312" w:hRule="atLeast"/>
        </w:trPr>
        <w:tc>
          <w:tcPr>
            <w:tcW w:w="1098"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075" w:type="dxa"/>
            <w:gridSpan w:val="4"/>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74"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gridSpan w:val="5"/>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0"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372"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gridAfter w:val="1"/>
          <w:wAfter w:w="152" w:type="dxa"/>
          <w:trHeight w:val="234" w:hRule="atLeast"/>
        </w:trPr>
        <w:tc>
          <w:tcPr>
            <w:tcW w:w="3173" w:type="dxa"/>
            <w:gridSpan w:val="6"/>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47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67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67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670"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67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67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372"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gridAfter w:val="1"/>
          <w:wAfter w:w="152" w:type="dxa"/>
          <w:trHeight w:val="274" w:hRule="atLeast"/>
        </w:trPr>
        <w:tc>
          <w:tcPr>
            <w:tcW w:w="3173" w:type="dxa"/>
            <w:gridSpan w:val="6"/>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合计</w:t>
            </w:r>
          </w:p>
        </w:tc>
        <w:tc>
          <w:tcPr>
            <w:tcW w:w="147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b/>
                <w:bCs/>
                <w:color w:val="000000"/>
                <w:kern w:val="0"/>
                <w:sz w:val="22"/>
                <w:lang w:eastAsia="zh-CN"/>
              </w:rPr>
              <w:t>164.40</w:t>
            </w: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b/>
                <w:bCs/>
                <w:color w:val="000000"/>
                <w:kern w:val="0"/>
                <w:sz w:val="22"/>
                <w:lang w:eastAsia="zh-CN"/>
              </w:rPr>
              <w:t>164.40</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gridAfter w:val="1"/>
          <w:wAfter w:w="152" w:type="dxa"/>
          <w:trHeight w:val="383"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207</w:t>
            </w:r>
          </w:p>
        </w:tc>
        <w:tc>
          <w:tcPr>
            <w:tcW w:w="2147"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文化旅游体育与传媒支出</w:t>
            </w:r>
          </w:p>
        </w:tc>
        <w:tc>
          <w:tcPr>
            <w:tcW w:w="147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135.58</w:t>
            </w: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135.58</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gridAfter w:val="1"/>
          <w:wAfter w:w="152" w:type="dxa"/>
          <w:trHeight w:val="274"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rPr>
              <w:t>20701</w:t>
            </w:r>
          </w:p>
        </w:tc>
        <w:tc>
          <w:tcPr>
            <w:tcW w:w="2147"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rPr>
              <w:t>文化和旅游</w:t>
            </w:r>
          </w:p>
        </w:tc>
        <w:tc>
          <w:tcPr>
            <w:tcW w:w="147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135.58</w:t>
            </w: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135.58</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237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gridAfter w:val="1"/>
          <w:wAfter w:w="152" w:type="dxa"/>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eastAsiaTheme="minorEastAsia"/>
                <w:lang w:eastAsia="zh-CN"/>
              </w:rPr>
            </w:pPr>
            <w:r>
              <w:rPr>
                <w:rFonts w:hint="eastAsia" w:ascii="宋体" w:hAnsi="宋体" w:eastAsia="宋体" w:cs="宋体"/>
                <w:color w:val="000000"/>
                <w:kern w:val="0"/>
                <w:sz w:val="22"/>
                <w:lang w:eastAsia="zh-CN"/>
              </w:rPr>
              <w:t>2070133</w:t>
            </w:r>
          </w:p>
        </w:tc>
        <w:tc>
          <w:tcPr>
            <w:tcW w:w="2147"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eastAsiaTheme="minorEastAsia"/>
                <w:lang w:eastAsia="zh-CN"/>
              </w:rPr>
            </w:pPr>
            <w:r>
              <w:rPr>
                <w:rFonts w:hint="eastAsia" w:ascii="宋体" w:hAnsi="宋体" w:eastAsia="宋体" w:cs="宋体"/>
                <w:color w:val="000000"/>
                <w:kern w:val="0"/>
                <w:sz w:val="22"/>
                <w:lang w:eastAsia="zh-CN"/>
              </w:rPr>
              <w:t>旅游宣传</w:t>
            </w:r>
          </w:p>
        </w:tc>
        <w:tc>
          <w:tcPr>
            <w:tcW w:w="147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135.58</w:t>
            </w: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135.58</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237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gridAfter w:val="1"/>
          <w:wAfter w:w="152" w:type="dxa"/>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rPr>
              <w:t>208</w:t>
            </w:r>
          </w:p>
        </w:tc>
        <w:tc>
          <w:tcPr>
            <w:tcW w:w="2147"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rPr>
              <w:t>社会保障和就业支出</w:t>
            </w:r>
          </w:p>
        </w:tc>
        <w:tc>
          <w:tcPr>
            <w:tcW w:w="147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12.59</w:t>
            </w: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12.59</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237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gridAfter w:val="1"/>
          <w:wAfter w:w="152" w:type="dxa"/>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rPr>
              <w:t>20805</w:t>
            </w:r>
          </w:p>
        </w:tc>
        <w:tc>
          <w:tcPr>
            <w:tcW w:w="2147"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rPr>
              <w:t>行政事业单位养老支出</w:t>
            </w:r>
          </w:p>
        </w:tc>
        <w:tc>
          <w:tcPr>
            <w:tcW w:w="147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12.59</w:t>
            </w: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12.59</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237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gridAfter w:val="1"/>
          <w:wAfter w:w="152" w:type="dxa"/>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rPr>
              <w:t>2080505</w:t>
            </w:r>
          </w:p>
        </w:tc>
        <w:tc>
          <w:tcPr>
            <w:tcW w:w="2147"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rPr>
              <w:t>机关事业单位基本养老保险缴费支出</w:t>
            </w:r>
          </w:p>
        </w:tc>
        <w:tc>
          <w:tcPr>
            <w:tcW w:w="147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12.59</w:t>
            </w: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12.59</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237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gridAfter w:val="1"/>
          <w:wAfter w:w="152" w:type="dxa"/>
          <w:trHeight w:val="307"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w:t>
            </w:r>
          </w:p>
        </w:tc>
        <w:tc>
          <w:tcPr>
            <w:tcW w:w="2147"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卫生健康支出</w:t>
            </w:r>
          </w:p>
        </w:tc>
        <w:tc>
          <w:tcPr>
            <w:tcW w:w="147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华文中宋" w:hAnsi="华文中宋" w:eastAsia="华文中宋" w:cs="宋体"/>
                <w:sz w:val="24"/>
                <w:szCs w:val="24"/>
                <w:lang w:eastAsia="zh-CN"/>
              </w:rPr>
            </w:pPr>
            <w:r>
              <w:rPr>
                <w:rFonts w:hint="eastAsia" w:ascii="宋体" w:hAnsi="宋体" w:eastAsia="宋体" w:cs="宋体"/>
                <w:color w:val="000000"/>
                <w:kern w:val="0"/>
                <w:sz w:val="22"/>
                <w:lang w:eastAsia="zh-CN"/>
              </w:rPr>
              <w:t>7.35</w:t>
            </w: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7.35</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gridAfter w:val="1"/>
          <w:wAfter w:w="152" w:type="dxa"/>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21011</w:t>
            </w:r>
          </w:p>
        </w:tc>
        <w:tc>
          <w:tcPr>
            <w:tcW w:w="2147"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行政事业单位医疗</w:t>
            </w:r>
          </w:p>
        </w:tc>
        <w:tc>
          <w:tcPr>
            <w:tcW w:w="147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7.35</w:t>
            </w: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7.35</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gridAfter w:val="1"/>
          <w:wAfter w:w="152" w:type="dxa"/>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2101102</w:t>
            </w:r>
          </w:p>
        </w:tc>
        <w:tc>
          <w:tcPr>
            <w:tcW w:w="2147"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事业单位医疗</w:t>
            </w:r>
          </w:p>
        </w:tc>
        <w:tc>
          <w:tcPr>
            <w:tcW w:w="147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7.35</w:t>
            </w: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7.35</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gridAfter w:val="1"/>
          <w:wAfter w:w="152" w:type="dxa"/>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221</w:t>
            </w:r>
          </w:p>
        </w:tc>
        <w:tc>
          <w:tcPr>
            <w:tcW w:w="2147"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住房保障支出</w:t>
            </w:r>
          </w:p>
        </w:tc>
        <w:tc>
          <w:tcPr>
            <w:tcW w:w="147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8.88</w:t>
            </w: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8.88</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gridAfter w:val="1"/>
          <w:wAfter w:w="152" w:type="dxa"/>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w:t>
            </w:r>
          </w:p>
        </w:tc>
        <w:tc>
          <w:tcPr>
            <w:tcW w:w="2147"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住房改革支出</w:t>
            </w:r>
          </w:p>
        </w:tc>
        <w:tc>
          <w:tcPr>
            <w:tcW w:w="147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8.88</w:t>
            </w: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8.88</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gridAfter w:val="1"/>
          <w:wAfter w:w="152" w:type="dxa"/>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rPr>
              <w:t>2210201</w:t>
            </w:r>
          </w:p>
        </w:tc>
        <w:tc>
          <w:tcPr>
            <w:tcW w:w="2147"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rPr>
              <w:t>住房公积金</w:t>
            </w:r>
          </w:p>
        </w:tc>
        <w:tc>
          <w:tcPr>
            <w:tcW w:w="147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eastAsia="zh-CN"/>
              </w:rPr>
              <w:t>8.88</w:t>
            </w: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eastAsia="zh-CN"/>
              </w:rPr>
              <w:t>8.88</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gridAfter w:val="1"/>
          <w:wAfter w:w="152" w:type="dxa"/>
          <w:trHeight w:val="615" w:hRule="atLeast"/>
        </w:trPr>
        <w:tc>
          <w:tcPr>
            <w:tcW w:w="15369" w:type="dxa"/>
            <w:gridSpan w:val="27"/>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r>
        <w:tblPrEx>
          <w:tblCellMar>
            <w:top w:w="0" w:type="dxa"/>
            <w:left w:w="108" w:type="dxa"/>
            <w:bottom w:w="0" w:type="dxa"/>
            <w:right w:w="108" w:type="dxa"/>
          </w:tblCellMar>
        </w:tblPrEx>
        <w:trPr>
          <w:gridAfter w:val="2"/>
          <w:wAfter w:w="1427" w:type="dxa"/>
          <w:trHeight w:val="435" w:hRule="atLeast"/>
        </w:trPr>
        <w:tc>
          <w:tcPr>
            <w:tcW w:w="14094" w:type="dxa"/>
            <w:gridSpan w:val="26"/>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gridAfter w:val="2"/>
          <w:wAfter w:w="1427" w:type="dxa"/>
          <w:trHeight w:val="285" w:hRule="atLeast"/>
        </w:trPr>
        <w:tc>
          <w:tcPr>
            <w:tcW w:w="1785" w:type="dxa"/>
            <w:gridSpan w:val="4"/>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0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gridSpan w:val="5"/>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6" w:type="dxa"/>
            <w:gridSpan w:val="4"/>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gridAfter w:val="2"/>
          <w:wAfter w:w="1427" w:type="dxa"/>
          <w:trHeight w:val="285" w:hRule="atLeast"/>
        </w:trPr>
        <w:tc>
          <w:tcPr>
            <w:tcW w:w="3173" w:type="dxa"/>
            <w:gridSpan w:val="6"/>
            <w:tcBorders>
              <w:top w:val="nil"/>
              <w:left w:val="nil"/>
              <w:bottom w:val="nil"/>
              <w:right w:val="nil"/>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部门：道县旅游发展服务中心</w:t>
            </w:r>
            <w:r>
              <w:rPr>
                <w:rFonts w:hint="eastAsia" w:ascii="宋体" w:hAnsi="宋体" w:eastAsia="宋体" w:cs="宋体"/>
                <w:kern w:val="0"/>
                <w:sz w:val="24"/>
                <w:szCs w:val="24"/>
              </w:rPr>
              <w:t>　</w:t>
            </w:r>
          </w:p>
        </w:tc>
        <w:tc>
          <w:tcPr>
            <w:tcW w:w="190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gridSpan w:val="2"/>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8" w:type="dxa"/>
            <w:gridSpan w:val="5"/>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6" w:type="dxa"/>
            <w:gridSpan w:val="4"/>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After w:val="2"/>
          <w:wAfter w:w="1427" w:type="dxa"/>
          <w:trHeight w:val="276" w:hRule="atLeast"/>
        </w:trPr>
        <w:tc>
          <w:tcPr>
            <w:tcW w:w="3173" w:type="dxa"/>
            <w:gridSpan w:val="6"/>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03"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8"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8"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8" w:type="dxa"/>
            <w:gridSpan w:val="5"/>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8"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6"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gridAfter w:val="2"/>
          <w:wAfter w:w="1427" w:type="dxa"/>
          <w:trHeight w:val="450" w:hRule="atLeast"/>
        </w:trPr>
        <w:tc>
          <w:tcPr>
            <w:tcW w:w="2021" w:type="dxa"/>
            <w:gridSpan w:val="5"/>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152"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03"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8"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8"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8"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06"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gridAfter w:val="2"/>
          <w:wAfter w:w="1427" w:type="dxa"/>
          <w:trHeight w:val="312" w:hRule="atLeast"/>
        </w:trPr>
        <w:tc>
          <w:tcPr>
            <w:tcW w:w="2021"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15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03"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8"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8"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8"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06"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gridAfter w:val="2"/>
          <w:wAfter w:w="1427" w:type="dxa"/>
          <w:trHeight w:val="450" w:hRule="atLeast"/>
        </w:trPr>
        <w:tc>
          <w:tcPr>
            <w:tcW w:w="3173"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03"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678"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678"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678" w:type="dxa"/>
            <w:gridSpan w:val="5"/>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678"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306" w:type="dxa"/>
            <w:gridSpan w:val="4"/>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gridAfter w:val="2"/>
          <w:wAfter w:w="1427" w:type="dxa"/>
          <w:trHeight w:val="450" w:hRule="atLeast"/>
        </w:trPr>
        <w:tc>
          <w:tcPr>
            <w:tcW w:w="3173"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合计</w:t>
            </w:r>
          </w:p>
        </w:tc>
        <w:tc>
          <w:tcPr>
            <w:tcW w:w="190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b/>
                <w:bCs/>
                <w:color w:val="000000"/>
                <w:kern w:val="0"/>
                <w:sz w:val="22"/>
                <w:lang w:eastAsia="zh-CN"/>
              </w:rPr>
              <w:t>164.40</w:t>
            </w:r>
          </w:p>
        </w:tc>
        <w:tc>
          <w:tcPr>
            <w:tcW w:w="1678"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b/>
                <w:bCs/>
                <w:color w:val="000000"/>
                <w:kern w:val="0"/>
                <w:sz w:val="22"/>
                <w:lang w:eastAsia="zh-CN"/>
              </w:rPr>
              <w:t>134.72</w:t>
            </w:r>
          </w:p>
        </w:tc>
        <w:tc>
          <w:tcPr>
            <w:tcW w:w="1678" w:type="dxa"/>
            <w:gridSpan w:val="2"/>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b/>
                <w:bCs/>
                <w:color w:val="000000"/>
                <w:kern w:val="0"/>
                <w:sz w:val="22"/>
                <w:lang w:eastAsia="zh-CN"/>
              </w:rPr>
              <w:t>14.00</w:t>
            </w:r>
          </w:p>
        </w:tc>
        <w:tc>
          <w:tcPr>
            <w:tcW w:w="1678" w:type="dxa"/>
            <w:gridSpan w:val="5"/>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6" w:type="dxa"/>
            <w:gridSpan w:val="4"/>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gridAfter w:val="2"/>
          <w:wAfter w:w="1427" w:type="dxa"/>
          <w:trHeight w:val="450"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207</w:t>
            </w:r>
          </w:p>
        </w:tc>
        <w:tc>
          <w:tcPr>
            <w:tcW w:w="2014"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文化旅游体育与传媒支出</w:t>
            </w:r>
          </w:p>
        </w:tc>
        <w:tc>
          <w:tcPr>
            <w:tcW w:w="190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135.58</w:t>
            </w:r>
          </w:p>
        </w:tc>
        <w:tc>
          <w:tcPr>
            <w:tcW w:w="167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121.58 </w:t>
            </w:r>
          </w:p>
        </w:tc>
        <w:tc>
          <w:tcPr>
            <w:tcW w:w="1678" w:type="dxa"/>
            <w:gridSpan w:val="2"/>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kern w:val="0"/>
                <w:sz w:val="24"/>
                <w:szCs w:val="24"/>
                <w:lang w:val="en-US"/>
              </w:rPr>
            </w:pPr>
            <w:r>
              <w:rPr>
                <w:rFonts w:hint="eastAsia" w:ascii="宋体" w:hAnsi="宋体" w:eastAsia="宋体" w:cs="宋体"/>
                <w:color w:val="000000"/>
                <w:kern w:val="0"/>
                <w:sz w:val="22"/>
                <w:lang w:val="en-US" w:eastAsia="zh-CN"/>
              </w:rPr>
              <w:t>14.00</w:t>
            </w:r>
          </w:p>
        </w:tc>
        <w:tc>
          <w:tcPr>
            <w:tcW w:w="1678" w:type="dxa"/>
            <w:gridSpan w:val="5"/>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6" w:type="dxa"/>
            <w:gridSpan w:val="4"/>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gridAfter w:val="2"/>
          <w:wAfter w:w="1427" w:type="dxa"/>
          <w:trHeight w:val="327"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20701</w:t>
            </w:r>
          </w:p>
        </w:tc>
        <w:tc>
          <w:tcPr>
            <w:tcW w:w="2014"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文化和旅游</w:t>
            </w:r>
          </w:p>
        </w:tc>
        <w:tc>
          <w:tcPr>
            <w:tcW w:w="190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135.58</w:t>
            </w:r>
          </w:p>
        </w:tc>
        <w:tc>
          <w:tcPr>
            <w:tcW w:w="167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121.58 </w:t>
            </w:r>
          </w:p>
        </w:tc>
        <w:tc>
          <w:tcPr>
            <w:tcW w:w="1678" w:type="dxa"/>
            <w:gridSpan w:val="2"/>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kern w:val="0"/>
                <w:sz w:val="24"/>
                <w:szCs w:val="24"/>
                <w:lang w:val="en-US"/>
              </w:rPr>
            </w:pPr>
            <w:r>
              <w:rPr>
                <w:rFonts w:hint="eastAsia" w:ascii="宋体" w:hAnsi="宋体" w:eastAsia="宋体" w:cs="宋体"/>
                <w:color w:val="000000"/>
                <w:kern w:val="0"/>
                <w:sz w:val="22"/>
                <w:lang w:val="en-US" w:eastAsia="zh-CN"/>
              </w:rPr>
              <w:t>14.00</w:t>
            </w:r>
          </w:p>
        </w:tc>
        <w:tc>
          <w:tcPr>
            <w:tcW w:w="1678" w:type="dxa"/>
            <w:gridSpan w:val="5"/>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6" w:type="dxa"/>
            <w:gridSpan w:val="4"/>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gridAfter w:val="2"/>
          <w:wAfter w:w="1427" w:type="dxa"/>
          <w:trHeight w:val="450"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2070133</w:t>
            </w:r>
          </w:p>
        </w:tc>
        <w:tc>
          <w:tcPr>
            <w:tcW w:w="2014"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旅游宣传</w:t>
            </w:r>
          </w:p>
        </w:tc>
        <w:tc>
          <w:tcPr>
            <w:tcW w:w="190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135.58</w:t>
            </w:r>
          </w:p>
        </w:tc>
        <w:tc>
          <w:tcPr>
            <w:tcW w:w="167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121.58  </w:t>
            </w:r>
          </w:p>
        </w:tc>
        <w:tc>
          <w:tcPr>
            <w:tcW w:w="1678" w:type="dxa"/>
            <w:gridSpan w:val="2"/>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kern w:val="0"/>
                <w:sz w:val="24"/>
                <w:szCs w:val="24"/>
                <w:lang w:val="en-US"/>
              </w:rPr>
            </w:pPr>
            <w:r>
              <w:rPr>
                <w:rFonts w:hint="eastAsia" w:ascii="宋体" w:hAnsi="宋体" w:eastAsia="宋体" w:cs="宋体"/>
                <w:color w:val="000000"/>
                <w:kern w:val="0"/>
                <w:sz w:val="22"/>
                <w:lang w:val="en-US" w:eastAsia="zh-CN"/>
              </w:rPr>
              <w:t>14.00</w:t>
            </w:r>
          </w:p>
        </w:tc>
        <w:tc>
          <w:tcPr>
            <w:tcW w:w="1678" w:type="dxa"/>
            <w:gridSpan w:val="5"/>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6" w:type="dxa"/>
            <w:gridSpan w:val="4"/>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gridAfter w:val="2"/>
          <w:wAfter w:w="1427" w:type="dxa"/>
          <w:trHeight w:val="435"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w:t>
            </w:r>
          </w:p>
        </w:tc>
        <w:tc>
          <w:tcPr>
            <w:tcW w:w="2014"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社会保障和就业支出</w:t>
            </w:r>
          </w:p>
        </w:tc>
        <w:tc>
          <w:tcPr>
            <w:tcW w:w="190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12.59</w:t>
            </w:r>
          </w:p>
        </w:tc>
        <w:tc>
          <w:tcPr>
            <w:tcW w:w="1678"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12.59</w:t>
            </w:r>
          </w:p>
        </w:tc>
        <w:tc>
          <w:tcPr>
            <w:tcW w:w="167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5"/>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6" w:type="dxa"/>
            <w:gridSpan w:val="4"/>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gridAfter w:val="2"/>
          <w:wAfter w:w="1427" w:type="dxa"/>
          <w:trHeight w:val="450"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20805</w:t>
            </w:r>
          </w:p>
        </w:tc>
        <w:tc>
          <w:tcPr>
            <w:tcW w:w="2014"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行政事业单位养老支出</w:t>
            </w:r>
          </w:p>
        </w:tc>
        <w:tc>
          <w:tcPr>
            <w:tcW w:w="190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12.59</w:t>
            </w:r>
          </w:p>
        </w:tc>
        <w:tc>
          <w:tcPr>
            <w:tcW w:w="1678"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12.59</w:t>
            </w:r>
          </w:p>
        </w:tc>
        <w:tc>
          <w:tcPr>
            <w:tcW w:w="167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5"/>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6" w:type="dxa"/>
            <w:gridSpan w:val="4"/>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gridAfter w:val="2"/>
          <w:wAfter w:w="1427" w:type="dxa"/>
          <w:trHeight w:val="450"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2080505</w:t>
            </w:r>
          </w:p>
        </w:tc>
        <w:tc>
          <w:tcPr>
            <w:tcW w:w="2014"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机关事业单位基本养老保险缴费支出</w:t>
            </w:r>
          </w:p>
        </w:tc>
        <w:tc>
          <w:tcPr>
            <w:tcW w:w="190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12.59</w:t>
            </w:r>
          </w:p>
        </w:tc>
        <w:tc>
          <w:tcPr>
            <w:tcW w:w="1678"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12.59</w:t>
            </w:r>
          </w:p>
        </w:tc>
        <w:tc>
          <w:tcPr>
            <w:tcW w:w="167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5"/>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6" w:type="dxa"/>
            <w:gridSpan w:val="4"/>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gridAfter w:val="2"/>
          <w:wAfter w:w="1427" w:type="dxa"/>
          <w:trHeight w:val="273"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w:t>
            </w:r>
          </w:p>
        </w:tc>
        <w:tc>
          <w:tcPr>
            <w:tcW w:w="2014"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卫生健康支出</w:t>
            </w:r>
          </w:p>
        </w:tc>
        <w:tc>
          <w:tcPr>
            <w:tcW w:w="190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7.35</w:t>
            </w:r>
          </w:p>
        </w:tc>
        <w:tc>
          <w:tcPr>
            <w:tcW w:w="1678"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7.35</w:t>
            </w:r>
          </w:p>
        </w:tc>
        <w:tc>
          <w:tcPr>
            <w:tcW w:w="167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5"/>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6" w:type="dxa"/>
            <w:gridSpan w:val="4"/>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gridAfter w:val="2"/>
          <w:wAfter w:w="1427" w:type="dxa"/>
          <w:trHeight w:val="450"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21011</w:t>
            </w:r>
          </w:p>
        </w:tc>
        <w:tc>
          <w:tcPr>
            <w:tcW w:w="2014"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行政事业单位医疗</w:t>
            </w:r>
          </w:p>
        </w:tc>
        <w:tc>
          <w:tcPr>
            <w:tcW w:w="190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7.35</w:t>
            </w:r>
          </w:p>
        </w:tc>
        <w:tc>
          <w:tcPr>
            <w:tcW w:w="1678"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7.35</w:t>
            </w:r>
          </w:p>
        </w:tc>
        <w:tc>
          <w:tcPr>
            <w:tcW w:w="167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5"/>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6" w:type="dxa"/>
            <w:gridSpan w:val="4"/>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gridAfter w:val="2"/>
          <w:wAfter w:w="1427" w:type="dxa"/>
          <w:trHeight w:val="287"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2101102</w:t>
            </w:r>
          </w:p>
        </w:tc>
        <w:tc>
          <w:tcPr>
            <w:tcW w:w="2014"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事业单位医疗</w:t>
            </w:r>
          </w:p>
        </w:tc>
        <w:tc>
          <w:tcPr>
            <w:tcW w:w="190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7.35</w:t>
            </w:r>
          </w:p>
        </w:tc>
        <w:tc>
          <w:tcPr>
            <w:tcW w:w="1678"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7.35</w:t>
            </w:r>
          </w:p>
        </w:tc>
        <w:tc>
          <w:tcPr>
            <w:tcW w:w="167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5"/>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6" w:type="dxa"/>
            <w:gridSpan w:val="4"/>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gridAfter w:val="2"/>
          <w:wAfter w:w="1427" w:type="dxa"/>
          <w:trHeight w:val="450"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221</w:t>
            </w:r>
          </w:p>
        </w:tc>
        <w:tc>
          <w:tcPr>
            <w:tcW w:w="2014"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住房保障支出</w:t>
            </w:r>
          </w:p>
        </w:tc>
        <w:tc>
          <w:tcPr>
            <w:tcW w:w="190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8.88</w:t>
            </w:r>
          </w:p>
        </w:tc>
        <w:tc>
          <w:tcPr>
            <w:tcW w:w="1678"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8.88</w:t>
            </w:r>
          </w:p>
        </w:tc>
        <w:tc>
          <w:tcPr>
            <w:tcW w:w="167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5"/>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6" w:type="dxa"/>
            <w:gridSpan w:val="4"/>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gridAfter w:val="2"/>
          <w:wAfter w:w="1427" w:type="dxa"/>
          <w:trHeight w:val="450"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w:t>
            </w:r>
          </w:p>
        </w:tc>
        <w:tc>
          <w:tcPr>
            <w:tcW w:w="2014"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住房改革支出</w:t>
            </w:r>
          </w:p>
        </w:tc>
        <w:tc>
          <w:tcPr>
            <w:tcW w:w="190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8.88</w:t>
            </w:r>
          </w:p>
        </w:tc>
        <w:tc>
          <w:tcPr>
            <w:tcW w:w="1678"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8.88</w:t>
            </w:r>
          </w:p>
        </w:tc>
        <w:tc>
          <w:tcPr>
            <w:tcW w:w="167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5"/>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6" w:type="dxa"/>
            <w:gridSpan w:val="4"/>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gridAfter w:val="2"/>
          <w:wAfter w:w="1427" w:type="dxa"/>
          <w:trHeight w:val="450"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2210201</w:t>
            </w:r>
          </w:p>
        </w:tc>
        <w:tc>
          <w:tcPr>
            <w:tcW w:w="2014"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住房公积金</w:t>
            </w:r>
          </w:p>
        </w:tc>
        <w:tc>
          <w:tcPr>
            <w:tcW w:w="190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8.88</w:t>
            </w:r>
          </w:p>
        </w:tc>
        <w:tc>
          <w:tcPr>
            <w:tcW w:w="1678"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8.88</w:t>
            </w:r>
          </w:p>
        </w:tc>
        <w:tc>
          <w:tcPr>
            <w:tcW w:w="167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5"/>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8"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6" w:type="dxa"/>
            <w:gridSpan w:val="4"/>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gridAfter w:val="2"/>
          <w:wAfter w:w="1427" w:type="dxa"/>
          <w:trHeight w:val="630" w:hRule="atLeast"/>
        </w:trPr>
        <w:tc>
          <w:tcPr>
            <w:tcW w:w="14094" w:type="dxa"/>
            <w:gridSpan w:val="26"/>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r>
        <w:tblPrEx>
          <w:tblCellMar>
            <w:top w:w="0" w:type="dxa"/>
            <w:left w:w="108" w:type="dxa"/>
            <w:bottom w:w="0" w:type="dxa"/>
            <w:right w:w="108" w:type="dxa"/>
          </w:tblCellMar>
        </w:tblPrEx>
        <w:trPr>
          <w:trHeight w:val="360" w:hRule="atLeast"/>
        </w:trPr>
        <w:tc>
          <w:tcPr>
            <w:tcW w:w="15521" w:type="dxa"/>
            <w:gridSpan w:val="2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bookmarkStart w:id="2" w:name="RANGE!A1:F16"/>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173" w:type="dxa"/>
            <w:gridSpan w:val="6"/>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8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57"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0" w:type="dxa"/>
            <w:gridSpan w:val="6"/>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173" w:type="dxa"/>
            <w:gridSpan w:val="6"/>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部门：道县旅游发展服务中心</w:t>
            </w:r>
          </w:p>
        </w:tc>
        <w:tc>
          <w:tcPr>
            <w:tcW w:w="58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57"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0" w:type="dxa"/>
            <w:gridSpan w:val="6"/>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16" w:type="dxa"/>
            <w:gridSpan w:val="10"/>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05" w:type="dxa"/>
            <w:gridSpan w:val="1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35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3" w:type="dxa"/>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3"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2" w:type="dxa"/>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35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3"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一、一般公共预算财政拨款</w:t>
            </w: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w:t>
            </w:r>
          </w:p>
        </w:tc>
        <w:tc>
          <w:tcPr>
            <w:tcW w:w="1357"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164.40</w:t>
            </w: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33</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二、政府性基金预算财政拨款</w:t>
            </w: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二、外交支出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34</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三、国有资本经营财政拨款</w:t>
            </w: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三、国防支出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35</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四、公共安全支出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36</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五、教育支出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37</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六、科学技术支出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38</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7</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七、文化旅游体育与传媒支出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39</w:t>
            </w: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135.58</w:t>
            </w:r>
          </w:p>
        </w:tc>
        <w:tc>
          <w:tcPr>
            <w:tcW w:w="139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135.58</w:t>
            </w: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8</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八、社会保障和就业支出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40</w:t>
            </w: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12.59</w:t>
            </w:r>
          </w:p>
        </w:tc>
        <w:tc>
          <w:tcPr>
            <w:tcW w:w="139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12.59</w:t>
            </w: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9</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九、卫生健康支出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41</w:t>
            </w: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7.35</w:t>
            </w:r>
          </w:p>
        </w:tc>
        <w:tc>
          <w:tcPr>
            <w:tcW w:w="139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7.35</w:t>
            </w: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10</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十、节能环保支出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42</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11</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十一、城乡社区支出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43</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12</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十二、农林水支出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44</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20"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13</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十三、交通运输支出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45</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14</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十四、资源勘探工业信息等支出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46</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15</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十五、商业服务业等支出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47</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16</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十六、金融支出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48</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17</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十七、援助其他地区支出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49</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18</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十八、自然资源海洋气象等支出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50</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19</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十九、住房保障支出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51</w:t>
            </w: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8.88</w:t>
            </w:r>
          </w:p>
        </w:tc>
        <w:tc>
          <w:tcPr>
            <w:tcW w:w="139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8.88</w:t>
            </w: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20</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二十、粮油物资储备支出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52</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21</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二十一、国有资本经营预算支出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53</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22</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二十二、灾害防治及应急管理支出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54</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23</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二十三、其他支出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55</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24</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二十四、债务还本支出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56</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25</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二十五、债务付息支出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57</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26</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二十六、抗疫特别国债安排的支出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58</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b/>
                <w:bCs/>
                <w:color w:val="000000"/>
                <w:kern w:val="0"/>
                <w:sz w:val="22"/>
              </w:rPr>
              <w:t>本年收入合计</w:t>
            </w: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27</w:t>
            </w:r>
          </w:p>
        </w:tc>
        <w:tc>
          <w:tcPr>
            <w:tcW w:w="1357"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164.40</w:t>
            </w: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4"/>
                <w:szCs w:val="24"/>
              </w:rPr>
            </w:pPr>
            <w:r>
              <w:rPr>
                <w:rFonts w:hint="eastAsia" w:ascii="宋体" w:hAnsi="宋体" w:eastAsia="宋体" w:cs="宋体"/>
                <w:b/>
                <w:bCs/>
                <w:color w:val="000000"/>
                <w:kern w:val="0"/>
                <w:sz w:val="22"/>
              </w:rPr>
              <w:t>本年支出合计</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59</w:t>
            </w: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164.40</w:t>
            </w:r>
          </w:p>
        </w:tc>
        <w:tc>
          <w:tcPr>
            <w:tcW w:w="139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164.40</w:t>
            </w: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年初财政拨款结转和结余</w:t>
            </w: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28</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年末财政拨款结转和结余</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60</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 xml:space="preserve">  一般公共预算财政拨款</w:t>
            </w: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29</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61</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b/>
                <w:bCs/>
                <w:kern w:val="0"/>
                <w:sz w:val="22"/>
              </w:rPr>
            </w:pPr>
            <w:r>
              <w:rPr>
                <w:rFonts w:hint="eastAsia" w:ascii="宋体" w:hAnsi="宋体" w:eastAsia="宋体" w:cs="宋体"/>
                <w:color w:val="000000"/>
                <w:kern w:val="0"/>
                <w:sz w:val="22"/>
              </w:rPr>
              <w:t xml:space="preserve">  政府性基金预算财政拨款</w:t>
            </w: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30</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b/>
                <w:bCs/>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62</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 xml:space="preserve">  国有资本经营预算财政拨款</w:t>
            </w: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31</w:t>
            </w:r>
          </w:p>
        </w:tc>
        <w:tc>
          <w:tcPr>
            <w:tcW w:w="1357"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09" w:type="dxa"/>
            <w:gridSpan w:val="5"/>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63</w:t>
            </w: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73"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b/>
                <w:bCs/>
                <w:color w:val="000000"/>
                <w:kern w:val="0"/>
                <w:sz w:val="22"/>
              </w:rPr>
              <w:t>总计</w:t>
            </w:r>
          </w:p>
        </w:tc>
        <w:tc>
          <w:tcPr>
            <w:tcW w:w="58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32</w:t>
            </w:r>
          </w:p>
        </w:tc>
        <w:tc>
          <w:tcPr>
            <w:tcW w:w="1357"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164.40</w:t>
            </w:r>
          </w:p>
        </w:tc>
        <w:tc>
          <w:tcPr>
            <w:tcW w:w="3409" w:type="dxa"/>
            <w:gridSpan w:val="5"/>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b/>
                <w:bCs/>
                <w:color w:val="000000"/>
                <w:kern w:val="0"/>
                <w:sz w:val="22"/>
              </w:rPr>
              <w:t>总计</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64</w:t>
            </w: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164.40</w:t>
            </w:r>
          </w:p>
        </w:tc>
        <w:tc>
          <w:tcPr>
            <w:tcW w:w="139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164.40</w:t>
            </w:r>
          </w:p>
        </w:tc>
        <w:tc>
          <w:tcPr>
            <w:tcW w:w="1393"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p>
        </w:tc>
        <w:tc>
          <w:tcPr>
            <w:tcW w:w="1572"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585" w:hRule="atLeast"/>
        </w:trPr>
        <w:tc>
          <w:tcPr>
            <w:tcW w:w="15521" w:type="dxa"/>
            <w:gridSpan w:val="28"/>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both"/>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2"/>
    </w:p>
    <w:p>
      <w:pPr>
        <w:widowControl/>
        <w:spacing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道县旅游发展服务中心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986"/>
        <w:gridCol w:w="975"/>
        <w:gridCol w:w="3290"/>
        <w:gridCol w:w="2838"/>
        <w:gridCol w:w="3292"/>
        <w:gridCol w:w="2838"/>
      </w:tblGrid>
      <w:tr>
        <w:tblPrEx>
          <w:tblCellMar>
            <w:top w:w="0" w:type="dxa"/>
            <w:left w:w="108" w:type="dxa"/>
            <w:bottom w:w="0" w:type="dxa"/>
            <w:right w:w="108" w:type="dxa"/>
          </w:tblCellMar>
        </w:tblPrEx>
        <w:trPr>
          <w:trHeight w:val="405" w:hRule="atLeast"/>
          <w:jc w:val="center"/>
        </w:trPr>
        <w:tc>
          <w:tcPr>
            <w:tcW w:w="5251" w:type="dxa"/>
            <w:gridSpan w:val="3"/>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68"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961"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9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8"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38"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961"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9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961"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9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5251"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3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2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838"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5251"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合计</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lang w:val="en-US" w:eastAsia="zh-CN"/>
              </w:rPr>
              <w:t>164.40</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b/>
                <w:bCs/>
                <w:color w:val="000000"/>
                <w:kern w:val="0"/>
                <w:sz w:val="22"/>
                <w:lang w:eastAsia="zh-CN"/>
              </w:rPr>
              <w:t>134.72</w:t>
            </w:r>
          </w:p>
        </w:tc>
        <w:tc>
          <w:tcPr>
            <w:tcW w:w="2838" w:type="dxa"/>
            <w:tcBorders>
              <w:top w:val="nil"/>
              <w:left w:val="nil"/>
              <w:bottom w:val="single" w:color="auto" w:sz="4" w:space="0"/>
              <w:right w:val="single" w:color="auto" w:sz="8" w:space="0"/>
            </w:tcBorders>
            <w:shd w:val="clear" w:color="auto" w:fill="auto"/>
            <w:vAlign w:val="center"/>
          </w:tcPr>
          <w:p>
            <w:pPr>
              <w:widowControl/>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b/>
                <w:bCs/>
                <w:color w:val="000000"/>
                <w:kern w:val="0"/>
                <w:sz w:val="22"/>
                <w:lang w:val="en-US" w:eastAsia="zh-CN"/>
              </w:rPr>
              <w:t>14.00</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207</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文化旅游体育与传媒支出</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135.58</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121.58 </w:t>
            </w:r>
          </w:p>
        </w:tc>
        <w:tc>
          <w:tcPr>
            <w:tcW w:w="2838" w:type="dxa"/>
            <w:tcBorders>
              <w:top w:val="nil"/>
              <w:left w:val="nil"/>
              <w:bottom w:val="single" w:color="auto" w:sz="4" w:space="0"/>
              <w:right w:val="single" w:color="auto" w:sz="8"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rPr>
              <w:t>14.00</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20701</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文化和旅游</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135.58</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121.58 </w:t>
            </w:r>
          </w:p>
        </w:tc>
        <w:tc>
          <w:tcPr>
            <w:tcW w:w="2838" w:type="dxa"/>
            <w:tcBorders>
              <w:top w:val="nil"/>
              <w:left w:val="nil"/>
              <w:bottom w:val="single" w:color="auto" w:sz="4" w:space="0"/>
              <w:right w:val="single" w:color="auto" w:sz="8"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rPr>
              <w:t>14.00</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2070133</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旅游宣传</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135.58</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121.58 </w:t>
            </w:r>
          </w:p>
        </w:tc>
        <w:tc>
          <w:tcPr>
            <w:tcW w:w="2838" w:type="dxa"/>
            <w:tcBorders>
              <w:top w:val="nil"/>
              <w:left w:val="nil"/>
              <w:bottom w:val="single" w:color="auto" w:sz="4" w:space="0"/>
              <w:right w:val="single" w:color="auto" w:sz="8"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rPr>
              <w:t>14.00</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社会保障和就业支出</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12.59</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12.59</w:t>
            </w:r>
          </w:p>
        </w:tc>
        <w:tc>
          <w:tcPr>
            <w:tcW w:w="283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0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行政事业单位养老支出</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12.59</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12.59</w:t>
            </w:r>
          </w:p>
        </w:tc>
        <w:tc>
          <w:tcPr>
            <w:tcW w:w="283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41"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2080505</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机关事业单位基本养老保险缴费支出</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12.59</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12.59</w:t>
            </w:r>
          </w:p>
        </w:tc>
        <w:tc>
          <w:tcPr>
            <w:tcW w:w="283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218"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卫生健康支出</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7.35</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7.35</w:t>
            </w:r>
          </w:p>
        </w:tc>
        <w:tc>
          <w:tcPr>
            <w:tcW w:w="283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259"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行政事业单位医疗</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7.35</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7.35</w:t>
            </w:r>
          </w:p>
        </w:tc>
        <w:tc>
          <w:tcPr>
            <w:tcW w:w="283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1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2101102</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事业单位医疗</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7.35</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7.35</w:t>
            </w:r>
          </w:p>
        </w:tc>
        <w:tc>
          <w:tcPr>
            <w:tcW w:w="283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178"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221</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住房保障支出</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8.88</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8.88</w:t>
            </w:r>
          </w:p>
        </w:tc>
        <w:tc>
          <w:tcPr>
            <w:tcW w:w="283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191"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住房改革支出</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8.88</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8.88</w:t>
            </w:r>
          </w:p>
        </w:tc>
        <w:tc>
          <w:tcPr>
            <w:tcW w:w="283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273"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2210201</w:t>
            </w:r>
          </w:p>
        </w:tc>
        <w:tc>
          <w:tcPr>
            <w:tcW w:w="4265"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住房公积金</w:t>
            </w:r>
          </w:p>
        </w:tc>
        <w:tc>
          <w:tcPr>
            <w:tcW w:w="2838"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8.88</w:t>
            </w:r>
          </w:p>
        </w:tc>
        <w:tc>
          <w:tcPr>
            <w:tcW w:w="3292"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8.88</w:t>
            </w:r>
          </w:p>
        </w:tc>
        <w:tc>
          <w:tcPr>
            <w:tcW w:w="283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tbl>
      <w:tblPr>
        <w:tblStyle w:val="9"/>
        <w:tblW w:w="15627" w:type="dxa"/>
        <w:tblInd w:w="0" w:type="dxa"/>
        <w:tblLayout w:type="fixed"/>
        <w:tblCellMar>
          <w:top w:w="0" w:type="dxa"/>
          <w:left w:w="108" w:type="dxa"/>
          <w:bottom w:w="0" w:type="dxa"/>
          <w:right w:w="108" w:type="dxa"/>
        </w:tblCellMar>
      </w:tblPr>
      <w:tblGrid>
        <w:gridCol w:w="1294"/>
        <w:gridCol w:w="3242"/>
        <w:gridCol w:w="959"/>
        <w:gridCol w:w="893"/>
        <w:gridCol w:w="2468"/>
        <w:gridCol w:w="894"/>
        <w:gridCol w:w="954"/>
        <w:gridCol w:w="4048"/>
        <w:gridCol w:w="875"/>
      </w:tblGrid>
      <w:tr>
        <w:tblPrEx>
          <w:tblCellMar>
            <w:top w:w="0" w:type="dxa"/>
            <w:left w:w="108" w:type="dxa"/>
            <w:bottom w:w="0" w:type="dxa"/>
            <w:right w:w="108" w:type="dxa"/>
          </w:tblCellMar>
        </w:tblPrEx>
        <w:trPr>
          <w:trHeight w:val="113" w:hRule="atLeast"/>
        </w:trPr>
        <w:tc>
          <w:tcPr>
            <w:tcW w:w="15627"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3" w:name="RANGE!A1:I34"/>
            <w:r>
              <w:rPr>
                <w:rFonts w:hint="eastAsia" w:ascii="Times New Roman" w:hAnsi="Times New Roman" w:eastAsia="方正小标宋_GBK" w:cs="Times New Roman"/>
                <w:kern w:val="0"/>
                <w:sz w:val="36"/>
                <w:szCs w:val="36"/>
              </w:rPr>
              <w:t>一般公共预算财政拨款基本支出决算明细表</w:t>
            </w:r>
            <w:bookmarkEnd w:id="3"/>
          </w:p>
          <w:p>
            <w:pPr>
              <w:widowControl/>
              <w:wordWrap/>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道县旅游发展服务中心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648" w:hRule="atLeast"/>
        </w:trPr>
        <w:tc>
          <w:tcPr>
            <w:tcW w:w="129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2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5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46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9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5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04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7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60"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工资福利支出</w:t>
            </w:r>
          </w:p>
        </w:tc>
        <w:tc>
          <w:tcPr>
            <w:tcW w:w="95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lang w:eastAsia="zh-CN"/>
              </w:rPr>
              <w:t>134.72</w:t>
            </w:r>
            <w:r>
              <w:rPr>
                <w:rFonts w:hint="eastAsia" w:ascii="宋体" w:hAnsi="宋体" w:eastAsia="宋体" w:cs="宋体"/>
                <w:color w:val="000000"/>
                <w:kern w:val="0"/>
                <w:sz w:val="22"/>
              </w:rPr>
              <w:t>0</w:t>
            </w: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商品和服务支出</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 w:val="22"/>
                <w:lang w:eastAsia="zh-CN"/>
              </w:rPr>
              <w:t>29.68</w:t>
            </w: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债务利息及费用支出</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30101</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基本工资</w:t>
            </w:r>
          </w:p>
        </w:tc>
        <w:tc>
          <w:tcPr>
            <w:tcW w:w="95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 w:val="22"/>
                <w:lang w:val="en-US" w:eastAsia="zh-CN"/>
              </w:rPr>
              <w:t>56.89</w:t>
            </w: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30201</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办公费</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 w:val="22"/>
                <w:lang w:val="en-US" w:eastAsia="zh-CN"/>
              </w:rPr>
              <w:t>16.36</w:t>
            </w: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30701</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国内债务付息</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30102</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津贴补贴</w:t>
            </w:r>
          </w:p>
        </w:tc>
        <w:tc>
          <w:tcPr>
            <w:tcW w:w="95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30202</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印刷费</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 w:val="22"/>
                <w:lang w:val="en-US" w:eastAsia="zh-CN"/>
              </w:rPr>
              <w:t>5.06</w:t>
            </w: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30702</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国外债务付息</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30103</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奖金</w:t>
            </w:r>
          </w:p>
        </w:tc>
        <w:tc>
          <w:tcPr>
            <w:tcW w:w="95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 w:val="22"/>
                <w:lang w:val="en-US" w:eastAsia="zh-CN"/>
              </w:rPr>
              <w:t>28.68</w:t>
            </w: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30203</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咨询费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资本性支出</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30106</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伙食补助费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30204</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手续费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31001</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房屋建筑物购建</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30107</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绩效工资</w:t>
            </w:r>
          </w:p>
        </w:tc>
        <w:tc>
          <w:tcPr>
            <w:tcW w:w="95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 w:val="22"/>
                <w:lang w:val="en-US" w:eastAsia="zh-CN"/>
              </w:rPr>
              <w:t>20.33</w:t>
            </w: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30205</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水费</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Cs w:val="20"/>
                <w:lang w:val="en-US" w:eastAsia="zh-CN"/>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31002</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办公设备购置</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30108</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机关事业单位基本养老保险缴费</w:t>
            </w:r>
          </w:p>
        </w:tc>
        <w:tc>
          <w:tcPr>
            <w:tcW w:w="95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 w:val="22"/>
                <w:lang w:eastAsia="zh-CN"/>
              </w:rPr>
              <w:t>12.59</w:t>
            </w: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30206</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电费</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 w:val="22"/>
                <w:lang w:val="en-US" w:eastAsia="zh-CN"/>
              </w:rPr>
              <w:t>0.11</w:t>
            </w: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31003</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专用设备购置</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30109</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职业年金缴费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30207</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邮电费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31005</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基础设施建设</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30110</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职工基本医疗保险缴费</w:t>
            </w:r>
          </w:p>
        </w:tc>
        <w:tc>
          <w:tcPr>
            <w:tcW w:w="95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 w:val="22"/>
                <w:lang w:eastAsia="zh-CN"/>
              </w:rPr>
              <w:t>7.35</w:t>
            </w: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30208</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取暖费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31006</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大型修缮</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30111</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公务员医疗补助缴费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30209</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物业管理费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31007</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信息网络及软件购置更新</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30112</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其他社会保障缴费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30211</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差旅费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0.77</w:t>
            </w: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31008</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物资储备</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30113</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住房公积金</w:t>
            </w:r>
          </w:p>
        </w:tc>
        <w:tc>
          <w:tcPr>
            <w:tcW w:w="95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 w:val="22"/>
                <w:lang w:eastAsia="zh-CN"/>
              </w:rPr>
              <w:t>8.88</w:t>
            </w: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30212</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因公出国（境）费用</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31009</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土地补偿</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30114</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医疗费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30213</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维修（护）费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1.21</w:t>
            </w: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31010</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安置补助</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30199</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其他工资福利支出</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30214</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租赁费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31011</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地上附着物和青苗补偿</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对个人和家庭的补助</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30215</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会议费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31012</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拆迁补偿</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30301</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离休费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30216</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培训费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31013</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公务用车购置</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30302</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退休费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30217</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公务接待费</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31019</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其他交通工具购置</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30303</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退职（役）费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30218</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专用材料费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31021</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文物和陈列品购置</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30304</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抚恤金</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30224</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被装购置费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31022</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无形资产购置</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30305</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生活补助</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30225</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专用燃料费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31099</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其他资本性支出</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30306</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救济费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30226</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劳务费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其他支出</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30307</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医疗费补助</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30227</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委托业务费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39906</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赠与</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30308</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助学金</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30228</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工会经费</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Cs w:val="20"/>
                <w:lang w:val="en-US"/>
              </w:rPr>
            </w:pPr>
            <w:r>
              <w:rPr>
                <w:rFonts w:hint="eastAsia" w:ascii="宋体" w:hAnsi="宋体" w:eastAsia="宋体" w:cs="宋体"/>
                <w:color w:val="000000"/>
                <w:kern w:val="0"/>
                <w:sz w:val="22"/>
                <w:lang w:val="en-US" w:eastAsia="zh-CN"/>
              </w:rPr>
              <w:t>4.84</w:t>
            </w: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hint="default" w:ascii="宋体" w:hAnsi="宋体" w:eastAsia="宋体" w:cs="宋体"/>
                <w:color w:val="000000"/>
                <w:kern w:val="0"/>
                <w:szCs w:val="20"/>
                <w:lang w:val="en-US"/>
              </w:rPr>
            </w:pP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国家赔偿费用支出</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339"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30309</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奖励金</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30229</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福利费</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Cs w:val="20"/>
                <w:lang w:val="en-US" w:eastAsia="zh-CN"/>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39908</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对民间非营利组织和群众性自治组织补贴</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30310</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个人农业生产补贴</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30231</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公务用车运行维护费</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39999</w:t>
            </w:r>
          </w:p>
        </w:tc>
        <w:tc>
          <w:tcPr>
            <w:tcW w:w="404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其他支出</w:t>
            </w: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30311</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代缴社会保险费</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30239</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其他交通费用</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1.33</w:t>
            </w:r>
          </w:p>
        </w:tc>
        <w:tc>
          <w:tcPr>
            <w:tcW w:w="954"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404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30399</w:t>
            </w:r>
          </w:p>
        </w:tc>
        <w:tc>
          <w:tcPr>
            <w:tcW w:w="324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其他对个人和家庭的补助</w:t>
            </w: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30240</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税金及附加费用</w:t>
            </w:r>
          </w:p>
        </w:tc>
        <w:tc>
          <w:tcPr>
            <w:tcW w:w="8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404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20"/>
              </w:rPr>
            </w:pPr>
          </w:p>
        </w:tc>
        <w:tc>
          <w:tcPr>
            <w:tcW w:w="3242"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20"/>
              </w:rPr>
            </w:pPr>
          </w:p>
        </w:tc>
        <w:tc>
          <w:tcPr>
            <w:tcW w:w="95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30299</w:t>
            </w:r>
          </w:p>
        </w:tc>
        <w:tc>
          <w:tcPr>
            <w:tcW w:w="2468"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其他商品和服务支出</w:t>
            </w:r>
          </w:p>
        </w:tc>
        <w:tc>
          <w:tcPr>
            <w:tcW w:w="89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404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87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453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Cs w:val="20"/>
              </w:rPr>
            </w:pPr>
            <w:r>
              <w:rPr>
                <w:rFonts w:hint="eastAsia" w:ascii="宋体" w:hAnsi="宋体" w:eastAsia="宋体" w:cs="宋体"/>
                <w:color w:val="000000"/>
                <w:kern w:val="0"/>
                <w:sz w:val="22"/>
              </w:rPr>
              <w:t>人员经费合计</w:t>
            </w:r>
          </w:p>
        </w:tc>
        <w:tc>
          <w:tcPr>
            <w:tcW w:w="95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 w:val="22"/>
                <w:lang w:eastAsia="zh-CN"/>
              </w:rPr>
              <w:t>134.72</w:t>
            </w:r>
          </w:p>
        </w:tc>
        <w:tc>
          <w:tcPr>
            <w:tcW w:w="9257" w:type="dxa"/>
            <w:gridSpan w:val="5"/>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Cs w:val="18"/>
              </w:rPr>
            </w:pPr>
            <w:r>
              <w:rPr>
                <w:rFonts w:hint="eastAsia" w:ascii="宋体" w:hAnsi="宋体" w:eastAsia="宋体" w:cs="宋体"/>
                <w:color w:val="000000"/>
                <w:kern w:val="0"/>
                <w:sz w:val="22"/>
              </w:rPr>
              <w:t>公用经费合计</w:t>
            </w:r>
          </w:p>
        </w:tc>
        <w:tc>
          <w:tcPr>
            <w:tcW w:w="875"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lang w:eastAsia="zh-CN"/>
              </w:rPr>
              <w:t>29.68</w:t>
            </w:r>
            <w:r>
              <w:rPr>
                <w:rFonts w:hint="eastAsia" w:ascii="宋体" w:hAnsi="宋体" w:eastAsia="宋体" w:cs="宋体"/>
                <w:color w:val="000000"/>
                <w:kern w:val="0"/>
                <w:sz w:val="22"/>
              </w:rPr>
              <w:t>9</w:t>
            </w:r>
          </w:p>
        </w:tc>
      </w:tr>
      <w:tr>
        <w:tblPrEx>
          <w:tblCellMar>
            <w:top w:w="0" w:type="dxa"/>
            <w:left w:w="108" w:type="dxa"/>
            <w:bottom w:w="0" w:type="dxa"/>
            <w:right w:w="108" w:type="dxa"/>
          </w:tblCellMar>
        </w:tblPrEx>
        <w:trPr>
          <w:trHeight w:val="284" w:hRule="exact"/>
        </w:trPr>
        <w:tc>
          <w:tcPr>
            <w:tcW w:w="15627" w:type="dxa"/>
            <w:gridSpan w:val="9"/>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p>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rPr>
        <w:t>道县旅游发展服务中</w:t>
      </w:r>
      <w:r>
        <w:rPr>
          <w:rFonts w:hint="eastAsia" w:ascii="宋体" w:hAnsi="宋体" w:eastAsia="宋体" w:cs="宋体"/>
          <w:color w:val="000000"/>
          <w:kern w:val="0"/>
          <w:sz w:val="20"/>
          <w:szCs w:val="20"/>
          <w:lang w:val="en-US" w:eastAsia="zh-CN"/>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9"/>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p>
        </w:tc>
        <w:tc>
          <w:tcPr>
            <w:tcW w:w="1220" w:type="dxa"/>
            <w:tcBorders>
              <w:top w:val="nil"/>
              <w:left w:val="nil"/>
              <w:bottom w:val="single" w:color="auto" w:sz="8" w:space="0"/>
              <w:right w:val="single" w:color="auto" w:sz="4"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single" w:color="auto" w:sz="4" w:space="0"/>
              <w:bottom w:val="single" w:color="auto" w:sz="8" w:space="0"/>
              <w:right w:val="single" w:color="auto" w:sz="8" w:space="0"/>
            </w:tcBorders>
            <w:shd w:val="clear" w:color="auto" w:fill="auto"/>
            <w:vAlign w:val="center"/>
          </w:tcPr>
          <w:p>
            <w:pPr>
              <w:widowControl/>
              <w:jc w:val="right"/>
              <w:textAlignment w:val="center"/>
              <w:rPr>
                <w:rFonts w:hint="eastAsia" w:ascii="Times New Roman" w:hAnsi="Times New Roman" w:eastAsia="仿宋_GB2312" w:cs="Times New Roman"/>
                <w:kern w:val="0"/>
                <w:szCs w:val="21"/>
                <w:lang w:eastAsia="zh-CN"/>
              </w:rPr>
            </w:pPr>
          </w:p>
        </w:tc>
      </w:tr>
    </w:tbl>
    <w:p>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pPr>
        <w:autoSpaceDE w:val="0"/>
        <w:autoSpaceDN w:val="0"/>
        <w:adjustRightInd w:val="0"/>
        <w:ind w:left="315" w:leftChars="150"/>
        <w:jc w:val="left"/>
        <w:rPr>
          <w:rFonts w:ascii="宋体" w:eastAsia="宋体" w:cs="宋体"/>
          <w:kern w:val="0"/>
          <w:sz w:val="24"/>
          <w:szCs w:val="24"/>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pPr>
        <w:widowControl/>
        <w:wordWrap w:val="0"/>
        <w:ind w:firstLine="420" w:firstLineChars="200"/>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道县旅游发展服务中心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公开08表</w:t>
      </w:r>
    </w:p>
    <w:p>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9"/>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2170"/>
        <w:gridCol w:w="1150"/>
        <w:gridCol w:w="2000"/>
        <w:gridCol w:w="2000"/>
        <w:gridCol w:w="2000"/>
        <w:gridCol w:w="2000"/>
        <w:gridCol w:w="200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290" w:type="dxa"/>
            <w:gridSpan w:val="2"/>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115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217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1150" w:type="dxa"/>
            <w:vMerge w:val="continue"/>
            <w:vAlign w:val="center"/>
          </w:tcPr>
          <w:p>
            <w:pPr>
              <w:widowControl/>
              <w:jc w:val="left"/>
              <w:rPr>
                <w:rFonts w:ascii="Times New Roman" w:hAnsi="Times New Roman" w:eastAsia="仿宋_GB2312" w:cs="Times New Roman"/>
                <w:b/>
                <w:kern w:val="0"/>
                <w:szCs w:val="21"/>
              </w:rPr>
            </w:pPr>
          </w:p>
        </w:tc>
        <w:tc>
          <w:tcPr>
            <w:tcW w:w="2000" w:type="dxa"/>
            <w:vMerge w:val="continue"/>
            <w:vAlign w:val="center"/>
          </w:tcPr>
          <w:p>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pPr>
              <w:widowControl/>
              <w:jc w:val="left"/>
              <w:rPr>
                <w:rFonts w:ascii="Times New Roman" w:hAnsi="Times New Roman" w:eastAsia="仿宋_GB2312" w:cs="Times New Roman"/>
                <w:b/>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pPr>
              <w:widowControl/>
              <w:jc w:val="left"/>
              <w:rPr>
                <w:rFonts w:ascii="Times New Roman" w:hAnsi="Times New Roman" w:eastAsia="仿宋_GB2312" w:cs="Times New Roman"/>
                <w:kern w:val="0"/>
                <w:szCs w:val="21"/>
              </w:rPr>
            </w:pPr>
          </w:p>
        </w:tc>
        <w:tc>
          <w:tcPr>
            <w:tcW w:w="2170" w:type="dxa"/>
            <w:vMerge w:val="continue"/>
            <w:vAlign w:val="center"/>
          </w:tcPr>
          <w:p>
            <w:pPr>
              <w:widowControl/>
              <w:jc w:val="left"/>
              <w:rPr>
                <w:rFonts w:ascii="Times New Roman" w:hAnsi="Times New Roman" w:eastAsia="仿宋_GB2312" w:cs="Times New Roman"/>
                <w:kern w:val="0"/>
                <w:szCs w:val="21"/>
              </w:rPr>
            </w:pPr>
          </w:p>
        </w:tc>
        <w:tc>
          <w:tcPr>
            <w:tcW w:w="115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pPr>
              <w:widowControl/>
              <w:jc w:val="left"/>
              <w:rPr>
                <w:rFonts w:ascii="Times New Roman" w:hAnsi="Times New Roman" w:eastAsia="仿宋_GB2312" w:cs="Times New Roman"/>
                <w:kern w:val="0"/>
                <w:szCs w:val="21"/>
              </w:rPr>
            </w:pPr>
          </w:p>
        </w:tc>
        <w:tc>
          <w:tcPr>
            <w:tcW w:w="2170" w:type="dxa"/>
            <w:vMerge w:val="continue"/>
            <w:vAlign w:val="center"/>
          </w:tcPr>
          <w:p>
            <w:pPr>
              <w:widowControl/>
              <w:jc w:val="left"/>
              <w:rPr>
                <w:rFonts w:ascii="Times New Roman" w:hAnsi="Times New Roman" w:eastAsia="仿宋_GB2312" w:cs="Times New Roman"/>
                <w:kern w:val="0"/>
                <w:szCs w:val="21"/>
              </w:rPr>
            </w:pPr>
          </w:p>
        </w:tc>
        <w:tc>
          <w:tcPr>
            <w:tcW w:w="115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290" w:type="dxa"/>
            <w:gridSpan w:val="2"/>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115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290" w:type="dxa"/>
            <w:gridSpan w:val="2"/>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150" w:type="dxa"/>
            <w:shd w:val="clear" w:color="auto" w:fill="auto"/>
            <w:vAlign w:val="center"/>
          </w:tcPr>
          <w:p>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c>
          <w:tcPr>
            <w:tcW w:w="2000" w:type="dxa"/>
            <w:shd w:val="clear" w:color="auto" w:fill="auto"/>
            <w:vAlign w:val="center"/>
          </w:tcPr>
          <w:p>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000000" w:fill="FFFFFF"/>
            <w:vAlign w:val="center"/>
          </w:tcPr>
          <w:p>
            <w:pPr>
              <w:widowControl/>
              <w:jc w:val="left"/>
              <w:textAlignment w:val="center"/>
              <w:rPr>
                <w:rFonts w:hint="eastAsia" w:ascii="宋体" w:hAnsi="宋体" w:eastAsia="宋体" w:cs="宋体"/>
                <w:color w:val="000000"/>
                <w:kern w:val="0"/>
                <w:sz w:val="22"/>
                <w:szCs w:val="22"/>
                <w:lang w:val="en-US" w:eastAsia="zh-CN" w:bidi="ar-SA"/>
              </w:rPr>
            </w:pPr>
          </w:p>
        </w:tc>
        <w:tc>
          <w:tcPr>
            <w:tcW w:w="2170" w:type="dxa"/>
            <w:shd w:val="clear" w:color="000000" w:fill="FFFFFF"/>
            <w:vAlign w:val="center"/>
          </w:tcPr>
          <w:p>
            <w:pPr>
              <w:widowControl/>
              <w:jc w:val="left"/>
              <w:textAlignment w:val="center"/>
              <w:rPr>
                <w:rFonts w:hint="eastAsia" w:ascii="宋体" w:hAnsi="宋体" w:eastAsia="宋体" w:cs="宋体"/>
                <w:color w:val="000000"/>
                <w:kern w:val="0"/>
                <w:sz w:val="22"/>
                <w:szCs w:val="22"/>
                <w:lang w:val="en-US" w:eastAsia="zh-CN" w:bidi="ar-SA"/>
              </w:rPr>
            </w:pPr>
          </w:p>
        </w:tc>
        <w:tc>
          <w:tcPr>
            <w:tcW w:w="115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pPr>
              <w:widowControl/>
              <w:jc w:val="left"/>
              <w:rPr>
                <w:rFonts w:ascii="Times New Roman" w:hAnsi="Times New Roman" w:eastAsia="仿宋_GB2312" w:cs="Times New Roman"/>
                <w:kern w:val="0"/>
                <w:szCs w:val="21"/>
              </w:rPr>
            </w:pPr>
          </w:p>
        </w:tc>
        <w:tc>
          <w:tcPr>
            <w:tcW w:w="200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pPr>
              <w:widowControl/>
              <w:jc w:val="left"/>
              <w:rPr>
                <w:rFonts w:hint="default" w:ascii="Times New Roman" w:hAnsi="Times New Roman" w:eastAsia="仿宋_GB2312" w:cs="Times New Roman"/>
                <w:kern w:val="0"/>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000000" w:fill="FFFFFF"/>
            <w:vAlign w:val="center"/>
          </w:tcPr>
          <w:p>
            <w:pPr>
              <w:widowControl/>
              <w:jc w:val="left"/>
              <w:textAlignment w:val="center"/>
              <w:rPr>
                <w:rFonts w:hint="eastAsia" w:ascii="宋体" w:hAnsi="宋体" w:eastAsia="宋体" w:cs="宋体"/>
                <w:color w:val="000000"/>
                <w:kern w:val="0"/>
                <w:sz w:val="22"/>
                <w:szCs w:val="22"/>
                <w:lang w:val="en-US" w:eastAsia="zh-CN" w:bidi="ar-SA"/>
              </w:rPr>
            </w:pPr>
          </w:p>
        </w:tc>
        <w:tc>
          <w:tcPr>
            <w:tcW w:w="2170" w:type="dxa"/>
            <w:shd w:val="clear" w:color="000000" w:fill="FFFFFF"/>
            <w:vAlign w:val="center"/>
          </w:tcPr>
          <w:p>
            <w:pPr>
              <w:widowControl/>
              <w:jc w:val="left"/>
              <w:textAlignment w:val="center"/>
              <w:rPr>
                <w:rFonts w:hint="eastAsia" w:ascii="宋体" w:hAnsi="宋体" w:eastAsia="宋体" w:cs="宋体"/>
                <w:color w:val="000000"/>
                <w:kern w:val="0"/>
                <w:sz w:val="22"/>
                <w:szCs w:val="22"/>
                <w:lang w:val="en-US" w:eastAsia="zh-CN" w:bidi="ar-SA"/>
              </w:rPr>
            </w:pPr>
          </w:p>
        </w:tc>
        <w:tc>
          <w:tcPr>
            <w:tcW w:w="115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pPr>
              <w:widowControl/>
              <w:jc w:val="left"/>
              <w:rPr>
                <w:rFonts w:ascii="Times New Roman" w:hAnsi="Times New Roman" w:eastAsia="仿宋_GB2312" w:cs="Times New Roman"/>
                <w:kern w:val="0"/>
                <w:szCs w:val="21"/>
              </w:rPr>
            </w:pPr>
          </w:p>
        </w:tc>
        <w:tc>
          <w:tcPr>
            <w:tcW w:w="200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pPr>
              <w:widowControl/>
              <w:jc w:val="left"/>
              <w:rPr>
                <w:rFonts w:hint="default" w:ascii="Times New Roman" w:hAnsi="Times New Roman" w:eastAsia="仿宋_GB2312" w:cs="Times New Roman"/>
                <w:kern w:val="0"/>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000000" w:fill="FFFFFF"/>
            <w:vAlign w:val="center"/>
          </w:tcPr>
          <w:p>
            <w:pPr>
              <w:widowControl/>
              <w:jc w:val="left"/>
              <w:textAlignment w:val="center"/>
              <w:rPr>
                <w:rFonts w:hint="eastAsia" w:ascii="宋体" w:hAnsi="宋体" w:eastAsia="宋体" w:cs="宋体"/>
                <w:color w:val="000000"/>
                <w:kern w:val="0"/>
                <w:sz w:val="22"/>
                <w:szCs w:val="22"/>
                <w:lang w:val="en-US" w:eastAsia="zh-CN" w:bidi="ar-SA"/>
              </w:rPr>
            </w:pPr>
          </w:p>
        </w:tc>
        <w:tc>
          <w:tcPr>
            <w:tcW w:w="2170" w:type="dxa"/>
            <w:shd w:val="clear" w:color="000000" w:fill="FFFFFF"/>
            <w:vAlign w:val="center"/>
          </w:tcPr>
          <w:p>
            <w:pPr>
              <w:widowControl/>
              <w:jc w:val="left"/>
              <w:textAlignment w:val="center"/>
              <w:rPr>
                <w:rFonts w:hint="eastAsia" w:ascii="宋体" w:hAnsi="宋体" w:eastAsia="宋体" w:cs="宋体"/>
                <w:color w:val="000000"/>
                <w:kern w:val="0"/>
                <w:sz w:val="22"/>
                <w:szCs w:val="22"/>
                <w:lang w:val="en-US" w:eastAsia="zh-CN" w:bidi="ar-SA"/>
              </w:rPr>
            </w:pPr>
          </w:p>
        </w:tc>
        <w:tc>
          <w:tcPr>
            <w:tcW w:w="115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pPr>
              <w:widowControl/>
              <w:jc w:val="left"/>
              <w:rPr>
                <w:rFonts w:ascii="Times New Roman" w:hAnsi="Times New Roman" w:eastAsia="仿宋_GB2312" w:cs="Times New Roman"/>
                <w:kern w:val="0"/>
                <w:szCs w:val="21"/>
              </w:rPr>
            </w:pPr>
          </w:p>
        </w:tc>
        <w:tc>
          <w:tcPr>
            <w:tcW w:w="2000" w:type="dxa"/>
            <w:shd w:val="clear" w:color="auto" w:fill="auto"/>
            <w:vAlign w:val="center"/>
          </w:tcPr>
          <w:p>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pPr>
              <w:widowControl/>
              <w:jc w:val="left"/>
              <w:rPr>
                <w:rFonts w:hint="default" w:ascii="Times New Roman" w:hAnsi="Times New Roman" w:eastAsia="仿宋_GB2312" w:cs="Times New Roman"/>
                <w:kern w:val="0"/>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17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5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17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5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17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5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(若本单位无政府性基金收支</w:t>
      </w:r>
      <w:r>
        <w:rPr>
          <w:rFonts w:hint="eastAsia" w:ascii="Times New Roman" w:hAnsi="Times New Roman" w:eastAsia="仿宋_GB2312" w:cs="Times New Roman"/>
          <w:kern w:val="0"/>
          <w:szCs w:val="21"/>
        </w:rPr>
        <w:t>,请说明：XX单位没有政府性基金收入，也没有使用政府性基金安排的支出，故本表无数据</w:t>
      </w:r>
      <w:r>
        <w:rPr>
          <w:rFonts w:ascii="Times New Roman" w:hAnsi="Times New Roman" w:eastAsia="仿宋_GB2312" w:cs="Times New Roman"/>
          <w:kern w:val="0"/>
          <w:szCs w:val="21"/>
        </w:rPr>
        <w:t>)。</w:t>
      </w:r>
    </w:p>
    <w:p>
      <w:pPr>
        <w:widowControl/>
        <w:jc w:val="left"/>
        <w:rPr>
          <w:rFonts w:ascii="黑体" w:hAnsi="黑体" w:eastAsia="黑体"/>
          <w:szCs w:val="21"/>
        </w:rPr>
      </w:pPr>
      <w:r>
        <w:rPr>
          <w:rFonts w:ascii="黑体" w:hAnsi="黑体" w:eastAsia="黑体"/>
          <w:szCs w:val="21"/>
        </w:rPr>
        <w:br w:type="page"/>
      </w:r>
    </w:p>
    <w:tbl>
      <w:tblPr>
        <w:tblStyle w:val="9"/>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pPr>
              <w:widowControl/>
              <w:jc w:val="center"/>
              <w:rPr>
                <w:rFonts w:ascii="华文中宋" w:hAnsi="华文中宋" w:eastAsia="华文中宋" w:cs="宋体"/>
                <w:kern w:val="0"/>
                <w:sz w:val="32"/>
                <w:szCs w:val="32"/>
              </w:rPr>
            </w:pPr>
            <w:r>
              <w:rPr>
                <w:rFonts w:hint="eastAsia" w:ascii="Times New Roman" w:hAnsi="Times New Roman" w:eastAsia="方正小标宋_GBK" w:cs="Times New Roman"/>
                <w:kern w:val="0"/>
                <w:sz w:val="36"/>
                <w:szCs w:val="36"/>
              </w:rPr>
              <w:t>国有资本经营预算财政拨款支出决算表</w:t>
            </w:r>
          </w:p>
        </w:tc>
      </w:tr>
      <w:tr>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tblPrEx>
          <w:tblCellMar>
            <w:top w:w="0" w:type="dxa"/>
            <w:left w:w="108" w:type="dxa"/>
            <w:bottom w:w="0" w:type="dxa"/>
            <w:right w:w="108" w:type="dxa"/>
          </w:tblCellMar>
        </w:tblPrEx>
        <w:trPr>
          <w:trHeight w:val="285" w:hRule="atLeast"/>
        </w:trPr>
        <w:tc>
          <w:tcPr>
            <w:tcW w:w="4835" w:type="dxa"/>
            <w:gridSpan w:val="4"/>
            <w:tcBorders>
              <w:top w:val="nil"/>
              <w:left w:val="nil"/>
              <w:bottom w:val="nil"/>
              <w:right w:val="nil"/>
            </w:tcBorders>
            <w:shd w:val="clear" w:color="000000" w:fill="FFFFFF"/>
            <w:noWrap/>
            <w:vAlign w:val="center"/>
          </w:tcPr>
          <w:p>
            <w:pPr>
              <w:widowControl/>
              <w:jc w:val="left"/>
              <w:rPr>
                <w:rFonts w:ascii="宋体" w:hAnsi="宋体" w:eastAsia="宋体" w:cs="宋体"/>
                <w:kern w:val="0"/>
                <w:sz w:val="20"/>
                <w:szCs w:val="20"/>
              </w:rPr>
            </w:pPr>
            <w:r>
              <w:rPr>
                <w:rFonts w:hint="eastAsia" w:ascii="宋体" w:hAnsi="宋体" w:eastAsia="宋体" w:cs="宋体"/>
                <w:color w:val="000000"/>
                <w:kern w:val="0"/>
                <w:sz w:val="20"/>
                <w:szCs w:val="20"/>
              </w:rPr>
              <w:t>部门：道县旅游发展服务中心</w:t>
            </w: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tc>
      </w:tr>
    </w:tbl>
    <w:p>
      <w:pPr>
        <w:pStyle w:val="13"/>
        <w:rPr>
          <w:sz w:val="72"/>
          <w:szCs w:val="72"/>
        </w:rPr>
        <w:sectPr>
          <w:pgSz w:w="16838" w:h="11906" w:orient="landscape"/>
          <w:pgMar w:top="720" w:right="720" w:bottom="720" w:left="720" w:header="851" w:footer="992" w:gutter="0"/>
          <w:cols w:space="425" w:num="1"/>
          <w:docGrid w:type="lines" w:linePitch="312" w:charSpace="0"/>
        </w:sectPr>
      </w:pPr>
    </w:p>
    <w:p>
      <w:pPr>
        <w:pStyle w:val="13"/>
        <w:rPr>
          <w:sz w:val="72"/>
          <w:szCs w:val="72"/>
        </w:rPr>
      </w:pPr>
    </w:p>
    <w:p>
      <w:pPr>
        <w:pStyle w:val="13"/>
        <w:rPr>
          <w:sz w:val="72"/>
          <w:szCs w:val="72"/>
        </w:rPr>
      </w:pPr>
    </w:p>
    <w:p>
      <w:pPr>
        <w:pStyle w:val="13"/>
        <w:rPr>
          <w:sz w:val="72"/>
          <w:szCs w:val="72"/>
        </w:rPr>
      </w:pPr>
    </w:p>
    <w:p>
      <w:pPr>
        <w:pStyle w:val="13"/>
        <w:rPr>
          <w:sz w:val="72"/>
          <w:szCs w:val="72"/>
        </w:rPr>
      </w:pPr>
    </w:p>
    <w:p>
      <w:pPr>
        <w:pStyle w:val="13"/>
        <w:jc w:val="center"/>
        <w:rPr>
          <w:sz w:val="72"/>
          <w:szCs w:val="72"/>
        </w:rPr>
      </w:pPr>
    </w:p>
    <w:p>
      <w:pPr>
        <w:pStyle w:val="13"/>
        <w:jc w:val="center"/>
        <w:rPr>
          <w:sz w:val="72"/>
          <w:szCs w:val="72"/>
        </w:rPr>
      </w:pPr>
    </w:p>
    <w:p>
      <w:pPr>
        <w:pStyle w:val="13"/>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第三部分</w:t>
      </w:r>
    </w:p>
    <w:p>
      <w:pPr>
        <w:pStyle w:val="13"/>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2025年度部门决算情况说明</w:t>
      </w:r>
    </w:p>
    <w:p>
      <w:pPr>
        <w:widowControl/>
        <w:jc w:val="left"/>
        <w:rPr>
          <w:rFonts w:asciiTheme="minorEastAsia" w:hAnsiTheme="minorEastAsia" w:eastAsiaTheme="minorEastAsia"/>
          <w:sz w:val="32"/>
          <w:szCs w:val="32"/>
        </w:rPr>
      </w:pPr>
      <w:r>
        <w:rPr>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lang w:val="en-US" w:eastAsia="zh-CN"/>
        </w:rPr>
      </w:pPr>
      <w:r>
        <w:rPr>
          <w:rFonts w:hint="eastAsia" w:ascii="Times New Roman" w:hAnsi="Times New Roman" w:cs="Times New Roman"/>
          <w:bCs/>
          <w:color w:val="auto"/>
          <w:sz w:val="32"/>
          <w:szCs w:val="32"/>
          <w:lang w:val="en-US" w:eastAsia="zh-CN"/>
        </w:rPr>
        <w:t>一、收入支出决算总体情况说明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2025年度收、支总计</w:t>
      </w:r>
      <w:r>
        <w:rPr>
          <w:rFonts w:hint="eastAsia" w:ascii="Times New Roman" w:hAnsi="Times New Roman" w:eastAsia="仿宋_GB2312" w:cs="Times New Roman"/>
          <w:color w:val="auto"/>
          <w:sz w:val="32"/>
          <w:szCs w:val="32"/>
          <w:lang w:eastAsia="zh-CN"/>
        </w:rPr>
        <w:t>164.40</w:t>
      </w:r>
      <w:r>
        <w:rPr>
          <w:rFonts w:hint="eastAsia" w:ascii="Times New Roman" w:hAnsi="Times New Roman" w:eastAsia="仿宋_GB2312" w:cs="Times New Roman"/>
          <w:color w:val="auto"/>
          <w:sz w:val="32"/>
          <w:szCs w:val="32"/>
        </w:rPr>
        <w:t>万元。与上年相比，</w:t>
      </w:r>
      <w:r>
        <w:rPr>
          <w:rFonts w:hint="eastAsia" w:ascii="Times New Roman" w:hAnsi="Times New Roman" w:eastAsia="仿宋_GB2312" w:cs="Times New Roman"/>
          <w:color w:val="auto"/>
          <w:sz w:val="32"/>
          <w:szCs w:val="32"/>
          <w:lang w:eastAsia="zh-CN"/>
        </w:rPr>
        <w:t>减少</w:t>
      </w:r>
      <w:r>
        <w:rPr>
          <w:rFonts w:hint="eastAsia" w:ascii="Times New Roman" w:hAnsi="Times New Roman" w:eastAsia="仿宋_GB2312" w:cs="Times New Roman"/>
          <w:color w:val="auto"/>
          <w:sz w:val="32"/>
          <w:szCs w:val="32"/>
          <w:lang w:val="en-US" w:eastAsia="zh-CN"/>
        </w:rPr>
        <w:t>17.5</w:t>
      </w:r>
      <w:r>
        <w:rPr>
          <w:rFonts w:hint="eastAsia"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下降</w:t>
      </w:r>
      <w:r>
        <w:rPr>
          <w:rFonts w:hint="eastAsia" w:ascii="Times New Roman" w:hAnsi="Times New Roman" w:eastAsia="仿宋_GB2312" w:cs="Times New Roman"/>
          <w:color w:val="auto"/>
          <w:sz w:val="32"/>
          <w:szCs w:val="32"/>
          <w:lang w:val="en-US" w:eastAsia="zh-CN"/>
        </w:rPr>
        <w:t>9.55</w:t>
      </w:r>
      <w:r>
        <w:rPr>
          <w:rFonts w:hint="eastAsia" w:ascii="Times New Roman" w:hAnsi="Times New Roman" w:eastAsia="仿宋_GB2312" w:cs="Times New Roman"/>
          <w:color w:val="auto"/>
          <w:sz w:val="32"/>
          <w:szCs w:val="32"/>
        </w:rPr>
        <w:t>%，主要</w:t>
      </w:r>
      <w:r>
        <w:rPr>
          <w:rFonts w:hint="eastAsia" w:ascii="Times New Roman" w:hAnsi="Times New Roman" w:eastAsia="仿宋_GB2312" w:cs="Times New Roman"/>
          <w:color w:val="auto"/>
          <w:sz w:val="32"/>
          <w:szCs w:val="32"/>
          <w:lang w:eastAsia="zh-CN"/>
        </w:rPr>
        <w:t>原因</w:t>
      </w:r>
      <w:r>
        <w:rPr>
          <w:rFonts w:hint="eastAsia" w:ascii="Times New Roman" w:hAnsi="Times New Roman" w:eastAsia="仿宋_GB2312" w:cs="Times New Roman"/>
          <w:color w:val="auto"/>
          <w:sz w:val="32"/>
          <w:szCs w:val="32"/>
        </w:rPr>
        <w:t>是</w:t>
      </w:r>
      <w:r>
        <w:rPr>
          <w:rFonts w:hint="eastAsia" w:ascii="Times New Roman" w:hAnsi="Times New Roman" w:eastAsia="仿宋_GB2312" w:cs="Times New Roman"/>
          <w:color w:val="auto"/>
          <w:sz w:val="32"/>
          <w:szCs w:val="32"/>
          <w:lang w:eastAsia="zh-CN"/>
        </w:rPr>
        <w:t>减少项目收支</w:t>
      </w:r>
      <w:r>
        <w:rPr>
          <w:rFonts w:hint="eastAsia" w:ascii="Times New Roman" w:hAnsi="Times New Roman" w:eastAsia="仿宋_GB2312" w:cs="Times New Roman"/>
          <w:color w:val="auto"/>
          <w:sz w:val="32"/>
          <w:szCs w:val="32"/>
        </w:rPr>
        <w:t>。</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lang w:val="en-US" w:eastAsia="zh-CN"/>
        </w:rPr>
      </w:pPr>
      <w:r>
        <w:rPr>
          <w:rFonts w:hint="eastAsia" w:ascii="Times New Roman" w:hAnsi="Times New Roman" w:cs="Times New Roman"/>
          <w:bCs/>
          <w:color w:val="auto"/>
          <w:sz w:val="32"/>
          <w:szCs w:val="32"/>
          <w:lang w:val="en-US" w:eastAsia="zh-CN"/>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2025年度收入合计</w:t>
      </w:r>
      <w:r>
        <w:rPr>
          <w:rFonts w:hint="eastAsia" w:ascii="Times New Roman" w:hAnsi="Times New Roman" w:eastAsia="仿宋_GB2312" w:cs="Times New Roman"/>
          <w:color w:val="auto"/>
          <w:sz w:val="32"/>
          <w:szCs w:val="32"/>
          <w:lang w:eastAsia="zh-CN"/>
        </w:rPr>
        <w:t>164.40</w:t>
      </w:r>
      <w:r>
        <w:rPr>
          <w:rFonts w:hint="eastAsia" w:ascii="Times New Roman" w:hAnsi="Times New Roman" w:eastAsia="仿宋_GB2312" w:cs="Times New Roman"/>
          <w:color w:val="auto"/>
          <w:sz w:val="32"/>
          <w:szCs w:val="32"/>
        </w:rPr>
        <w:t>万元，其中：财政拨款收入</w:t>
      </w:r>
      <w:r>
        <w:rPr>
          <w:rFonts w:hint="eastAsia" w:ascii="Times New Roman" w:hAnsi="Times New Roman" w:eastAsia="仿宋_GB2312" w:cs="Times New Roman"/>
          <w:color w:val="auto"/>
          <w:sz w:val="32"/>
          <w:szCs w:val="32"/>
          <w:lang w:eastAsia="zh-CN"/>
        </w:rPr>
        <w:t>164.40</w:t>
      </w:r>
      <w:r>
        <w:rPr>
          <w:rFonts w:hint="eastAsia" w:ascii="Times New Roman" w:hAnsi="Times New Roman" w:eastAsia="仿宋_GB2312" w:cs="Times New Roman"/>
          <w:color w:val="auto"/>
          <w:sz w:val="32"/>
          <w:szCs w:val="32"/>
        </w:rPr>
        <w:t>万元，占100%；上级补助收入0万元，占0%；事业收入0万元，占0%；经营收入0万元，占0%；附属单位上缴收入0万元，占0%；其他收入0万元，占0%。</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lang w:val="en-US" w:eastAsia="zh-CN"/>
        </w:rPr>
      </w:pPr>
      <w:r>
        <w:rPr>
          <w:rFonts w:hint="eastAsia" w:ascii="Times New Roman" w:hAnsi="Times New Roman" w:cs="Times New Roman"/>
          <w:bCs/>
          <w:color w:val="auto"/>
          <w:sz w:val="32"/>
          <w:szCs w:val="32"/>
          <w:lang w:val="en-US" w:eastAsia="zh-CN"/>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2025年度支出合计</w:t>
      </w:r>
      <w:r>
        <w:rPr>
          <w:rFonts w:hint="eastAsia" w:ascii="Times New Roman" w:hAnsi="Times New Roman" w:eastAsia="仿宋_GB2312" w:cs="Times New Roman"/>
          <w:color w:val="auto"/>
          <w:sz w:val="32"/>
          <w:szCs w:val="32"/>
          <w:lang w:eastAsia="zh-CN"/>
        </w:rPr>
        <w:t>164.40</w:t>
      </w:r>
      <w:r>
        <w:rPr>
          <w:rFonts w:hint="eastAsia" w:ascii="Times New Roman" w:hAnsi="Times New Roman" w:eastAsia="仿宋_GB2312" w:cs="Times New Roman"/>
          <w:color w:val="auto"/>
          <w:sz w:val="32"/>
          <w:szCs w:val="32"/>
        </w:rPr>
        <w:t>万元，其中：基本支出</w:t>
      </w:r>
      <w:r>
        <w:rPr>
          <w:rFonts w:hint="eastAsia" w:ascii="Times New Roman" w:hAnsi="Times New Roman" w:eastAsia="仿宋_GB2312" w:cs="Times New Roman"/>
          <w:color w:val="auto"/>
          <w:sz w:val="32"/>
          <w:szCs w:val="32"/>
          <w:lang w:val="en-US" w:eastAsia="zh-CN"/>
        </w:rPr>
        <w:t>150.40</w:t>
      </w:r>
      <w:r>
        <w:rPr>
          <w:rFonts w:hint="eastAsia"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91.48</w:t>
      </w:r>
      <w:r>
        <w:rPr>
          <w:rFonts w:hint="eastAsia" w:ascii="Times New Roman" w:hAnsi="Times New Roman" w:eastAsia="仿宋_GB2312" w:cs="Times New Roman"/>
          <w:color w:val="auto"/>
          <w:sz w:val="32"/>
          <w:szCs w:val="32"/>
        </w:rPr>
        <w:t>%；项目支出</w:t>
      </w:r>
      <w:r>
        <w:rPr>
          <w:rFonts w:hint="eastAsia" w:ascii="Times New Roman" w:hAnsi="Times New Roman" w:eastAsia="仿宋_GB2312" w:cs="Times New Roman"/>
          <w:color w:val="auto"/>
          <w:sz w:val="32"/>
          <w:szCs w:val="32"/>
          <w:lang w:eastAsia="zh-CN"/>
        </w:rPr>
        <w:t>14.00</w:t>
      </w:r>
      <w:r>
        <w:rPr>
          <w:rFonts w:hint="eastAsia"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8.52</w:t>
      </w:r>
      <w:r>
        <w:rPr>
          <w:rFonts w:hint="eastAsia" w:ascii="Times New Roman" w:hAnsi="Times New Roman" w:eastAsia="仿宋_GB2312" w:cs="Times New Roman"/>
          <w:color w:val="auto"/>
          <w:sz w:val="32"/>
          <w:szCs w:val="32"/>
        </w:rPr>
        <w:t>%；上缴上级支出0万元，占0%；经营支出0万元，占0%；对附属单位补助支出0万元，占0%。</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lang w:val="en-US" w:eastAsia="zh-CN"/>
        </w:rPr>
      </w:pPr>
      <w:r>
        <w:rPr>
          <w:rFonts w:hint="eastAsia" w:ascii="Times New Roman" w:hAnsi="Times New Roman" w:cs="Times New Roman"/>
          <w:bCs/>
          <w:color w:val="auto"/>
          <w:sz w:val="32"/>
          <w:szCs w:val="32"/>
          <w:lang w:val="en-US" w:eastAsia="zh-CN"/>
        </w:rPr>
        <w:t>四、财政拨款收入支出决算总体情况说明</w:t>
      </w:r>
    </w:p>
    <w:p>
      <w:pPr>
        <w:pStyle w:val="13"/>
        <w:ind w:firstLine="640" w:firstLineChars="200"/>
        <w:rPr>
          <w:rFonts w:asciiTheme="minorEastAsia" w:hAnsiTheme="minorEastAsia" w:eastAsiaTheme="minorEastAsia"/>
          <w:sz w:val="32"/>
          <w:szCs w:val="32"/>
        </w:rPr>
      </w:pPr>
      <w:r>
        <w:rPr>
          <w:rFonts w:hint="eastAsia" w:ascii="Times New Roman" w:hAnsi="Times New Roman" w:eastAsia="仿宋_GB2312" w:cs="Times New Roman"/>
          <w:color w:val="auto"/>
          <w:sz w:val="32"/>
          <w:szCs w:val="32"/>
        </w:rPr>
        <w:t>2025年度财政拨款收、支总计</w:t>
      </w:r>
      <w:r>
        <w:rPr>
          <w:rFonts w:hint="eastAsia" w:ascii="Times New Roman" w:hAnsi="Times New Roman" w:eastAsia="仿宋_GB2312" w:cs="Times New Roman"/>
          <w:color w:val="auto"/>
          <w:sz w:val="32"/>
          <w:szCs w:val="32"/>
          <w:lang w:eastAsia="zh-CN"/>
        </w:rPr>
        <w:t>164.40</w:t>
      </w:r>
      <w:r>
        <w:rPr>
          <w:rFonts w:hint="eastAsia" w:ascii="Times New Roman" w:hAnsi="Times New Roman" w:eastAsia="仿宋_GB2312" w:cs="Times New Roman"/>
          <w:color w:val="auto"/>
          <w:sz w:val="32"/>
          <w:szCs w:val="32"/>
        </w:rPr>
        <w:t>万元。与上年相比，</w:t>
      </w:r>
      <w:r>
        <w:rPr>
          <w:rFonts w:hint="eastAsia" w:ascii="Times New Roman" w:hAnsi="Times New Roman" w:eastAsia="仿宋_GB2312" w:cs="Times New Roman"/>
          <w:color w:val="auto"/>
          <w:sz w:val="32"/>
          <w:szCs w:val="32"/>
          <w:lang w:eastAsia="zh-CN"/>
        </w:rPr>
        <w:t>减少</w:t>
      </w:r>
      <w:r>
        <w:rPr>
          <w:rFonts w:hint="eastAsia" w:ascii="Times New Roman" w:hAnsi="Times New Roman" w:eastAsia="仿宋_GB2312" w:cs="Times New Roman"/>
          <w:color w:val="auto"/>
          <w:sz w:val="32"/>
          <w:szCs w:val="32"/>
          <w:lang w:val="en-US" w:eastAsia="zh-CN"/>
        </w:rPr>
        <w:t>17.5</w:t>
      </w:r>
      <w:r>
        <w:rPr>
          <w:rFonts w:hint="eastAsia"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下降</w:t>
      </w:r>
      <w:r>
        <w:rPr>
          <w:rFonts w:hint="eastAsia" w:ascii="Times New Roman" w:hAnsi="Times New Roman" w:eastAsia="仿宋_GB2312" w:cs="Times New Roman"/>
          <w:color w:val="auto"/>
          <w:sz w:val="32"/>
          <w:szCs w:val="32"/>
          <w:lang w:val="en-US" w:eastAsia="zh-CN"/>
        </w:rPr>
        <w:t>9.55</w:t>
      </w:r>
      <w:r>
        <w:rPr>
          <w:rFonts w:hint="eastAsia" w:ascii="Times New Roman" w:hAnsi="Times New Roman" w:eastAsia="仿宋_GB2312" w:cs="Times New Roman"/>
          <w:color w:val="auto"/>
          <w:sz w:val="32"/>
          <w:szCs w:val="32"/>
        </w:rPr>
        <w:t>%，主要</w:t>
      </w:r>
      <w:r>
        <w:rPr>
          <w:rFonts w:hint="eastAsia" w:ascii="Times New Roman" w:hAnsi="Times New Roman" w:eastAsia="仿宋_GB2312" w:cs="Times New Roman"/>
          <w:color w:val="auto"/>
          <w:sz w:val="32"/>
          <w:szCs w:val="32"/>
          <w:lang w:eastAsia="zh-CN"/>
        </w:rPr>
        <w:t>原因</w:t>
      </w:r>
      <w:r>
        <w:rPr>
          <w:rFonts w:hint="eastAsia" w:ascii="Times New Roman" w:hAnsi="Times New Roman" w:eastAsia="仿宋_GB2312" w:cs="Times New Roman"/>
          <w:color w:val="auto"/>
          <w:sz w:val="32"/>
          <w:szCs w:val="32"/>
        </w:rPr>
        <w:t>是</w:t>
      </w:r>
      <w:r>
        <w:rPr>
          <w:rFonts w:hint="eastAsia" w:ascii="Times New Roman" w:hAnsi="Times New Roman" w:eastAsia="仿宋_GB2312" w:cs="Times New Roman"/>
          <w:color w:val="auto"/>
          <w:sz w:val="32"/>
          <w:szCs w:val="32"/>
          <w:lang w:eastAsia="zh-CN"/>
        </w:rPr>
        <w:t>减少项目收支</w:t>
      </w:r>
      <w:r>
        <w:rPr>
          <w:rFonts w:hint="eastAsia" w:ascii="Times New Roman" w:hAnsi="Times New Roman" w:eastAsia="仿宋_GB2312" w:cs="Times New Roman"/>
          <w:color w:val="auto"/>
          <w:sz w:val="32"/>
          <w:szCs w:val="32"/>
        </w:rPr>
        <w:t>。</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lang w:val="en-US" w:eastAsia="zh-CN"/>
        </w:rPr>
      </w:pPr>
      <w:r>
        <w:rPr>
          <w:rFonts w:hint="eastAsia" w:ascii="Times New Roman" w:hAnsi="Times New Roman" w:cs="Times New Roman"/>
          <w:bCs/>
          <w:color w:val="auto"/>
          <w:sz w:val="32"/>
          <w:szCs w:val="32"/>
          <w:lang w:val="en-US" w:eastAsia="zh-CN"/>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（一）财政拨款支出决算总体情况</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2025年度财政拨款支出</w:t>
      </w:r>
      <w:r>
        <w:rPr>
          <w:rFonts w:hint="eastAsia" w:ascii="Times New Roman" w:hAnsi="Times New Roman" w:eastAsia="仿宋_GB2312" w:cs="Times New Roman"/>
          <w:color w:val="auto"/>
          <w:sz w:val="32"/>
          <w:szCs w:val="32"/>
          <w:lang w:eastAsia="zh-CN"/>
        </w:rPr>
        <w:t>164.40</w:t>
      </w:r>
      <w:r>
        <w:rPr>
          <w:rFonts w:hint="eastAsia" w:ascii="Times New Roman" w:hAnsi="Times New Roman" w:eastAsia="仿宋_GB2312" w:cs="Times New Roman"/>
          <w:color w:val="auto"/>
          <w:sz w:val="32"/>
          <w:szCs w:val="32"/>
        </w:rPr>
        <w:t>万元，占本年支出合计的</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rPr>
        <w:t>%，与上年相比，财政拨款支出</w:t>
      </w:r>
      <w:r>
        <w:rPr>
          <w:rFonts w:hint="eastAsia" w:ascii="Times New Roman" w:hAnsi="Times New Roman" w:eastAsia="仿宋_GB2312" w:cs="Times New Roman"/>
          <w:color w:val="auto"/>
          <w:sz w:val="32"/>
          <w:szCs w:val="32"/>
          <w:lang w:eastAsia="zh-CN"/>
        </w:rPr>
        <w:t>减少</w:t>
      </w:r>
      <w:r>
        <w:rPr>
          <w:rFonts w:hint="eastAsia" w:ascii="Times New Roman" w:hAnsi="Times New Roman" w:eastAsia="仿宋_GB2312" w:cs="Times New Roman"/>
          <w:color w:val="auto"/>
          <w:sz w:val="32"/>
          <w:szCs w:val="32"/>
          <w:lang w:val="en-US" w:eastAsia="zh-CN"/>
        </w:rPr>
        <w:t>17.5</w:t>
      </w:r>
      <w:r>
        <w:rPr>
          <w:rFonts w:hint="eastAsia"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下降</w:t>
      </w:r>
      <w:r>
        <w:rPr>
          <w:rFonts w:hint="eastAsia" w:ascii="Times New Roman" w:hAnsi="Times New Roman" w:eastAsia="仿宋_GB2312" w:cs="Times New Roman"/>
          <w:color w:val="auto"/>
          <w:sz w:val="32"/>
          <w:szCs w:val="32"/>
          <w:lang w:val="en-US" w:eastAsia="zh-CN"/>
        </w:rPr>
        <w:t>9.55</w:t>
      </w:r>
      <w:r>
        <w:rPr>
          <w:rFonts w:hint="eastAsia" w:ascii="Times New Roman" w:hAnsi="Times New Roman" w:eastAsia="仿宋_GB2312" w:cs="Times New Roman"/>
          <w:color w:val="auto"/>
          <w:sz w:val="32"/>
          <w:szCs w:val="32"/>
        </w:rPr>
        <w:t>%，主要是项目</w:t>
      </w:r>
      <w:r>
        <w:rPr>
          <w:rFonts w:hint="eastAsia" w:ascii="Times New Roman" w:hAnsi="Times New Roman" w:eastAsia="仿宋_GB2312" w:cs="Times New Roman"/>
          <w:color w:val="auto"/>
          <w:sz w:val="32"/>
          <w:szCs w:val="32"/>
          <w:lang w:eastAsia="zh-CN"/>
        </w:rPr>
        <w:t>支出</w:t>
      </w:r>
      <w:r>
        <w:rPr>
          <w:rFonts w:hint="eastAsia" w:ascii="Times New Roman" w:hAnsi="Times New Roman" w:eastAsia="仿宋_GB2312" w:cs="Times New Roman"/>
          <w:color w:val="auto"/>
          <w:sz w:val="32"/>
          <w:szCs w:val="32"/>
        </w:rPr>
        <w:t>减少。</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（二）财政拨款支出决算结构情况</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2025年度财政拨款支出</w:t>
      </w:r>
      <w:r>
        <w:rPr>
          <w:rFonts w:hint="eastAsia" w:ascii="Times New Roman" w:hAnsi="Times New Roman" w:eastAsia="仿宋_GB2312" w:cs="Times New Roman"/>
          <w:color w:val="auto"/>
          <w:sz w:val="32"/>
          <w:szCs w:val="32"/>
          <w:lang w:eastAsia="zh-CN"/>
        </w:rPr>
        <w:t>164.40</w:t>
      </w:r>
      <w:r>
        <w:rPr>
          <w:rFonts w:hint="eastAsia" w:ascii="Times New Roman" w:hAnsi="Times New Roman" w:eastAsia="仿宋_GB2312" w:cs="Times New Roman"/>
          <w:color w:val="auto"/>
          <w:sz w:val="32"/>
          <w:szCs w:val="32"/>
        </w:rPr>
        <w:t>万元，主要用于以下方面：文化旅游体育与传媒支出文化旅游体育与传媒支出支出</w:t>
      </w:r>
      <w:r>
        <w:rPr>
          <w:rFonts w:hint="eastAsia" w:ascii="Times New Roman" w:hAnsi="Times New Roman" w:eastAsia="仿宋_GB2312" w:cs="Times New Roman"/>
          <w:color w:val="auto"/>
          <w:sz w:val="32"/>
          <w:szCs w:val="32"/>
          <w:lang w:eastAsia="zh-CN"/>
        </w:rPr>
        <w:t>135.58</w:t>
      </w:r>
      <w:r>
        <w:rPr>
          <w:rFonts w:hint="eastAsia"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82.47</w:t>
      </w:r>
      <w:r>
        <w:rPr>
          <w:rFonts w:hint="eastAsia" w:ascii="Times New Roman" w:hAnsi="Times New Roman" w:eastAsia="仿宋_GB2312" w:cs="Times New Roman"/>
          <w:color w:val="auto"/>
          <w:sz w:val="32"/>
          <w:szCs w:val="32"/>
        </w:rPr>
        <w:t>%；社会保障和就业支出</w:t>
      </w:r>
      <w:r>
        <w:rPr>
          <w:rFonts w:hint="eastAsia" w:ascii="Times New Roman" w:hAnsi="Times New Roman" w:eastAsia="仿宋_GB2312" w:cs="Times New Roman"/>
          <w:color w:val="auto"/>
          <w:sz w:val="32"/>
          <w:szCs w:val="32"/>
          <w:lang w:eastAsia="zh-CN"/>
        </w:rPr>
        <w:t>12.59</w:t>
      </w:r>
      <w:r>
        <w:rPr>
          <w:rFonts w:hint="eastAsia"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7.66</w:t>
      </w:r>
      <w:r>
        <w:rPr>
          <w:rFonts w:hint="eastAsia" w:ascii="Times New Roman" w:hAnsi="Times New Roman" w:eastAsia="仿宋_GB2312" w:cs="Times New Roman"/>
          <w:color w:val="auto"/>
          <w:sz w:val="32"/>
          <w:szCs w:val="32"/>
        </w:rPr>
        <w:t>%;卫生健康支出</w:t>
      </w:r>
      <w:r>
        <w:rPr>
          <w:rFonts w:hint="eastAsia" w:ascii="Times New Roman" w:hAnsi="Times New Roman" w:eastAsia="仿宋_GB2312" w:cs="Times New Roman"/>
          <w:color w:val="auto"/>
          <w:sz w:val="32"/>
          <w:szCs w:val="32"/>
          <w:lang w:eastAsia="zh-CN"/>
        </w:rPr>
        <w:t>7.35</w:t>
      </w:r>
      <w:r>
        <w:rPr>
          <w:rFonts w:hint="eastAsia"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4.47</w:t>
      </w:r>
      <w:r>
        <w:rPr>
          <w:rFonts w:hint="eastAsia" w:ascii="Times New Roman" w:hAnsi="Times New Roman" w:eastAsia="仿宋_GB2312" w:cs="Times New Roman"/>
          <w:color w:val="auto"/>
          <w:sz w:val="32"/>
          <w:szCs w:val="32"/>
        </w:rPr>
        <w:t>%；住房保障支出</w:t>
      </w:r>
      <w:r>
        <w:rPr>
          <w:rFonts w:hint="eastAsia" w:ascii="Times New Roman" w:hAnsi="Times New Roman" w:eastAsia="仿宋_GB2312" w:cs="Times New Roman"/>
          <w:color w:val="auto"/>
          <w:sz w:val="32"/>
          <w:szCs w:val="32"/>
          <w:lang w:eastAsia="zh-CN"/>
        </w:rPr>
        <w:t>8.88</w:t>
      </w:r>
      <w:r>
        <w:rPr>
          <w:rFonts w:hint="eastAsia" w:ascii="Times New Roman" w:hAnsi="Times New Roman" w:eastAsia="仿宋_GB2312" w:cs="Times New Roman"/>
          <w:color w:val="auto"/>
          <w:sz w:val="32"/>
          <w:szCs w:val="32"/>
        </w:rPr>
        <w:t>万元，占比</w:t>
      </w:r>
      <w:r>
        <w:rPr>
          <w:rFonts w:hint="eastAsia" w:ascii="Times New Roman" w:hAnsi="Times New Roman" w:eastAsia="仿宋_GB2312" w:cs="Times New Roman"/>
          <w:color w:val="auto"/>
          <w:sz w:val="32"/>
          <w:szCs w:val="32"/>
          <w:lang w:val="en-US" w:eastAsia="zh-CN"/>
        </w:rPr>
        <w:t>5.40</w:t>
      </w:r>
      <w:r>
        <w:rPr>
          <w:rFonts w:hint="eastAsia" w:ascii="Times New Roman" w:hAnsi="Times New Roman" w:eastAsia="仿宋_GB2312" w:cs="Times New Roman"/>
          <w:color w:val="auto"/>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（三）财政拨款支出决算具体情况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2025年度财政拨款支出年初预算数为</w:t>
      </w:r>
      <w:r>
        <w:rPr>
          <w:rFonts w:hint="eastAsia" w:ascii="Times New Roman" w:hAnsi="Times New Roman" w:eastAsia="仿宋_GB2312" w:cs="Times New Roman"/>
          <w:color w:val="auto"/>
          <w:sz w:val="32"/>
          <w:szCs w:val="32"/>
          <w:lang w:val="en-US" w:eastAsia="zh-CN"/>
        </w:rPr>
        <w:t>170.51</w:t>
      </w:r>
      <w:r>
        <w:rPr>
          <w:rFonts w:hint="eastAsia" w:ascii="Times New Roman" w:hAnsi="Times New Roman" w:eastAsia="仿宋_GB2312" w:cs="Times New Roman"/>
          <w:color w:val="auto"/>
          <w:sz w:val="32"/>
          <w:szCs w:val="32"/>
        </w:rPr>
        <w:t>万元，支出决算数为</w:t>
      </w:r>
      <w:r>
        <w:rPr>
          <w:rFonts w:hint="eastAsia" w:ascii="Times New Roman" w:hAnsi="Times New Roman" w:eastAsia="仿宋_GB2312" w:cs="Times New Roman"/>
          <w:color w:val="auto"/>
          <w:sz w:val="32"/>
          <w:szCs w:val="32"/>
          <w:lang w:eastAsia="zh-CN"/>
        </w:rPr>
        <w:t>164.40</w:t>
      </w:r>
      <w:r>
        <w:rPr>
          <w:rFonts w:hint="eastAsia"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96.42</w:t>
      </w:r>
      <w:r>
        <w:rPr>
          <w:rFonts w:hint="eastAsia" w:ascii="Times New Roman" w:hAnsi="Times New Roman" w:eastAsia="仿宋_GB2312" w:cs="Times New Roman"/>
          <w:color w:val="auto"/>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1、文化旅游体育与传媒支出（类）文化和旅游（款）</w:t>
      </w:r>
      <w:r>
        <w:rPr>
          <w:rFonts w:hint="eastAsia" w:ascii="Times New Roman" w:hAnsi="Times New Roman" w:eastAsia="仿宋_GB2312" w:cs="Times New Roman"/>
          <w:color w:val="auto"/>
          <w:sz w:val="32"/>
          <w:szCs w:val="32"/>
          <w:lang w:eastAsia="zh-CN"/>
        </w:rPr>
        <w:t>旅游宣传</w:t>
      </w:r>
      <w:r>
        <w:rPr>
          <w:rFonts w:hint="eastAsia" w:ascii="Times New Roman" w:hAnsi="Times New Roman" w:eastAsia="仿宋_GB2312" w:cs="Times New Roman"/>
          <w:color w:val="auto"/>
          <w:sz w:val="32"/>
          <w:szCs w:val="32"/>
        </w:rPr>
        <w:t>（项）。</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38.25</w:t>
      </w:r>
      <w:r>
        <w:rPr>
          <w:rFonts w:hint="eastAsia"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eastAsia="zh-CN"/>
        </w:rPr>
        <w:t>135.58</w:t>
      </w:r>
      <w:r>
        <w:rPr>
          <w:rFonts w:hint="eastAsia"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98.07</w:t>
      </w:r>
      <w:r>
        <w:rPr>
          <w:rFonts w:hint="eastAsia" w:ascii="Times New Roman" w:hAnsi="Times New Roman" w:eastAsia="仿宋_GB2312" w:cs="Times New Roman"/>
          <w:color w:val="auto"/>
          <w:sz w:val="32"/>
          <w:szCs w:val="32"/>
        </w:rPr>
        <w:t>%。支出决算</w:t>
      </w:r>
      <w:r>
        <w:rPr>
          <w:rFonts w:hint="eastAsia" w:ascii="Times New Roman" w:hAnsi="Times New Roman" w:eastAsia="仿宋_GB2312" w:cs="Times New Roman"/>
          <w:color w:val="auto"/>
          <w:sz w:val="32"/>
          <w:szCs w:val="32"/>
          <w:lang w:eastAsia="zh-CN"/>
        </w:rPr>
        <w:t>小</w:t>
      </w:r>
      <w:r>
        <w:rPr>
          <w:rFonts w:hint="eastAsia" w:ascii="Times New Roman" w:hAnsi="Times New Roman" w:eastAsia="仿宋_GB2312" w:cs="Times New Roman"/>
          <w:color w:val="auto"/>
          <w:sz w:val="32"/>
          <w:szCs w:val="32"/>
        </w:rPr>
        <w:t>于年初预算</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主要是由于</w:t>
      </w:r>
      <w:r>
        <w:rPr>
          <w:rFonts w:hint="eastAsia" w:ascii="Times New Roman" w:hAnsi="Times New Roman" w:eastAsia="仿宋_GB2312" w:cs="Times New Roman"/>
          <w:color w:val="auto"/>
          <w:sz w:val="32"/>
          <w:szCs w:val="32"/>
          <w:lang w:eastAsia="zh-CN"/>
        </w:rPr>
        <w:t>人员变动导致工资总额变小</w:t>
      </w:r>
      <w:r>
        <w:rPr>
          <w:rFonts w:hint="eastAsia" w:ascii="Times New Roman" w:hAnsi="Times New Roman" w:eastAsia="仿宋_GB2312" w:cs="Times New Roman"/>
          <w:color w:val="auto"/>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2、社会保障和就业支出（类）行政事业单位养老支出（款）机关事业单位基本养老保险缴费支出（项）</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eastAsia="zh-CN"/>
        </w:rPr>
        <w:t>1</w:t>
      </w:r>
      <w:r>
        <w:rPr>
          <w:rFonts w:hint="eastAsia" w:ascii="Times New Roman" w:hAnsi="Times New Roman" w:eastAsia="仿宋_GB2312" w:cs="Times New Roman"/>
          <w:color w:val="auto"/>
          <w:sz w:val="32"/>
          <w:szCs w:val="32"/>
          <w:lang w:val="en-US" w:eastAsia="zh-CN"/>
        </w:rPr>
        <w:t>4.07</w:t>
      </w:r>
      <w:r>
        <w:rPr>
          <w:rFonts w:hint="eastAsia"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eastAsia="zh-CN"/>
        </w:rPr>
        <w:t>12.59</w:t>
      </w:r>
      <w:r>
        <w:rPr>
          <w:rFonts w:hint="eastAsia"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89.48</w:t>
      </w:r>
      <w:r>
        <w:rPr>
          <w:rFonts w:hint="eastAsia" w:ascii="Times New Roman" w:hAnsi="Times New Roman" w:eastAsia="仿宋_GB2312" w:cs="Times New Roman"/>
          <w:color w:val="auto"/>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3、卫生健康支出（类）行政事业单位医疗（款）事业单位医疗（项）</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7.65</w:t>
      </w:r>
      <w:r>
        <w:rPr>
          <w:rFonts w:hint="eastAsia"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eastAsia="zh-CN"/>
        </w:rPr>
        <w:t>7.35</w:t>
      </w:r>
      <w:r>
        <w:rPr>
          <w:rFonts w:hint="eastAsia"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96.08</w:t>
      </w:r>
      <w:r>
        <w:rPr>
          <w:rFonts w:hint="eastAsia" w:ascii="Times New Roman" w:hAnsi="Times New Roman" w:eastAsia="仿宋_GB2312" w:cs="Times New Roman"/>
          <w:color w:val="auto"/>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4、住房保障支出（类）住房改革支出（款）住房公积金（项）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10.54</w:t>
      </w:r>
      <w:r>
        <w:rPr>
          <w:rFonts w:hint="eastAsia"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eastAsia="zh-CN"/>
        </w:rPr>
        <w:t>8.88</w:t>
      </w:r>
      <w:r>
        <w:rPr>
          <w:rFonts w:hint="eastAsia"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84.25</w:t>
      </w:r>
      <w:r>
        <w:rPr>
          <w:rFonts w:hint="eastAsia" w:ascii="Times New Roman" w:hAnsi="Times New Roman" w:eastAsia="仿宋_GB2312" w:cs="Times New Roman"/>
          <w:color w:val="auto"/>
          <w:sz w:val="32"/>
          <w:szCs w:val="32"/>
        </w:rPr>
        <w:t>%。</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lang w:val="en-US" w:eastAsia="zh-CN"/>
        </w:rPr>
      </w:pPr>
      <w:r>
        <w:rPr>
          <w:rFonts w:hint="eastAsia" w:ascii="Times New Roman" w:hAnsi="Times New Roman" w:cs="Times New Roman"/>
          <w:bCs/>
          <w:color w:val="auto"/>
          <w:sz w:val="32"/>
          <w:szCs w:val="32"/>
          <w:lang w:val="en-US" w:eastAsia="zh-CN"/>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2025年度财政拨款基本支出</w:t>
      </w:r>
      <w:r>
        <w:rPr>
          <w:rFonts w:hint="eastAsia" w:ascii="Times New Roman" w:hAnsi="Times New Roman" w:eastAsia="仿宋_GB2312" w:cs="Times New Roman"/>
          <w:color w:val="auto"/>
          <w:sz w:val="32"/>
          <w:szCs w:val="32"/>
          <w:lang w:eastAsia="zh-CN"/>
        </w:rPr>
        <w:t>164.40</w:t>
      </w:r>
      <w:r>
        <w:rPr>
          <w:rFonts w:hint="eastAsia" w:ascii="Times New Roman" w:hAnsi="Times New Roman" w:eastAsia="仿宋_GB2312" w:cs="Times New Roman"/>
          <w:color w:val="auto"/>
          <w:sz w:val="32"/>
          <w:szCs w:val="32"/>
        </w:rPr>
        <w:t>万元，其中：人员经费</w:t>
      </w:r>
      <w:r>
        <w:rPr>
          <w:rFonts w:hint="eastAsia" w:ascii="Times New Roman" w:hAnsi="Times New Roman" w:eastAsia="仿宋_GB2312" w:cs="Times New Roman"/>
          <w:color w:val="auto"/>
          <w:sz w:val="32"/>
          <w:szCs w:val="32"/>
          <w:lang w:val="en-US" w:eastAsia="zh-CN"/>
        </w:rPr>
        <w:t>134.72</w:t>
      </w:r>
      <w:r>
        <w:rPr>
          <w:rFonts w:hint="eastAsia" w:ascii="Times New Roman" w:hAnsi="Times New Roman" w:eastAsia="仿宋_GB2312" w:cs="Times New Roman"/>
          <w:color w:val="auto"/>
          <w:sz w:val="32"/>
          <w:szCs w:val="32"/>
        </w:rPr>
        <w:t>万元，占基本支出的</w:t>
      </w:r>
      <w:r>
        <w:rPr>
          <w:rFonts w:hint="eastAsia" w:ascii="Times New Roman" w:hAnsi="Times New Roman" w:eastAsia="仿宋_GB2312" w:cs="Times New Roman"/>
          <w:color w:val="auto"/>
          <w:sz w:val="32"/>
          <w:szCs w:val="32"/>
          <w:lang w:val="en-US" w:eastAsia="zh-CN"/>
        </w:rPr>
        <w:t>81.95</w:t>
      </w:r>
      <w:r>
        <w:rPr>
          <w:rFonts w:hint="eastAsia" w:ascii="Times New Roman" w:hAnsi="Times New Roman" w:eastAsia="仿宋_GB2312" w:cs="Times New Roman"/>
          <w:color w:val="auto"/>
          <w:sz w:val="32"/>
          <w:szCs w:val="32"/>
        </w:rPr>
        <w:t>%,主要包括基本工资、津贴补贴、奖金、伙食补助费等；公用经费</w:t>
      </w:r>
      <w:r>
        <w:rPr>
          <w:rFonts w:hint="eastAsia" w:ascii="Times New Roman" w:hAnsi="Times New Roman" w:eastAsia="仿宋_GB2312" w:cs="Times New Roman"/>
          <w:color w:val="auto"/>
          <w:sz w:val="32"/>
          <w:szCs w:val="32"/>
          <w:lang w:val="en-US" w:eastAsia="zh-CN"/>
        </w:rPr>
        <w:t>29.68</w:t>
      </w:r>
      <w:r>
        <w:rPr>
          <w:rFonts w:hint="eastAsia" w:ascii="Times New Roman" w:hAnsi="Times New Roman" w:eastAsia="仿宋_GB2312" w:cs="Times New Roman"/>
          <w:color w:val="auto"/>
          <w:sz w:val="32"/>
          <w:szCs w:val="32"/>
        </w:rPr>
        <w:t>万元，占基本支出的</w:t>
      </w:r>
      <w:r>
        <w:rPr>
          <w:rFonts w:hint="eastAsia" w:ascii="Times New Roman" w:hAnsi="Times New Roman" w:eastAsia="仿宋_GB2312" w:cs="Times New Roman"/>
          <w:color w:val="auto"/>
          <w:sz w:val="32"/>
          <w:szCs w:val="32"/>
          <w:lang w:val="en-US" w:eastAsia="zh-CN"/>
        </w:rPr>
        <w:t>18.05</w:t>
      </w:r>
      <w:r>
        <w:rPr>
          <w:rFonts w:hint="eastAsia" w:ascii="Times New Roman" w:hAnsi="Times New Roman" w:eastAsia="仿宋_GB2312" w:cs="Times New Roman"/>
          <w:color w:val="auto"/>
          <w:sz w:val="32"/>
          <w:szCs w:val="32"/>
        </w:rPr>
        <w:t>%，主要包括办公费、印刷费、咨询费、手续费等。</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lang w:val="en-US" w:eastAsia="zh-CN"/>
        </w:rPr>
      </w:pPr>
      <w:r>
        <w:rPr>
          <w:rFonts w:hint="eastAsia" w:ascii="Times New Roman" w:hAnsi="Times New Roman" w:cs="Times New Roman"/>
          <w:bCs/>
          <w:color w:val="auto"/>
          <w:sz w:val="32"/>
          <w:szCs w:val="32"/>
          <w:lang w:val="en-US" w:eastAsia="zh-CN"/>
        </w:rPr>
        <w:t>七、一般公共预算财政拨款“三公”经费支出决算情况说明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2025年度“三公”经费财政拨款支出预算为</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万元，其中：</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因公出国（境）费支出预算为0万元，支出决算为0万元。</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公务接待费支出预算为</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万元。</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公务用车购置费支出预算为0万元，支出决算为0万元。</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公务用车运行维护费支出预算为0万元，支出决算为0元。</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2025年度“三公”经费财政拨款支出决算中，公务接待费支出决算</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%,因公出国（境）费支出决算0万元，占0%,公务用车购置费及运行维护费支出决算0万元，占0%。其中：</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1、因公出国（境）费支出决算为0万元，全年安排因公出国（境）团组0个，累计0人次。</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2、公务接待费支出决算为</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万元，全年共接待来访团组</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个、来宾</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人次。</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3、公务用车购置费及运行维护费支出决算为0万元，其中：公务用车购置费0万元，更新公务用车0辆。公务用车运行维护费0万元，截止2025年12月31日，我单位开支财政拨款的公务用车保有量为0辆。</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lang w:val="en-US" w:eastAsia="zh-CN"/>
        </w:rPr>
      </w:pPr>
      <w:r>
        <w:rPr>
          <w:rFonts w:hint="eastAsia" w:ascii="Times New Roman" w:hAnsi="Times New Roman" w:cs="Times New Roman"/>
          <w:bCs/>
          <w:color w:val="auto"/>
          <w:sz w:val="32"/>
          <w:szCs w:val="32"/>
          <w:lang w:val="en-US" w:eastAsia="zh-CN"/>
        </w:rPr>
        <w:t>八、政府性基金预算收入支出决算情况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2025年度政府性基金预算财政拨款收入</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万元；年初结转和结余0万元；支出</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万元，其中基本支出0万元，项目支出</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万元；年末结转和结余0万元。具体情况如下：</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年初预算为0万元，支出决算为</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万元，年初未安排预算。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lang w:val="en-US" w:eastAsia="zh-CN"/>
        </w:rPr>
      </w:pPr>
      <w:r>
        <w:rPr>
          <w:rFonts w:hint="eastAsia" w:ascii="Times New Roman" w:hAnsi="Times New Roman" w:cs="Times New Roman"/>
          <w:bCs/>
          <w:color w:val="auto"/>
          <w:sz w:val="32"/>
          <w:szCs w:val="32"/>
          <w:lang w:val="en-US" w:eastAsia="zh-CN"/>
        </w:rPr>
        <w:t>九、机关运行经费支出说明</w:t>
      </w:r>
    </w:p>
    <w:p>
      <w:pPr>
        <w:pStyle w:val="13"/>
        <w:ind w:firstLine="640" w:firstLineChars="200"/>
        <w:rPr>
          <w:rFonts w:asciiTheme="minorEastAsia" w:hAnsiTheme="minorEastAsia" w:eastAsiaTheme="minorEastAsia"/>
          <w:sz w:val="32"/>
          <w:szCs w:val="32"/>
        </w:rPr>
      </w:pPr>
      <w:r>
        <w:rPr>
          <w:rFonts w:hint="eastAsia" w:ascii="Times New Roman" w:hAnsi="Times New Roman" w:eastAsia="仿宋_GB2312" w:cs="Times New Roman"/>
          <w:color w:val="auto"/>
          <w:sz w:val="32"/>
          <w:szCs w:val="32"/>
        </w:rPr>
        <w:t>本部门2025年度机关运行经费支出</w:t>
      </w:r>
      <w:r>
        <w:rPr>
          <w:rFonts w:hint="eastAsia" w:ascii="Times New Roman" w:hAnsi="Times New Roman" w:eastAsia="仿宋_GB2312" w:cs="Times New Roman"/>
          <w:color w:val="auto"/>
          <w:sz w:val="32"/>
          <w:szCs w:val="32"/>
          <w:lang w:eastAsia="zh-CN"/>
        </w:rPr>
        <w:t>29.68</w:t>
      </w:r>
      <w:r>
        <w:rPr>
          <w:rFonts w:hint="eastAsia" w:ascii="Times New Roman" w:hAnsi="Times New Roman" w:eastAsia="仿宋_GB2312" w:cs="Times New Roman"/>
          <w:color w:val="auto"/>
          <w:sz w:val="32"/>
          <w:szCs w:val="32"/>
        </w:rPr>
        <w:t>万元，比去年</w:t>
      </w:r>
      <w:r>
        <w:rPr>
          <w:rFonts w:hint="eastAsia" w:ascii="Times New Roman" w:hAnsi="Times New Roman" w:eastAsia="仿宋_GB2312" w:cs="Times New Roman"/>
          <w:color w:val="auto"/>
          <w:sz w:val="32"/>
          <w:szCs w:val="32"/>
          <w:lang w:eastAsia="zh-CN"/>
        </w:rPr>
        <w:t>增加</w:t>
      </w:r>
      <w:r>
        <w:rPr>
          <w:rFonts w:hint="eastAsia" w:ascii="Times New Roman" w:hAnsi="Times New Roman" w:eastAsia="仿宋_GB2312" w:cs="Times New Roman"/>
          <w:color w:val="auto"/>
          <w:sz w:val="32"/>
          <w:szCs w:val="32"/>
          <w:lang w:val="en-US" w:eastAsia="zh-CN"/>
        </w:rPr>
        <w:t>13.18</w:t>
      </w:r>
      <w:r>
        <w:rPr>
          <w:rFonts w:hint="eastAsia" w:ascii="Times New Roman" w:hAnsi="Times New Roman" w:eastAsia="仿宋_GB2312" w:cs="Times New Roman"/>
          <w:color w:val="auto"/>
          <w:sz w:val="32"/>
          <w:szCs w:val="32"/>
        </w:rPr>
        <w:t>万元。</w:t>
      </w:r>
      <w:r>
        <w:rPr>
          <w:rFonts w:hint="eastAsia" w:asciiTheme="minorEastAsia" w:hAnsiTheme="minorEastAsia" w:eastAsiaTheme="minorEastAsia"/>
          <w:sz w:val="32"/>
          <w:szCs w:val="32"/>
        </w:rPr>
        <w:t xml:space="preserve">            </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lang w:val="en-US" w:eastAsia="zh-CN"/>
        </w:rPr>
      </w:pPr>
      <w:r>
        <w:rPr>
          <w:rFonts w:hint="eastAsia" w:ascii="Times New Roman" w:hAnsi="Times New Roman" w:cs="Times New Roman"/>
          <w:bCs/>
          <w:color w:val="auto"/>
          <w:sz w:val="32"/>
          <w:szCs w:val="32"/>
          <w:lang w:val="en-US" w:eastAsia="zh-CN"/>
        </w:rPr>
        <w:t>十、一般性支出情况说明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2025年本部门开支会议费0万元，人数0人。开支培训费0万元人数0人。</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lang w:val="en-US" w:eastAsia="zh-CN"/>
        </w:rPr>
      </w:pPr>
      <w:r>
        <w:rPr>
          <w:rFonts w:hint="eastAsia" w:ascii="Times New Roman" w:hAnsi="Times New Roman" w:cs="Times New Roman"/>
          <w:bCs/>
          <w:color w:val="auto"/>
          <w:sz w:val="32"/>
          <w:szCs w:val="32"/>
          <w:lang w:val="en-US" w:eastAsia="zh-CN"/>
        </w:rPr>
        <w:t>十一、政府采购支出说明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本部门2025年度政府采购支出总额</w:t>
      </w:r>
      <w:r>
        <w:rPr>
          <w:rFonts w:hint="eastAsia" w:ascii="Times New Roman" w:hAnsi="Times New Roman" w:eastAsia="仿宋_GB2312" w:cs="Times New Roman"/>
          <w:color w:val="auto"/>
          <w:sz w:val="32"/>
          <w:szCs w:val="32"/>
          <w:lang w:val="en-US" w:eastAsia="zh-CN"/>
        </w:rPr>
        <w:t>14.00</w:t>
      </w:r>
      <w:r>
        <w:rPr>
          <w:rFonts w:hint="eastAsia" w:ascii="Times New Roman" w:hAnsi="Times New Roman" w:eastAsia="仿宋_GB2312" w:cs="Times New Roman"/>
          <w:color w:val="auto"/>
          <w:sz w:val="32"/>
          <w:szCs w:val="32"/>
        </w:rPr>
        <w:t>万元，其中：政府采购货物支出0万元、政府采购工程支出0万元、政府采购服务支出</w:t>
      </w:r>
      <w:r>
        <w:rPr>
          <w:rFonts w:hint="eastAsia" w:ascii="Times New Roman" w:hAnsi="Times New Roman" w:eastAsia="仿宋_GB2312" w:cs="Times New Roman"/>
          <w:color w:val="auto"/>
          <w:sz w:val="32"/>
          <w:szCs w:val="32"/>
          <w:lang w:val="en-US" w:eastAsia="zh-CN"/>
        </w:rPr>
        <w:t>14.00</w:t>
      </w:r>
      <w:r>
        <w:rPr>
          <w:rFonts w:hint="eastAsia" w:ascii="Times New Roman" w:hAnsi="Times New Roman" w:eastAsia="仿宋_GB2312" w:cs="Times New Roman"/>
          <w:color w:val="auto"/>
          <w:sz w:val="32"/>
          <w:szCs w:val="32"/>
        </w:rPr>
        <w:t>万元。授予中小企业合同金额</w:t>
      </w:r>
      <w:r>
        <w:rPr>
          <w:rFonts w:hint="eastAsia" w:ascii="Times New Roman" w:hAnsi="Times New Roman" w:eastAsia="仿宋_GB2312" w:cs="Times New Roman"/>
          <w:color w:val="auto"/>
          <w:sz w:val="32"/>
          <w:szCs w:val="32"/>
          <w:lang w:val="en-US" w:eastAsia="zh-CN"/>
        </w:rPr>
        <w:t>14.00</w:t>
      </w:r>
      <w:r>
        <w:rPr>
          <w:rFonts w:hint="eastAsia" w:ascii="Times New Roman" w:hAnsi="Times New Roman" w:eastAsia="仿宋_GB2312" w:cs="Times New Roman"/>
          <w:color w:val="auto"/>
          <w:sz w:val="32"/>
          <w:szCs w:val="32"/>
        </w:rPr>
        <w:t>万元，占政府采购支出总额的100%，其中：授予小微企业合同金额0万元，占授予中小企业合同金额的0%；货物采购授予中小企业合同金额占货物支出金额的0%，工程采购授予中小企业合同金额占工程支出金额的0%，服务采购授予中小企业合同金额</w:t>
      </w:r>
      <w:r>
        <w:rPr>
          <w:rFonts w:hint="eastAsia" w:ascii="Times New Roman" w:hAnsi="Times New Roman" w:eastAsia="仿宋_GB2312" w:cs="Times New Roman"/>
          <w:color w:val="auto"/>
          <w:sz w:val="32"/>
          <w:szCs w:val="32"/>
          <w:lang w:val="en-US" w:eastAsia="zh-CN"/>
        </w:rPr>
        <w:t>14.00</w:t>
      </w:r>
      <w:r>
        <w:rPr>
          <w:rFonts w:hint="eastAsia" w:ascii="Times New Roman" w:hAnsi="Times New Roman" w:eastAsia="仿宋_GB2312" w:cs="Times New Roman"/>
          <w:color w:val="auto"/>
          <w:sz w:val="32"/>
          <w:szCs w:val="32"/>
        </w:rPr>
        <w:t>万元，占服务支出金额的</w:t>
      </w:r>
      <w:r>
        <w:rPr>
          <w:rFonts w:hint="eastAsia" w:ascii="Times New Roman" w:hAnsi="Times New Roman" w:eastAsia="仿宋_GB2312" w:cs="Times New Roman"/>
          <w:color w:val="auto"/>
          <w:sz w:val="32"/>
          <w:szCs w:val="32"/>
          <w:lang w:val="en-US" w:eastAsia="zh-CN"/>
        </w:rPr>
        <w:t>10</w:t>
      </w:r>
      <w:r>
        <w:rPr>
          <w:rFonts w:hint="eastAsia" w:ascii="Times New Roman" w:hAnsi="Times New Roman" w:eastAsia="仿宋_GB2312" w:cs="Times New Roman"/>
          <w:color w:val="auto"/>
          <w:sz w:val="32"/>
          <w:szCs w:val="32"/>
        </w:rPr>
        <w:t>0%。</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lang w:val="en-US" w:eastAsia="zh-CN"/>
        </w:rPr>
      </w:pPr>
      <w:r>
        <w:rPr>
          <w:rFonts w:hint="eastAsia" w:ascii="Times New Roman" w:hAnsi="Times New Roman" w:cs="Times New Roman"/>
          <w:bCs/>
          <w:color w:val="auto"/>
          <w:sz w:val="32"/>
          <w:szCs w:val="32"/>
          <w:lang w:val="en-US" w:eastAsia="zh-CN"/>
        </w:rPr>
        <w:t>十二、国有资产占用情况说明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截至2025年12月31日，部门（单位）共有车辆1辆，其中，主要领导干部用车0辆，机要通信用车0辆、应急保障用车0辆、执法执勤用车0辆、特种专业技术用车0辆、其他用车0辆；单位价值50万元以上通用设备0台（套）；单位价值100万元以上专用设备0台（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lang w:val="en-US" w:eastAsia="zh-CN"/>
        </w:rPr>
      </w:pPr>
      <w:r>
        <w:rPr>
          <w:rFonts w:hint="eastAsia" w:ascii="Times New Roman" w:hAnsi="Times New Roman" w:cs="Times New Roman"/>
          <w:bCs/>
          <w:color w:val="auto"/>
          <w:sz w:val="32"/>
          <w:szCs w:val="32"/>
          <w:lang w:val="en-US" w:eastAsia="zh-CN"/>
        </w:rPr>
        <w:t>十三、2025年度预算绩效情况说明</w:t>
      </w:r>
    </w:p>
    <w:p>
      <w:pPr>
        <w:autoSpaceDE w:val="0"/>
        <w:autoSpaceDN w:val="0"/>
        <w:adjustRightInd w:val="0"/>
        <w:ind w:firstLine="640" w:firstLineChars="200"/>
        <w:jc w:val="left"/>
        <w:rPr>
          <w:rFonts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本部门预算绩效管理开展情况、绩效目标和绩效评价报告等见附件。</w:t>
      </w:r>
    </w:p>
    <w:p>
      <w:pPr>
        <w:pStyle w:val="13"/>
        <w:rPr>
          <w:sz w:val="72"/>
          <w:szCs w:val="72"/>
        </w:rPr>
      </w:pPr>
    </w:p>
    <w:p>
      <w:pPr>
        <w:pStyle w:val="13"/>
        <w:rPr>
          <w:sz w:val="72"/>
          <w:szCs w:val="72"/>
        </w:rPr>
      </w:pPr>
    </w:p>
    <w:p>
      <w:pPr>
        <w:pStyle w:val="13"/>
        <w:rPr>
          <w:sz w:val="72"/>
          <w:szCs w:val="72"/>
        </w:rPr>
      </w:pPr>
    </w:p>
    <w:p>
      <w:pPr>
        <w:pStyle w:val="13"/>
        <w:rPr>
          <w:sz w:val="72"/>
          <w:szCs w:val="72"/>
        </w:rPr>
      </w:pPr>
    </w:p>
    <w:p>
      <w:pPr>
        <w:pStyle w:val="13"/>
        <w:rPr>
          <w:sz w:val="72"/>
          <w:szCs w:val="72"/>
        </w:rPr>
      </w:pPr>
    </w:p>
    <w:p>
      <w:pPr>
        <w:pStyle w:val="13"/>
        <w:rPr>
          <w:sz w:val="72"/>
          <w:szCs w:val="72"/>
        </w:rPr>
      </w:pPr>
    </w:p>
    <w:p>
      <w:pPr>
        <w:pStyle w:val="13"/>
        <w:rPr>
          <w:sz w:val="72"/>
          <w:szCs w:val="72"/>
        </w:rPr>
      </w:pPr>
    </w:p>
    <w:p>
      <w:pPr>
        <w:pStyle w:val="13"/>
        <w:rPr>
          <w:sz w:val="72"/>
          <w:szCs w:val="72"/>
        </w:rPr>
      </w:pPr>
    </w:p>
    <w:p>
      <w:pPr>
        <w:pStyle w:val="13"/>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第四部分</w:t>
      </w:r>
      <w:r>
        <w:rPr>
          <w:rFonts w:hint="eastAsia" w:ascii="Times New Roman" w:hAnsi="Times New Roman" w:eastAsia="方正小标宋_GBK" w:cs="Times New Roman"/>
          <w:sz w:val="52"/>
          <w:szCs w:val="52"/>
          <w:lang w:val="en-US" w:eastAsia="zh-CN"/>
        </w:rPr>
        <w:t xml:space="preserve">  </w:t>
      </w:r>
      <w:r>
        <w:rPr>
          <w:rFonts w:hint="eastAsia" w:ascii="Times New Roman" w:hAnsi="Times New Roman" w:eastAsia="方正小标宋_GBK" w:cs="Times New Roman"/>
          <w:sz w:val="52"/>
          <w:szCs w:val="52"/>
        </w:rPr>
        <w:t>名词解释</w:t>
      </w:r>
    </w:p>
    <w:p>
      <w:pPr>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w:t>
      </w:r>
      <w:r>
        <w:rPr>
          <w:rFonts w:ascii="Times New Roman" w:hAnsi="Times New Roman" w:eastAsia="仿宋_GB2312" w:cs="Times New Roman"/>
          <w:color w:val="000000"/>
          <w:kern w:val="0"/>
          <w:sz w:val="32"/>
          <w:szCs w:val="32"/>
        </w:rPr>
        <w:t>财政拨款收入：指单位本年度从同级财政部门取得的各类财政拨款。</w:t>
      </w:r>
    </w:p>
    <w:p>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2．上级补助收入：指事业单位从主管部门和上级单位取得的非财政补助收入。</w:t>
      </w:r>
    </w:p>
    <w:p>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4．“三公”经费：指单位用一般公共预算财政拨款安排的因公出</w:t>
      </w:r>
    </w:p>
    <w:p>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5．对附属单位补助支出：指事业单位用财政拨款收入之外的收入对附属单位补助发生的支出。</w:t>
      </w:r>
    </w:p>
    <w:p>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6．经营支出：指事业单位在专业业务活动及其辅助活动之外开展非独立核算经营活动发生的支出。</w:t>
      </w:r>
    </w:p>
    <w:p>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7</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事业收入：指事业单位开展专业业务活动及其辅助活动取得的</w:t>
      </w:r>
      <w:bookmarkStart w:id="4" w:name="28"/>
      <w:bookmarkEnd w:id="4"/>
      <w:r>
        <w:rPr>
          <w:rFonts w:ascii="Times New Roman" w:hAnsi="Times New Roman" w:eastAsia="仿宋_GB2312" w:cs="Times New Roman"/>
          <w:color w:val="000000"/>
          <w:kern w:val="0"/>
          <w:sz w:val="32"/>
          <w:szCs w:val="32"/>
        </w:rPr>
        <w:t>收入，事业单位收到的财政专户实际核拨的教育收费等资金在此反映。</w:t>
      </w:r>
    </w:p>
    <w:p>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8．经营收入：指事业单位在专业业务活动及其辅助活动之外开展非独立核算经营活动取得的收入。</w:t>
      </w:r>
    </w:p>
    <w:p>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9．附属单位上缴收入：指事业单位附属独立核算单位按照有关规定上缴的收入。</w:t>
      </w:r>
    </w:p>
    <w:p>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10．其他收入：指单位取得的除上述“财政拨款收入”、“事业收</w:t>
      </w:r>
    </w:p>
    <w:p>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入”、“经营收入”等以外的各项收入。</w:t>
      </w:r>
    </w:p>
    <w:p>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11．使用非财政拨款结余：指事业单位使用非财政拨款结余（原事业基金）弥补当年收支差额的数额。</w:t>
      </w:r>
    </w:p>
    <w:p>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12．年初结转和结余：指单位上年结转本年使用的基本支出结转、项目支出结转和结余和经营结余。</w:t>
      </w:r>
    </w:p>
    <w:p>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13．结余分配：指事业单位按规定对非财政拨款结余资金提取的专用基金、缴纳的所得税和转入非财政拨款结余等。</w:t>
      </w:r>
    </w:p>
    <w:p>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14．年末结转和结余资金：指本年度或以前年度预算安排、因客观条件发生变化无法按原计划实施，需要延迟到以后年度按有关规定继续使用的资金。</w:t>
      </w:r>
    </w:p>
    <w:p>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15．基本支出：指为保障机构正常运转、完成日常工作任务而发生的支出，包括人员经费和公用经费。</w:t>
      </w:r>
    </w:p>
    <w:p>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16．项目支出：指在为完成特定的工作任务和事业发展目标所发生的支出。</w:t>
      </w:r>
    </w:p>
    <w:p>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17．上缴上级支出：指事业单位按照财政部门和主管部门的规定上缴上级单位的支出。</w:t>
      </w:r>
    </w:p>
    <w:p>
      <w:pPr>
        <w:widowControl/>
        <w:jc w:val="left"/>
        <w:rPr>
          <w:rFonts w:ascii="黑体" w:eastAsia="黑体" w:cs="黑体"/>
          <w:color w:val="000000"/>
          <w:kern w:val="0"/>
          <w:sz w:val="70"/>
          <w:szCs w:val="70"/>
        </w:rPr>
      </w:pPr>
      <w:bookmarkStart w:id="5" w:name="29"/>
      <w:bookmarkEnd w:id="5"/>
    </w:p>
    <w:p>
      <w:pPr>
        <w:rPr>
          <w:sz w:val="72"/>
          <w:szCs w:val="72"/>
        </w:rPr>
      </w:pPr>
      <w:r>
        <w:rPr>
          <w:sz w:val="72"/>
          <w:szCs w:val="72"/>
        </w:rPr>
        <w:br w:type="page"/>
      </w:r>
    </w:p>
    <w:p>
      <w:pPr>
        <w:pStyle w:val="13"/>
        <w:jc w:val="center"/>
        <w:rPr>
          <w:rFonts w:hint="eastAsia" w:ascii="Times New Roman" w:hAnsi="Times New Roman" w:eastAsia="方正小标宋_GBK" w:cs="Times New Roman"/>
          <w:sz w:val="52"/>
          <w:szCs w:val="52"/>
        </w:rPr>
      </w:pPr>
    </w:p>
    <w:p>
      <w:pPr>
        <w:pStyle w:val="13"/>
        <w:jc w:val="center"/>
        <w:rPr>
          <w:rFonts w:hint="eastAsia" w:ascii="Times New Roman" w:hAnsi="Times New Roman" w:eastAsia="方正小标宋_GBK" w:cs="Times New Roman"/>
          <w:sz w:val="52"/>
          <w:szCs w:val="52"/>
        </w:rPr>
      </w:pPr>
    </w:p>
    <w:p>
      <w:pPr>
        <w:pStyle w:val="13"/>
        <w:jc w:val="center"/>
        <w:rPr>
          <w:rFonts w:hint="eastAsia" w:ascii="Times New Roman" w:hAnsi="Times New Roman" w:eastAsia="方正小标宋_GBK" w:cs="Times New Roman"/>
          <w:sz w:val="52"/>
          <w:szCs w:val="52"/>
        </w:rPr>
      </w:pPr>
    </w:p>
    <w:p>
      <w:pPr>
        <w:pStyle w:val="13"/>
        <w:jc w:val="center"/>
        <w:rPr>
          <w:rFonts w:hint="eastAsia" w:ascii="Times New Roman" w:hAnsi="Times New Roman" w:eastAsia="方正小标宋_GBK" w:cs="Times New Roman"/>
          <w:sz w:val="52"/>
          <w:szCs w:val="52"/>
        </w:rPr>
      </w:pPr>
    </w:p>
    <w:p>
      <w:pPr>
        <w:pStyle w:val="13"/>
        <w:jc w:val="center"/>
        <w:rPr>
          <w:rFonts w:hint="eastAsia" w:ascii="Times New Roman" w:hAnsi="Times New Roman" w:eastAsia="方正小标宋_GBK" w:cs="Times New Roman"/>
          <w:sz w:val="52"/>
          <w:szCs w:val="52"/>
        </w:rPr>
      </w:pPr>
    </w:p>
    <w:p>
      <w:pPr>
        <w:pStyle w:val="13"/>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第五部分</w:t>
      </w:r>
      <w:r>
        <w:rPr>
          <w:rFonts w:hint="eastAsia" w:ascii="Times New Roman" w:hAnsi="Times New Roman" w:eastAsia="方正小标宋_GBK" w:cs="Times New Roman"/>
          <w:sz w:val="52"/>
          <w:szCs w:val="52"/>
          <w:lang w:val="en-US" w:eastAsia="zh-CN"/>
        </w:rPr>
        <w:t xml:space="preserve">   </w:t>
      </w:r>
      <w:bookmarkStart w:id="6" w:name="_GoBack"/>
      <w:bookmarkEnd w:id="6"/>
      <w:r>
        <w:rPr>
          <w:rFonts w:hint="eastAsia" w:ascii="Times New Roman" w:hAnsi="Times New Roman" w:eastAsia="方正小标宋_GBK" w:cs="Times New Roman"/>
          <w:sz w:val="52"/>
          <w:szCs w:val="52"/>
        </w:rPr>
        <w:t>附件</w:t>
      </w:r>
    </w:p>
    <w:p>
      <w:pPr>
        <w:widowControl/>
        <w:jc w:val="center"/>
        <w:rPr>
          <w:rFonts w:hint="eastAsia" w:cs="黑体" w:asciiTheme="minorEastAsia" w:hAnsiTheme="minorEastAsia"/>
          <w:b/>
          <w:color w:val="000000"/>
          <w:kern w:val="0"/>
          <w:sz w:val="32"/>
          <w:szCs w:val="32"/>
        </w:rPr>
      </w:pPr>
    </w:p>
    <w:p>
      <w:pPr>
        <w:widowControl/>
        <w:jc w:val="center"/>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2025年度部门整体支出绩效评价报告</w:t>
      </w:r>
    </w:p>
    <w:p>
      <w:pPr>
        <w:ind w:firstLine="640" w:firstLineChars="200"/>
        <w:jc w:val="left"/>
        <w:rPr>
          <w:rFonts w:cs="黑体" w:asciiTheme="minorEastAsia" w:hAnsiTheme="minorEastAsia"/>
          <w:color w:val="000000"/>
          <w:kern w:val="0"/>
          <w:sz w:val="32"/>
          <w:szCs w:val="32"/>
        </w:rPr>
      </w:pPr>
    </w:p>
    <w:p>
      <w:pPr>
        <w:ind w:firstLine="640" w:firstLineChars="200"/>
        <w:jc w:val="left"/>
        <w:rPr>
          <w:rFonts w:cs="黑体" w:asciiTheme="minorEastAsia" w:hAnsiTheme="minorEastAsia"/>
          <w:color w:val="000000"/>
          <w:kern w:val="0"/>
          <w:sz w:val="32"/>
          <w:szCs w:val="32"/>
        </w:rPr>
      </w:pPr>
    </w:p>
    <w:sectPr>
      <w:pgSz w:w="11906" w:h="16838"/>
      <w:pgMar w:top="1417" w:right="1587" w:bottom="1417" w:left="158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华文中宋">
    <w:altName w:val="宋体"/>
    <w:panose1 w:val="00000000000000000000"/>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MDM0ZTY2M2MzOTgzMzg4MDJlMmEyZGNhMTdhOGIifQ=="/>
  </w:docVars>
  <w:rsids>
    <w:rsidRoot w:val="004506F9"/>
    <w:rsid w:val="0002229B"/>
    <w:rsid w:val="000273BD"/>
    <w:rsid w:val="000415B7"/>
    <w:rsid w:val="00041E3F"/>
    <w:rsid w:val="00055DAA"/>
    <w:rsid w:val="00061F7B"/>
    <w:rsid w:val="000658A3"/>
    <w:rsid w:val="00074155"/>
    <w:rsid w:val="000873EF"/>
    <w:rsid w:val="000932A9"/>
    <w:rsid w:val="000A3F69"/>
    <w:rsid w:val="00103957"/>
    <w:rsid w:val="00124A1F"/>
    <w:rsid w:val="00152C6D"/>
    <w:rsid w:val="00162D39"/>
    <w:rsid w:val="001678BD"/>
    <w:rsid w:val="001811F9"/>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2E37AC"/>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A2586"/>
    <w:rsid w:val="004A2D2E"/>
    <w:rsid w:val="004B0CEE"/>
    <w:rsid w:val="00500E5F"/>
    <w:rsid w:val="005122EF"/>
    <w:rsid w:val="005137A5"/>
    <w:rsid w:val="0051441A"/>
    <w:rsid w:val="00517C33"/>
    <w:rsid w:val="00517D5F"/>
    <w:rsid w:val="00521AF2"/>
    <w:rsid w:val="00523644"/>
    <w:rsid w:val="005349B8"/>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8B270C"/>
    <w:rsid w:val="008F188F"/>
    <w:rsid w:val="00902F64"/>
    <w:rsid w:val="009237C4"/>
    <w:rsid w:val="00944C48"/>
    <w:rsid w:val="00950252"/>
    <w:rsid w:val="00967F5D"/>
    <w:rsid w:val="009A0F95"/>
    <w:rsid w:val="009B3ADF"/>
    <w:rsid w:val="009C3B52"/>
    <w:rsid w:val="009E6817"/>
    <w:rsid w:val="009E6E9A"/>
    <w:rsid w:val="009F79A9"/>
    <w:rsid w:val="00A01D2B"/>
    <w:rsid w:val="00A42218"/>
    <w:rsid w:val="00A70249"/>
    <w:rsid w:val="00A70B02"/>
    <w:rsid w:val="00A71D9F"/>
    <w:rsid w:val="00A92E9F"/>
    <w:rsid w:val="00B24D8A"/>
    <w:rsid w:val="00B33BEA"/>
    <w:rsid w:val="00B57C9F"/>
    <w:rsid w:val="00B63572"/>
    <w:rsid w:val="00B845B3"/>
    <w:rsid w:val="00B85D8B"/>
    <w:rsid w:val="00BB4A40"/>
    <w:rsid w:val="00BD6C3E"/>
    <w:rsid w:val="00BE3674"/>
    <w:rsid w:val="00C10681"/>
    <w:rsid w:val="00C3049A"/>
    <w:rsid w:val="00C31B1E"/>
    <w:rsid w:val="00C77645"/>
    <w:rsid w:val="00CD1EF1"/>
    <w:rsid w:val="00CE04C3"/>
    <w:rsid w:val="00CE76A0"/>
    <w:rsid w:val="00D148C6"/>
    <w:rsid w:val="00D17A8A"/>
    <w:rsid w:val="00D23ACE"/>
    <w:rsid w:val="00D415BA"/>
    <w:rsid w:val="00D63780"/>
    <w:rsid w:val="00D644EE"/>
    <w:rsid w:val="00D75489"/>
    <w:rsid w:val="00D84516"/>
    <w:rsid w:val="00D84AEE"/>
    <w:rsid w:val="00DC5183"/>
    <w:rsid w:val="00DD06FF"/>
    <w:rsid w:val="00DD5FE9"/>
    <w:rsid w:val="00E00C7A"/>
    <w:rsid w:val="00E209CF"/>
    <w:rsid w:val="00E3787D"/>
    <w:rsid w:val="00E37D6C"/>
    <w:rsid w:val="00E55B68"/>
    <w:rsid w:val="00E67BE6"/>
    <w:rsid w:val="00E8683C"/>
    <w:rsid w:val="00EA2B72"/>
    <w:rsid w:val="00F74360"/>
    <w:rsid w:val="00F82488"/>
    <w:rsid w:val="00FA0A99"/>
    <w:rsid w:val="00FB462F"/>
    <w:rsid w:val="00FE16FA"/>
    <w:rsid w:val="00FE328A"/>
    <w:rsid w:val="00FE6269"/>
    <w:rsid w:val="00FF5CD6"/>
    <w:rsid w:val="018D6B96"/>
    <w:rsid w:val="02414205"/>
    <w:rsid w:val="02F01912"/>
    <w:rsid w:val="030A05D4"/>
    <w:rsid w:val="05486BAC"/>
    <w:rsid w:val="05703783"/>
    <w:rsid w:val="05A03392"/>
    <w:rsid w:val="09A2275D"/>
    <w:rsid w:val="0CD50699"/>
    <w:rsid w:val="0E6C6799"/>
    <w:rsid w:val="0F83240C"/>
    <w:rsid w:val="0FE27512"/>
    <w:rsid w:val="104C4D36"/>
    <w:rsid w:val="10F73F4D"/>
    <w:rsid w:val="11F1104F"/>
    <w:rsid w:val="135E345F"/>
    <w:rsid w:val="14F82F6F"/>
    <w:rsid w:val="15720785"/>
    <w:rsid w:val="1592216D"/>
    <w:rsid w:val="159A2A24"/>
    <w:rsid w:val="16473CF8"/>
    <w:rsid w:val="16834396"/>
    <w:rsid w:val="17D03743"/>
    <w:rsid w:val="17F376D9"/>
    <w:rsid w:val="18CD021B"/>
    <w:rsid w:val="1A520251"/>
    <w:rsid w:val="1BC248BA"/>
    <w:rsid w:val="1BD937BC"/>
    <w:rsid w:val="1C533032"/>
    <w:rsid w:val="1D503ACC"/>
    <w:rsid w:val="1D99667B"/>
    <w:rsid w:val="1E8F4FAF"/>
    <w:rsid w:val="1EAF7992"/>
    <w:rsid w:val="1ED325BF"/>
    <w:rsid w:val="20CC5B0E"/>
    <w:rsid w:val="221C27B9"/>
    <w:rsid w:val="223B7A07"/>
    <w:rsid w:val="27865F67"/>
    <w:rsid w:val="27C94452"/>
    <w:rsid w:val="27EC2D00"/>
    <w:rsid w:val="29625FAD"/>
    <w:rsid w:val="2A005E38"/>
    <w:rsid w:val="2B055C91"/>
    <w:rsid w:val="2B28732B"/>
    <w:rsid w:val="2C341347"/>
    <w:rsid w:val="2C853F11"/>
    <w:rsid w:val="2CBC2F6B"/>
    <w:rsid w:val="2D392923"/>
    <w:rsid w:val="2D8604D9"/>
    <w:rsid w:val="2E8822E7"/>
    <w:rsid w:val="2ED6549A"/>
    <w:rsid w:val="2EE12920"/>
    <w:rsid w:val="2FB14C9D"/>
    <w:rsid w:val="2FE654D9"/>
    <w:rsid w:val="30CC0162"/>
    <w:rsid w:val="31A90E35"/>
    <w:rsid w:val="33561385"/>
    <w:rsid w:val="347D25A2"/>
    <w:rsid w:val="353636A2"/>
    <w:rsid w:val="36501413"/>
    <w:rsid w:val="372907BF"/>
    <w:rsid w:val="3745195E"/>
    <w:rsid w:val="38F4757D"/>
    <w:rsid w:val="3A231F2E"/>
    <w:rsid w:val="3A2636DC"/>
    <w:rsid w:val="3BFA59F5"/>
    <w:rsid w:val="3C93043D"/>
    <w:rsid w:val="3D152858"/>
    <w:rsid w:val="3F301F5C"/>
    <w:rsid w:val="3FA336E6"/>
    <w:rsid w:val="42997C24"/>
    <w:rsid w:val="43292784"/>
    <w:rsid w:val="43792ACE"/>
    <w:rsid w:val="452F3837"/>
    <w:rsid w:val="459F0951"/>
    <w:rsid w:val="46C44271"/>
    <w:rsid w:val="47585FA5"/>
    <w:rsid w:val="478D780C"/>
    <w:rsid w:val="48CF7333"/>
    <w:rsid w:val="49535B70"/>
    <w:rsid w:val="4A5F6B69"/>
    <w:rsid w:val="4A8E2CDD"/>
    <w:rsid w:val="4C2C686D"/>
    <w:rsid w:val="51BD34F9"/>
    <w:rsid w:val="52B94123"/>
    <w:rsid w:val="53300DE6"/>
    <w:rsid w:val="54324CFF"/>
    <w:rsid w:val="54870940"/>
    <w:rsid w:val="54B24092"/>
    <w:rsid w:val="552716D9"/>
    <w:rsid w:val="552F6557"/>
    <w:rsid w:val="55376AE3"/>
    <w:rsid w:val="5543443C"/>
    <w:rsid w:val="55A20AAF"/>
    <w:rsid w:val="55B55BE8"/>
    <w:rsid w:val="55F14746"/>
    <w:rsid w:val="571B7CCD"/>
    <w:rsid w:val="57F81DBC"/>
    <w:rsid w:val="58910790"/>
    <w:rsid w:val="59E42D8A"/>
    <w:rsid w:val="5B7F38DD"/>
    <w:rsid w:val="5D9231A4"/>
    <w:rsid w:val="5DFD637E"/>
    <w:rsid w:val="5E0A2849"/>
    <w:rsid w:val="5EB16932"/>
    <w:rsid w:val="61875944"/>
    <w:rsid w:val="623D1284"/>
    <w:rsid w:val="62991EBA"/>
    <w:rsid w:val="62E27AAE"/>
    <w:rsid w:val="64096A90"/>
    <w:rsid w:val="64E5191A"/>
    <w:rsid w:val="652A1A3F"/>
    <w:rsid w:val="65A802BC"/>
    <w:rsid w:val="65EB3645"/>
    <w:rsid w:val="664571D6"/>
    <w:rsid w:val="666C4E98"/>
    <w:rsid w:val="6759039D"/>
    <w:rsid w:val="675B5AF4"/>
    <w:rsid w:val="67A60D21"/>
    <w:rsid w:val="694D4F50"/>
    <w:rsid w:val="6A507336"/>
    <w:rsid w:val="6AA40D85"/>
    <w:rsid w:val="6B707F05"/>
    <w:rsid w:val="6DE5215B"/>
    <w:rsid w:val="6E6C410D"/>
    <w:rsid w:val="6F3D09AC"/>
    <w:rsid w:val="6F991755"/>
    <w:rsid w:val="6F9B6ADD"/>
    <w:rsid w:val="70293112"/>
    <w:rsid w:val="702C73BF"/>
    <w:rsid w:val="703B482E"/>
    <w:rsid w:val="71246B35"/>
    <w:rsid w:val="72F40AF0"/>
    <w:rsid w:val="73342FD7"/>
    <w:rsid w:val="7487654A"/>
    <w:rsid w:val="753573B5"/>
    <w:rsid w:val="765326EA"/>
    <w:rsid w:val="77052D2A"/>
    <w:rsid w:val="794E1CDB"/>
    <w:rsid w:val="7A165705"/>
    <w:rsid w:val="7A225FF7"/>
    <w:rsid w:val="7BDD0A2D"/>
    <w:rsid w:val="7C6F6241"/>
    <w:rsid w:val="7D222E16"/>
    <w:rsid w:val="7DC91981"/>
    <w:rsid w:val="7DCA301C"/>
    <w:rsid w:val="7DF71773"/>
    <w:rsid w:val="7E7B6E1F"/>
    <w:rsid w:val="7E7D1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paragraph" w:customStyle="1" w:styleId="16">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28</Pages>
  <Words>1679</Words>
  <Characters>9575</Characters>
  <Lines>79</Lines>
  <Paragraphs>22</Paragraphs>
  <TotalTime>189</TotalTime>
  <ScaleCrop>false</ScaleCrop>
  <LinksUpToDate>false</LinksUpToDate>
  <CharactersWithSpaces>11232</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2026-03-23T01:50:00Z</dcterms:created>
  <dc:creator>李航 null</dc:creator>
  <cp:lastModifiedBy>蒋琼</cp:lastModifiedBy>
  <cp:lastPrinted>2023-09-08T11:01:00Z</cp:lastPrinted>
  <dcterms:modified xsi:type="dcterms:W3CDTF">2026-09-15T02:20:29Z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1353F94A8AAE4A1C96D543F70CAD570D_13</vt:lpwstr>
  </property>
  <property fmtid="{D5CDD505-2E9C-101B-9397-08002B2CF9AE}" pid="4" name="KSOTemplateDocerSaveRecord">
    <vt:lpwstr>eyJoZGlkIjoiYzYxN2RkYTBhNDA4MWUzNzRmMDdiN2FlZjRjZGVhMTQifQ==</vt:lpwstr>
  </property>
</Properties>
</file>