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4"/>
        <w:jc w:val="center"/>
        <w:rPr>
          <w:rFonts w:ascii="Times New Roman" w:hAnsi="Times New Roman" w:cs="Times New Roman"/>
          <w:sz w:val="56"/>
          <w:szCs w:val="56"/>
        </w:rPr>
      </w:pPr>
    </w:p>
    <w:p>
      <w:pPr>
        <w:pStyle w:val="14"/>
        <w:jc w:val="center"/>
        <w:rPr>
          <w:rFonts w:ascii="Times New Roman" w:hAnsi="Times New Roman" w:cs="Times New Roman"/>
          <w:sz w:val="56"/>
          <w:szCs w:val="56"/>
        </w:rPr>
      </w:pPr>
    </w:p>
    <w:p>
      <w:pPr>
        <w:pStyle w:val="14"/>
        <w:jc w:val="center"/>
        <w:rPr>
          <w:rFonts w:ascii="Times New Roman" w:hAnsi="Times New Roman" w:cs="Times New Roman"/>
          <w:sz w:val="56"/>
          <w:szCs w:val="56"/>
        </w:rPr>
      </w:pPr>
    </w:p>
    <w:p>
      <w:pPr>
        <w:pStyle w:val="14"/>
        <w:jc w:val="center"/>
        <w:rPr>
          <w:rFonts w:ascii="Times New Roman" w:hAnsi="Times New Roman" w:cs="Times New Roman"/>
          <w:sz w:val="56"/>
          <w:szCs w:val="56"/>
        </w:rPr>
      </w:pPr>
    </w:p>
    <w:p>
      <w:pPr>
        <w:pStyle w:val="14"/>
        <w:jc w:val="center"/>
        <w:rPr>
          <w:rFonts w:ascii="Times New Roman" w:hAnsi="Times New Roman" w:cs="Times New Roman"/>
          <w:sz w:val="84"/>
          <w:szCs w:val="84"/>
        </w:rPr>
      </w:pPr>
    </w:p>
    <w:p>
      <w:pPr>
        <w:pStyle w:val="14"/>
        <w:jc w:val="center"/>
        <w:rPr>
          <w:rFonts w:ascii="Times New Roman" w:hAnsi="Times New Roman" w:cs="Times New Roman"/>
          <w:sz w:val="84"/>
          <w:szCs w:val="84"/>
        </w:rPr>
      </w:pPr>
    </w:p>
    <w:p>
      <w:pPr>
        <w:pStyle w:val="14"/>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pPr>
        <w:pStyle w:val="14"/>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lang w:val="en-US" w:eastAsia="zh-CN"/>
        </w:rPr>
        <w:t>道县医疗保障局</w:t>
      </w:r>
      <w:r>
        <w:rPr>
          <w:rFonts w:ascii="Times New Roman" w:hAnsi="Times New Roman" w:eastAsia="方正小标宋简体" w:cs="Times New Roman"/>
          <w:sz w:val="72"/>
          <w:szCs w:val="72"/>
        </w:rPr>
        <w:t>部门决算</w:t>
      </w:r>
    </w:p>
    <w:p>
      <w:pPr>
        <w:pStyle w:val="14"/>
        <w:jc w:val="center"/>
        <w:rPr>
          <w:rFonts w:ascii="Times New Roman" w:hAnsi="Times New Roman" w:eastAsia="方正小标宋_GBK" w:cs="Times New Roman"/>
          <w:sz w:val="56"/>
          <w:szCs w:val="56"/>
        </w:rPr>
      </w:pPr>
    </w:p>
    <w:p>
      <w:pPr>
        <w:pStyle w:val="14"/>
        <w:jc w:val="center"/>
        <w:rPr>
          <w:rFonts w:ascii="Times New Roman" w:hAnsi="Times New Roman" w:cs="Times New Roman"/>
          <w:sz w:val="56"/>
          <w:szCs w:val="56"/>
        </w:rPr>
      </w:pPr>
    </w:p>
    <w:p>
      <w:pPr>
        <w:pStyle w:val="14"/>
        <w:rPr>
          <w:rFonts w:ascii="Times New Roman" w:hAnsi="Times New Roman" w:cs="Times New Roman"/>
          <w:sz w:val="56"/>
          <w:szCs w:val="56"/>
        </w:rPr>
      </w:pPr>
    </w:p>
    <w:p>
      <w:pPr>
        <w:pStyle w:val="14"/>
        <w:jc w:val="center"/>
        <w:rPr>
          <w:rFonts w:ascii="Times New Roman" w:hAnsi="Times New Roman" w:cs="Times New Roman"/>
          <w:sz w:val="32"/>
          <w:szCs w:val="32"/>
        </w:rPr>
      </w:pPr>
    </w:p>
    <w:p>
      <w:pPr>
        <w:pStyle w:val="14"/>
        <w:jc w:val="center"/>
        <w:rPr>
          <w:rFonts w:ascii="Times New Roman" w:hAnsi="Times New Roman" w:cs="Times New Roman"/>
          <w:sz w:val="32"/>
          <w:szCs w:val="32"/>
        </w:rPr>
      </w:pPr>
    </w:p>
    <w:p>
      <w:pPr>
        <w:pStyle w:val="14"/>
        <w:jc w:val="center"/>
        <w:rPr>
          <w:rFonts w:ascii="Times New Roman" w:hAnsi="Times New Roman" w:cs="Times New Roman"/>
          <w:sz w:val="32"/>
          <w:szCs w:val="32"/>
        </w:rPr>
      </w:pPr>
    </w:p>
    <w:p>
      <w:pPr>
        <w:pStyle w:val="14"/>
        <w:jc w:val="center"/>
        <w:rPr>
          <w:rFonts w:ascii="Times New Roman" w:hAnsi="Times New Roman" w:cs="Times New Roman"/>
          <w:sz w:val="32"/>
          <w:szCs w:val="32"/>
        </w:rPr>
      </w:pPr>
    </w:p>
    <w:p>
      <w:pPr>
        <w:rPr>
          <w:rFonts w:ascii="Times New Roman" w:hAnsi="Times New Roman" w:cs="Times New Roman"/>
          <w:b/>
          <w:sz w:val="36"/>
          <w:szCs w:val="28"/>
        </w:rPr>
        <w:sectPr>
          <w:pgSz w:w="11906" w:h="16838"/>
          <w:pgMar w:top="1417" w:right="1588" w:bottom="1417" w:left="1588" w:header="851" w:footer="992" w:gutter="0"/>
          <w:cols w:space="425" w:num="1"/>
          <w:docGrid w:type="lines" w:linePitch="312" w:charSpace="0"/>
        </w:sectPr>
      </w:pPr>
    </w:p>
    <w:p>
      <w:pPr>
        <w:pStyle w:val="14"/>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pPr>
        <w:pStyle w:val="14"/>
        <w:spacing w:line="600" w:lineRule="exact"/>
        <w:jc w:val="both"/>
        <w:rPr>
          <w:rFonts w:ascii="Times New Roman" w:hAnsi="Times New Roman" w:cs="Times New Roman"/>
          <w:b/>
          <w:sz w:val="36"/>
          <w:szCs w:val="28"/>
        </w:rPr>
      </w:pPr>
    </w:p>
    <w:p>
      <w:pPr>
        <w:pStyle w:val="14"/>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pPr>
        <w:pStyle w:val="14"/>
        <w:spacing w:line="600" w:lineRule="exact"/>
        <w:jc w:val="center"/>
        <w:rPr>
          <w:rFonts w:ascii="Times New Roman" w:hAnsi="Times New Roman" w:cs="Times New Roman"/>
          <w:b/>
          <w:sz w:val="36"/>
          <w:szCs w:val="28"/>
        </w:rPr>
      </w:pPr>
    </w:p>
    <w:p>
      <w:pPr>
        <w:pStyle w:val="14"/>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val="en-US" w:eastAsia="zh-CN"/>
        </w:rPr>
        <w:t>道县医疗保障局</w:t>
      </w:r>
      <w:r>
        <w:rPr>
          <w:rFonts w:ascii="Times New Roman" w:hAnsi="Times New Roman" w:cs="Times New Roman"/>
          <w:bCs/>
          <w:sz w:val="32"/>
          <w:szCs w:val="32"/>
        </w:rPr>
        <w:t>概况</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pPr>
        <w:pStyle w:val="14"/>
        <w:spacing w:line="600" w:lineRule="exact"/>
        <w:rPr>
          <w:rFonts w:ascii="Times New Roman" w:hAnsi="Times New Roman" w:cs="Times New Roman"/>
          <w:bCs/>
          <w:sz w:val="28"/>
          <w:szCs w:val="28"/>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pStyle w:val="8"/>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pPr>
        <w:rPr>
          <w:rFonts w:ascii="Times New Roman" w:hAnsi="Times New Roman" w:eastAsia="方正小标宋_GBK" w:cs="Times New Roman"/>
          <w:sz w:val="72"/>
          <w:szCs w:val="72"/>
        </w:rPr>
      </w:pPr>
    </w:p>
    <w:p>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pPr>
        <w:pStyle w:val="14"/>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val="en-US" w:eastAsia="zh-CN"/>
        </w:rPr>
        <w:t>道县医疗保障局</w:t>
      </w:r>
      <w:r>
        <w:rPr>
          <w:rFonts w:ascii="Times New Roman" w:hAnsi="Times New Roman" w:eastAsia="方正小标宋_GBK" w:cs="Times New Roman"/>
          <w:sz w:val="52"/>
          <w:szCs w:val="52"/>
        </w:rPr>
        <w:t>概况</w:t>
      </w:r>
    </w:p>
    <w:p>
      <w:pPr>
        <w:pStyle w:val="5"/>
        <w:ind w:left="0" w:leftChars="0" w:firstLine="0" w:firstLineChars="0"/>
        <w:rPr>
          <w:rFonts w:ascii="Times New Roman" w:hAnsi="Times New Roman" w:cs="Times New Roman"/>
        </w:rPr>
      </w:pPr>
    </w:p>
    <w:p>
      <w:pPr>
        <w:pStyle w:val="15"/>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pPr>
        <w:pStyle w:val="15"/>
        <w:numPr>
          <w:ilvl w:val="0"/>
          <w:numId w:val="0"/>
        </w:numPr>
        <w:ind w:firstLine="640" w:firstLineChars="200"/>
        <w:jc w:val="left"/>
        <w:rPr>
          <w:rFonts w:hint="eastAsia" w:ascii="Times New Roman" w:hAnsi="Times New Roman" w:eastAsia="仿宋_GB2312" w:cs="Times New Roman"/>
          <w:bCs/>
          <w:kern w:val="0"/>
          <w:sz w:val="32"/>
          <w:szCs w:val="32"/>
          <w:lang w:val="en-US" w:eastAsia="zh-CN" w:bidi="ar-SA"/>
        </w:rPr>
      </w:pPr>
      <w:r>
        <w:rPr>
          <w:rFonts w:hint="eastAsia" w:ascii="Times New Roman" w:hAnsi="Times New Roman" w:eastAsia="仿宋_GB2312" w:cs="Times New Roman"/>
          <w:bCs/>
          <w:kern w:val="0"/>
          <w:sz w:val="32"/>
          <w:szCs w:val="32"/>
          <w:lang w:val="en-US" w:eastAsia="zh-CN" w:bidi="ar-SA"/>
        </w:rPr>
        <w:t>（一）拟定全县医疗保险、生育保险、医疗救助等医疗保障制度的政策、规划和标准，并组织实施。</w:t>
      </w:r>
    </w:p>
    <w:p>
      <w:pPr>
        <w:widowControl/>
        <w:spacing w:line="600" w:lineRule="exact"/>
        <w:ind w:firstLine="640" w:firstLineChars="200"/>
        <w:rPr>
          <w:rFonts w:hint="eastAsia" w:ascii="Times New Roman" w:hAnsi="Times New Roman" w:eastAsia="仿宋_GB2312" w:cs="Times New Roman"/>
          <w:bCs/>
          <w:kern w:val="0"/>
          <w:sz w:val="32"/>
          <w:szCs w:val="32"/>
          <w:lang w:val="en-US" w:eastAsia="zh-CN" w:bidi="ar-SA"/>
        </w:rPr>
      </w:pPr>
      <w:r>
        <w:rPr>
          <w:rFonts w:hint="eastAsia" w:ascii="Times New Roman" w:hAnsi="Times New Roman" w:eastAsia="仿宋_GB2312" w:cs="Times New Roman"/>
          <w:bCs/>
          <w:kern w:val="0"/>
          <w:sz w:val="32"/>
          <w:szCs w:val="32"/>
          <w:lang w:val="en-US" w:eastAsia="zh-CN" w:bidi="ar-SA"/>
        </w:rPr>
        <w:t>（二）组织制定并实施全县医疗保障基金监督管理办法，监督管理相关医疗保障基金。建立健全医疗保障基金安全防控机制，推进医疗保障基金支付方式改革。</w:t>
      </w:r>
    </w:p>
    <w:p>
      <w:pPr>
        <w:widowControl/>
        <w:spacing w:line="600" w:lineRule="exact"/>
        <w:ind w:firstLine="640" w:firstLineChars="200"/>
        <w:rPr>
          <w:rFonts w:hint="eastAsia" w:ascii="Times New Roman" w:hAnsi="Times New Roman" w:eastAsia="仿宋_GB2312" w:cs="Times New Roman"/>
          <w:bCs/>
          <w:kern w:val="0"/>
          <w:sz w:val="32"/>
          <w:szCs w:val="32"/>
          <w:lang w:val="en-US" w:eastAsia="zh-CN" w:bidi="ar-SA"/>
        </w:rPr>
      </w:pPr>
      <w:r>
        <w:rPr>
          <w:rFonts w:hint="eastAsia" w:ascii="Times New Roman" w:hAnsi="Times New Roman" w:eastAsia="仿宋_GB2312" w:cs="Times New Roman"/>
          <w:bCs/>
          <w:kern w:val="0"/>
          <w:sz w:val="32"/>
          <w:szCs w:val="32"/>
          <w:lang w:val="en-US" w:eastAsia="zh-CN" w:bidi="ar-SA"/>
        </w:rPr>
        <w:t>（三）组织制定全县医疗保障筹资和待遇政策，组织制定全县城乡居民大病保险政策，完善动态调整和区域内调剂平衡机制，统筹城乡医疗保障待遇标准，建立健全与筹资水平相适应的待遇调整机制。负责管理全县医疗救助资金的使用。组织拟定并实施长期护理保险制度改革方案。</w:t>
      </w:r>
    </w:p>
    <w:p>
      <w:pPr>
        <w:widowControl/>
        <w:spacing w:line="600" w:lineRule="exact"/>
        <w:ind w:firstLine="640" w:firstLineChars="200"/>
        <w:rPr>
          <w:rFonts w:hint="eastAsia" w:ascii="Times New Roman" w:hAnsi="Times New Roman" w:eastAsia="仿宋_GB2312" w:cs="Times New Roman"/>
          <w:bCs/>
          <w:kern w:val="0"/>
          <w:sz w:val="32"/>
          <w:szCs w:val="32"/>
          <w:lang w:val="en-US" w:eastAsia="zh-CN" w:bidi="ar-SA"/>
        </w:rPr>
      </w:pPr>
      <w:r>
        <w:rPr>
          <w:rFonts w:hint="eastAsia" w:ascii="Times New Roman" w:hAnsi="Times New Roman" w:eastAsia="仿宋_GB2312" w:cs="Times New Roman"/>
          <w:bCs/>
          <w:kern w:val="0"/>
          <w:sz w:val="32"/>
          <w:szCs w:val="32"/>
          <w:lang w:val="en-US" w:eastAsia="zh-CN" w:bidi="ar-SA"/>
        </w:rPr>
        <w:t>（四）贯彻落实国家、湖南省制定的药品、医用耗材、医疗服务项目、医疗服务设施等医保目录、支付标准。贯彻执行医保目录准入谈判规则。</w:t>
      </w:r>
    </w:p>
    <w:p>
      <w:pPr>
        <w:widowControl/>
        <w:spacing w:line="600" w:lineRule="exact"/>
        <w:ind w:firstLine="640" w:firstLineChars="200"/>
        <w:rPr>
          <w:rFonts w:hint="eastAsia" w:ascii="Times New Roman" w:hAnsi="Times New Roman" w:eastAsia="仿宋_GB2312" w:cs="Times New Roman"/>
          <w:bCs/>
          <w:kern w:val="0"/>
          <w:sz w:val="32"/>
          <w:szCs w:val="32"/>
          <w:lang w:val="en-US" w:eastAsia="zh-CN" w:bidi="ar-SA"/>
        </w:rPr>
      </w:pPr>
      <w:r>
        <w:rPr>
          <w:rFonts w:hint="eastAsia" w:ascii="Times New Roman" w:hAnsi="Times New Roman" w:eastAsia="仿宋_GB2312" w:cs="Times New Roman"/>
          <w:bCs/>
          <w:kern w:val="0"/>
          <w:sz w:val="32"/>
          <w:szCs w:val="32"/>
          <w:lang w:val="en-US" w:eastAsia="zh-CN" w:bidi="ar-SA"/>
        </w:rPr>
        <w:t>（五）组织制定全县药品、医用耗材价格和医疗服务项目、医疗服务设施收费等政策，建立医保支付医药服务价格合理确定和动态调整机制，推动建立市场主导的社会医药服务体格形成机制，建立价格信息监测和信息发布制度。</w:t>
      </w:r>
    </w:p>
    <w:p>
      <w:pPr>
        <w:widowControl/>
        <w:spacing w:line="600" w:lineRule="exact"/>
        <w:ind w:firstLine="640" w:firstLineChars="200"/>
        <w:rPr>
          <w:rFonts w:hint="eastAsia" w:ascii="Times New Roman" w:hAnsi="Times New Roman" w:eastAsia="仿宋_GB2312" w:cs="Times New Roman"/>
          <w:bCs/>
          <w:kern w:val="0"/>
          <w:sz w:val="32"/>
          <w:szCs w:val="32"/>
          <w:lang w:val="en-US" w:eastAsia="zh-CN" w:bidi="ar-SA"/>
        </w:rPr>
      </w:pPr>
      <w:r>
        <w:rPr>
          <w:rFonts w:hint="eastAsia" w:ascii="Times New Roman" w:hAnsi="Times New Roman" w:eastAsia="仿宋_GB2312" w:cs="Times New Roman"/>
          <w:bCs/>
          <w:kern w:val="0"/>
          <w:sz w:val="32"/>
          <w:szCs w:val="32"/>
          <w:lang w:val="en-US" w:eastAsia="zh-CN" w:bidi="ar-SA"/>
        </w:rPr>
        <w:t>（六）根据国家、省、市药品、医用耗材的招标采购政策，监督实施全县药品、医用耗材招标采购工作。</w:t>
      </w:r>
    </w:p>
    <w:p>
      <w:pPr>
        <w:widowControl/>
        <w:spacing w:line="600" w:lineRule="exact"/>
        <w:ind w:firstLine="640" w:firstLineChars="200"/>
        <w:rPr>
          <w:rFonts w:hint="eastAsia" w:ascii="Times New Roman" w:hAnsi="Times New Roman" w:eastAsia="仿宋_GB2312" w:cs="Times New Roman"/>
          <w:bCs/>
          <w:kern w:val="0"/>
          <w:sz w:val="32"/>
          <w:szCs w:val="32"/>
          <w:lang w:val="en-US" w:eastAsia="zh-CN" w:bidi="ar-SA"/>
        </w:rPr>
      </w:pPr>
      <w:r>
        <w:rPr>
          <w:rFonts w:hint="eastAsia" w:ascii="Times New Roman" w:hAnsi="Times New Roman" w:eastAsia="仿宋_GB2312" w:cs="Times New Roman"/>
          <w:bCs/>
          <w:kern w:val="0"/>
          <w:sz w:val="32"/>
          <w:szCs w:val="32"/>
          <w:lang w:val="en-US" w:eastAsia="zh-CN" w:bidi="ar-SA"/>
        </w:rPr>
        <w:t>（七）制定全县定点医药机构协议和支付管理办法并组织实施，建立健全医疗保障信用评价体系和信息披露制度，监督管理纳入医保范围内的医疗服务行为和医疗费用，依法查处医疗保障领域违法违规行为。</w:t>
      </w:r>
    </w:p>
    <w:p>
      <w:pPr>
        <w:widowControl/>
        <w:spacing w:line="600" w:lineRule="exact"/>
        <w:ind w:firstLine="640" w:firstLineChars="200"/>
        <w:rPr>
          <w:rFonts w:hint="eastAsia" w:ascii="Times New Roman" w:hAnsi="Times New Roman" w:eastAsia="仿宋_GB2312" w:cs="Times New Roman"/>
          <w:bCs/>
          <w:kern w:val="0"/>
          <w:sz w:val="32"/>
          <w:szCs w:val="32"/>
          <w:lang w:val="en-US" w:eastAsia="zh-CN" w:bidi="ar-SA"/>
        </w:rPr>
      </w:pPr>
      <w:r>
        <w:rPr>
          <w:rFonts w:hint="eastAsia" w:ascii="Times New Roman" w:hAnsi="Times New Roman" w:eastAsia="仿宋_GB2312" w:cs="Times New Roman"/>
          <w:bCs/>
          <w:kern w:val="0"/>
          <w:sz w:val="32"/>
          <w:szCs w:val="32"/>
          <w:lang w:val="en-US" w:eastAsia="zh-CN" w:bidi="ar-SA"/>
        </w:rPr>
        <w:t>（八）负责全县医疗保障经办管理、公共服务体系和信息化建设。指导、监督全县医疗保险、生育保险、大病保险、医疗救助等医疗保障经办业务工作。负责医疗保障行政审批事项。组织制定和完善异地就医管理和费用结算政策。建立健全医疗保障关系转移接续制度。开展医疗保障领域合作交流。</w:t>
      </w:r>
    </w:p>
    <w:p>
      <w:pPr>
        <w:widowControl/>
        <w:spacing w:line="600" w:lineRule="exact"/>
        <w:ind w:firstLine="640" w:firstLineChars="200"/>
        <w:rPr>
          <w:rFonts w:hint="eastAsia" w:ascii="Times New Roman" w:hAnsi="Times New Roman" w:eastAsia="仿宋_GB2312" w:cs="Times New Roman"/>
          <w:bCs/>
          <w:kern w:val="0"/>
          <w:sz w:val="32"/>
          <w:szCs w:val="32"/>
          <w:lang w:val="en-US" w:eastAsia="zh-CN" w:bidi="ar-SA"/>
        </w:rPr>
      </w:pPr>
      <w:r>
        <w:rPr>
          <w:rFonts w:hint="eastAsia" w:ascii="Times New Roman" w:hAnsi="Times New Roman" w:eastAsia="仿宋_GB2312" w:cs="Times New Roman"/>
          <w:bCs/>
          <w:kern w:val="0"/>
          <w:sz w:val="32"/>
          <w:szCs w:val="32"/>
          <w:lang w:val="en-US" w:eastAsia="zh-CN" w:bidi="ar-SA"/>
        </w:rPr>
        <w:t>（九）完成县委、县政府交办的其他工作。</w:t>
      </w:r>
    </w:p>
    <w:p>
      <w:pPr>
        <w:widowControl/>
        <w:spacing w:line="600" w:lineRule="exact"/>
        <w:ind w:firstLine="640" w:firstLineChars="200"/>
        <w:rPr>
          <w:rFonts w:hint="eastAsia" w:ascii="Times New Roman" w:hAnsi="Times New Roman" w:eastAsia="仿宋_GB2312" w:cs="Times New Roman"/>
          <w:bCs/>
          <w:kern w:val="0"/>
          <w:sz w:val="32"/>
          <w:szCs w:val="32"/>
          <w:lang w:val="en-US" w:eastAsia="zh-CN" w:bidi="ar-SA"/>
        </w:rPr>
      </w:pPr>
      <w:r>
        <w:rPr>
          <w:rFonts w:hint="eastAsia" w:ascii="Times New Roman" w:hAnsi="Times New Roman" w:eastAsia="仿宋_GB2312" w:cs="Times New Roman"/>
          <w:bCs/>
          <w:kern w:val="0"/>
          <w:sz w:val="32"/>
          <w:szCs w:val="32"/>
          <w:lang w:val="en-US" w:eastAsia="zh-CN" w:bidi="ar-SA"/>
        </w:rPr>
        <w:t>（十）职能转变。县医保局应完善统一的城乡居民基本医疗保险制度和大病保险制度，巩固完善城乡居民医疗救助制度，建立健全覆盖全民、城乡统筹的多层次医疗保障体系，不断提高医疗保障水平，确保医保资金合理使用、安全可控，推进医疗、医保、医药“三医联动”改革，更好保障人民群众就医需求、减轻医药费用负担。</w:t>
      </w:r>
    </w:p>
    <w:p>
      <w:pPr>
        <w:widowControl/>
        <w:spacing w:line="600" w:lineRule="exact"/>
        <w:ind w:firstLine="640" w:firstLineChars="200"/>
        <w:rPr>
          <w:rFonts w:hint="eastAsia" w:ascii="Times New Roman" w:hAnsi="Times New Roman" w:eastAsia="仿宋_GB2312" w:cs="Times New Roman"/>
          <w:bCs/>
          <w:kern w:val="0"/>
          <w:sz w:val="32"/>
          <w:szCs w:val="32"/>
          <w:lang w:val="en-US" w:eastAsia="zh-CN" w:bidi="ar-SA"/>
        </w:rPr>
      </w:pPr>
      <w:r>
        <w:rPr>
          <w:rFonts w:hint="eastAsia" w:ascii="Times New Roman" w:hAnsi="Times New Roman" w:eastAsia="仿宋_GB2312" w:cs="Times New Roman"/>
          <w:bCs/>
          <w:kern w:val="0"/>
          <w:sz w:val="32"/>
          <w:szCs w:val="32"/>
          <w:lang w:val="en-US" w:eastAsia="zh-CN" w:bidi="ar-SA"/>
        </w:rPr>
        <w:t>（十一）与县卫生健康局的有关职责分工。县卫生健康局、县医保局等部门在医疗、医保、医药等方面加强制度、政策衔接，建立沟通协商机制，协同推进改革，提高医疗资源使用效率和医疗保障水平。</w:t>
      </w:r>
    </w:p>
    <w:p>
      <w:pPr>
        <w:widowControl/>
        <w:spacing w:line="600" w:lineRule="exact"/>
        <w:ind w:firstLine="640" w:firstLineChars="200"/>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pPr>
        <w:widowControl/>
        <w:spacing w:line="600" w:lineRule="exact"/>
        <w:ind w:firstLine="640" w:firstLineChars="200"/>
        <w:rPr>
          <w:rFonts w:hint="eastAsia" w:ascii="Times New Roman" w:hAnsi="Times New Roman" w:eastAsia="仿宋_GB2312" w:cs="仿宋_GB2312"/>
          <w:bCs/>
          <w:kern w:val="0"/>
          <w:sz w:val="32"/>
          <w:szCs w:val="32"/>
          <w:lang w:val="en-US" w:eastAsia="zh-CN"/>
        </w:rPr>
      </w:pPr>
      <w:r>
        <w:rPr>
          <w:rFonts w:ascii="Times New Roman" w:hAnsi="Times New Roman" w:eastAsia="仿宋_GB2312" w:cs="Times New Roman"/>
          <w:bCs/>
          <w:kern w:val="0"/>
          <w:sz w:val="32"/>
          <w:szCs w:val="32"/>
        </w:rPr>
        <w:t>（一）内设机构设置。</w:t>
      </w:r>
      <w:r>
        <w:rPr>
          <w:rFonts w:hint="eastAsia" w:ascii="Times New Roman" w:hAnsi="Times New Roman" w:eastAsia="仿宋_GB2312" w:cs="仿宋_GB2312"/>
          <w:bCs/>
          <w:kern w:val="0"/>
          <w:sz w:val="32"/>
          <w:szCs w:val="32"/>
          <w:lang w:val="en-US" w:eastAsia="zh-CN"/>
        </w:rPr>
        <w:t>道县医疗保障局</w:t>
      </w:r>
      <w:r>
        <w:rPr>
          <w:rFonts w:hint="eastAsia" w:ascii="Times New Roman" w:hAnsi="Times New Roman" w:eastAsia="仿宋_GB2312" w:cs="仿宋_GB2312"/>
          <w:bCs/>
          <w:kern w:val="0"/>
          <w:sz w:val="32"/>
          <w:szCs w:val="32"/>
        </w:rPr>
        <w:t>内设机构包括：</w:t>
      </w:r>
      <w:r>
        <w:rPr>
          <w:rFonts w:hint="eastAsia" w:ascii="Times New Roman" w:hAnsi="Times New Roman" w:eastAsia="仿宋_GB2312" w:cs="仿宋_GB2312"/>
          <w:bCs/>
          <w:kern w:val="0"/>
          <w:sz w:val="32"/>
          <w:szCs w:val="32"/>
          <w:lang w:val="en-US" w:eastAsia="zh-CN"/>
        </w:rPr>
        <w:t>办公室、规划财务和法规股、待遇保障股、医药服务管理股、基金监管股共五个股室。</w:t>
      </w:r>
    </w:p>
    <w:p>
      <w:pPr>
        <w:widowControl/>
        <w:spacing w:line="600" w:lineRule="exact"/>
        <w:ind w:firstLine="640" w:firstLineChars="200"/>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（二）决算单位构成。</w:t>
      </w:r>
      <w:r>
        <w:rPr>
          <w:rFonts w:hint="eastAsia" w:ascii="Times New Roman" w:hAnsi="Times New Roman" w:eastAsia="仿宋_GB2312" w:cs="仿宋_GB2312"/>
          <w:bCs/>
          <w:kern w:val="0"/>
          <w:sz w:val="32"/>
          <w:szCs w:val="32"/>
          <w:lang w:val="en-US" w:eastAsia="zh-CN"/>
        </w:rPr>
        <w:t>道县医疗保障局</w:t>
      </w:r>
      <w:r>
        <w:rPr>
          <w:rFonts w:ascii="Times New Roman" w:hAnsi="Times New Roman" w:eastAsia="仿宋_GB2312" w:cs="Times New Roman"/>
          <w:bCs/>
          <w:kern w:val="0"/>
          <w:sz w:val="32"/>
          <w:szCs w:val="32"/>
        </w:rPr>
        <w:t>202</w:t>
      </w:r>
      <w:r>
        <w:rPr>
          <w:rFonts w:hint="eastAsia" w:ascii="Times New Roman" w:hAnsi="Times New Roman" w:eastAsia="仿宋_GB2312" w:cs="Times New Roman"/>
          <w:bCs/>
          <w:kern w:val="0"/>
          <w:sz w:val="32"/>
          <w:szCs w:val="32"/>
          <w:lang w:val="en-US" w:eastAsia="zh-CN"/>
        </w:rPr>
        <w:t>5</w:t>
      </w:r>
      <w:r>
        <w:rPr>
          <w:rFonts w:ascii="Times New Roman" w:hAnsi="Times New Roman" w:eastAsia="仿宋_GB2312" w:cs="Times New Roman"/>
          <w:bCs/>
          <w:kern w:val="0"/>
          <w:sz w:val="32"/>
          <w:szCs w:val="32"/>
        </w:rPr>
        <w:t>年部门决算汇总公开单位构成包括：</w:t>
      </w:r>
      <w:r>
        <w:rPr>
          <w:rFonts w:hint="eastAsia" w:ascii="Times New Roman" w:hAnsi="Times New Roman" w:eastAsia="仿宋_GB2312" w:cs="仿宋_GB2312"/>
          <w:bCs/>
          <w:kern w:val="0"/>
          <w:sz w:val="32"/>
          <w:szCs w:val="32"/>
          <w:lang w:val="en-US" w:eastAsia="zh-CN"/>
        </w:rPr>
        <w:t>道县医疗保障局</w:t>
      </w:r>
      <w:r>
        <w:rPr>
          <w:rFonts w:hint="eastAsia" w:ascii="Times New Roman" w:hAnsi="Times New Roman" w:eastAsia="仿宋_GB2312" w:cs="仿宋_GB2312"/>
          <w:bCs/>
          <w:kern w:val="0"/>
          <w:sz w:val="32"/>
          <w:szCs w:val="32"/>
        </w:rPr>
        <w:t>本级</w:t>
      </w:r>
      <w:r>
        <w:rPr>
          <w:rFonts w:hint="eastAsia" w:ascii="Times New Roman" w:hAnsi="Times New Roman" w:eastAsia="仿宋_GB2312" w:cs="仿宋_GB2312"/>
          <w:bCs/>
          <w:kern w:val="0"/>
          <w:sz w:val="32"/>
          <w:szCs w:val="32"/>
          <w:lang w:eastAsia="zh-CN"/>
        </w:rPr>
        <w:t>。</w:t>
      </w:r>
    </w:p>
    <w:p>
      <w:pPr>
        <w:jc w:val="left"/>
        <w:rPr>
          <w:rFonts w:ascii="Times New Roman" w:hAnsi="Times New Roman" w:eastAsia="仿宋_GB2312" w:cs="Times New Roman"/>
          <w:sz w:val="28"/>
          <w:szCs w:val="32"/>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pStyle w:val="8"/>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pPr>
        <w:pStyle w:val="14"/>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val="en-US" w:eastAsia="zh-CN" w:bidi="ar"/>
        </w:rPr>
        <w:t>道县医疗保障局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10"/>
        <w:tblW w:w="14896" w:type="dxa"/>
        <w:jc w:val="center"/>
        <w:tblLayout w:type="fixed"/>
        <w:tblCellMar>
          <w:top w:w="0" w:type="dxa"/>
          <w:left w:w="108" w:type="dxa"/>
          <w:bottom w:w="0" w:type="dxa"/>
          <w:right w:w="108" w:type="dxa"/>
        </w:tblCellMar>
      </w:tblPr>
      <w:tblGrid>
        <w:gridCol w:w="5259"/>
        <w:gridCol w:w="912"/>
        <w:gridCol w:w="1476"/>
        <w:gridCol w:w="5191"/>
        <w:gridCol w:w="817"/>
        <w:gridCol w:w="1241"/>
      </w:tblGrid>
      <w:tr>
        <w:tblPrEx>
          <w:tblCellMar>
            <w:top w:w="0" w:type="dxa"/>
            <w:left w:w="108" w:type="dxa"/>
            <w:bottom w:w="0" w:type="dxa"/>
            <w:right w:w="108" w:type="dxa"/>
          </w:tblCellMar>
        </w:tblPrEx>
        <w:trPr>
          <w:trHeight w:val="340" w:hRule="exact"/>
          <w:jc w:val="center"/>
        </w:trPr>
        <w:tc>
          <w:tcPr>
            <w:tcW w:w="7647"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7249"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tblPrEx>
          <w:tblCellMar>
            <w:top w:w="0" w:type="dxa"/>
            <w:left w:w="108" w:type="dxa"/>
            <w:bottom w:w="0" w:type="dxa"/>
            <w:right w:w="108" w:type="dxa"/>
          </w:tblCellMar>
        </w:tblPrEx>
        <w:trPr>
          <w:trHeight w:val="340" w:hRule="exact"/>
          <w:jc w:val="center"/>
        </w:trPr>
        <w:tc>
          <w:tcPr>
            <w:tcW w:w="525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9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14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519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8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tblPrEx>
          <w:tblCellMar>
            <w:top w:w="0" w:type="dxa"/>
            <w:left w:w="108" w:type="dxa"/>
            <w:bottom w:w="0" w:type="dxa"/>
            <w:right w:w="108" w:type="dxa"/>
          </w:tblCellMar>
        </w:tblPrEx>
        <w:trPr>
          <w:trHeight w:val="340" w:hRule="exact"/>
          <w:jc w:val="center"/>
        </w:trPr>
        <w:tc>
          <w:tcPr>
            <w:tcW w:w="525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9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Times New Roman" w:hAnsi="Times New Roman" w:eastAsia="仿宋_GB2312" w:cs="Times New Roman"/>
                <w:color w:val="000000"/>
                <w:sz w:val="24"/>
                <w:szCs w:val="24"/>
              </w:rPr>
            </w:pPr>
          </w:p>
        </w:tc>
        <w:tc>
          <w:tcPr>
            <w:tcW w:w="14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519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8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Times New Roman" w:hAnsi="Times New Roman" w:eastAsia="仿宋_GB2312" w:cs="Times New Roman"/>
                <w:color w:val="000000"/>
                <w:sz w:val="24"/>
                <w:szCs w:val="24"/>
              </w:rPr>
            </w:pP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tblPrEx>
          <w:tblCellMar>
            <w:top w:w="0" w:type="dxa"/>
            <w:left w:w="108" w:type="dxa"/>
            <w:bottom w:w="0" w:type="dxa"/>
            <w:right w:w="108" w:type="dxa"/>
          </w:tblCellMar>
        </w:tblPrEx>
        <w:trPr>
          <w:trHeight w:val="340" w:hRule="exact"/>
          <w:jc w:val="center"/>
        </w:trPr>
        <w:tc>
          <w:tcPr>
            <w:tcW w:w="5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9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1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Times New Roman" w:hAnsi="Times New Roman" w:eastAsia="仿宋_GB2312" w:cs="Times New Roman"/>
                <w:color w:val="000000"/>
                <w:sz w:val="22"/>
                <w:lang w:eastAsia="zh-CN"/>
              </w:rPr>
            </w:pPr>
            <w:r>
              <w:rPr>
                <w:rFonts w:hint="eastAsia" w:ascii="Times New Roman" w:hAnsi="Times New Roman" w:eastAsia="仿宋_GB2312" w:cs="Times New Roman"/>
                <w:color w:val="000000"/>
                <w:sz w:val="22"/>
                <w:lang w:val="en-US" w:eastAsia="zh-CN"/>
              </w:rPr>
              <w:t>1370.79</w:t>
            </w:r>
          </w:p>
        </w:tc>
        <w:tc>
          <w:tcPr>
            <w:tcW w:w="519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8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14</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525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9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1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519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8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15</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5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9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1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519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8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16</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525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9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1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519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四、公共安全支出</w:t>
            </w:r>
          </w:p>
        </w:tc>
        <w:tc>
          <w:tcPr>
            <w:tcW w:w="8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17</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525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9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1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519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五、教育支出</w:t>
            </w:r>
          </w:p>
        </w:tc>
        <w:tc>
          <w:tcPr>
            <w:tcW w:w="8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18</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 xml:space="preserve">    4.95</w:t>
            </w:r>
          </w:p>
        </w:tc>
      </w:tr>
      <w:tr>
        <w:tblPrEx>
          <w:tblCellMar>
            <w:top w:w="0" w:type="dxa"/>
            <w:left w:w="108" w:type="dxa"/>
            <w:bottom w:w="0" w:type="dxa"/>
            <w:right w:w="108" w:type="dxa"/>
          </w:tblCellMar>
        </w:tblPrEx>
        <w:trPr>
          <w:trHeight w:val="340" w:hRule="exact"/>
          <w:jc w:val="center"/>
        </w:trPr>
        <w:tc>
          <w:tcPr>
            <w:tcW w:w="525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9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1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519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六、科学技术支出</w:t>
            </w:r>
          </w:p>
        </w:tc>
        <w:tc>
          <w:tcPr>
            <w:tcW w:w="8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19</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525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9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1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5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kern w:val="0"/>
                <w:sz w:val="24"/>
                <w:szCs w:val="24"/>
                <w:lang w:bidi="ar"/>
              </w:rPr>
              <w:t>八、社会保障和就业支出</w:t>
            </w:r>
          </w:p>
        </w:tc>
        <w:tc>
          <w:tcPr>
            <w:tcW w:w="8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20</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 xml:space="preserve">    50.99</w:t>
            </w:r>
          </w:p>
        </w:tc>
      </w:tr>
      <w:tr>
        <w:tblPrEx>
          <w:tblCellMar>
            <w:top w:w="0" w:type="dxa"/>
            <w:left w:w="108" w:type="dxa"/>
            <w:bottom w:w="0" w:type="dxa"/>
            <w:right w:w="108" w:type="dxa"/>
          </w:tblCellMar>
        </w:tblPrEx>
        <w:trPr>
          <w:trHeight w:val="340" w:hRule="exact"/>
          <w:jc w:val="center"/>
        </w:trPr>
        <w:tc>
          <w:tcPr>
            <w:tcW w:w="525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9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1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ascii="Times New Roman" w:hAnsi="Times New Roman" w:eastAsia="仿宋_GB2312" w:cs="Times New Roman"/>
                <w:color w:val="000000"/>
                <w:sz w:val="22"/>
              </w:rPr>
            </w:pPr>
          </w:p>
        </w:tc>
        <w:tc>
          <w:tcPr>
            <w:tcW w:w="5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九、卫生健康支出</w:t>
            </w:r>
          </w:p>
        </w:tc>
        <w:tc>
          <w:tcPr>
            <w:tcW w:w="8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21</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 xml:space="preserve">  1314.85</w:t>
            </w:r>
          </w:p>
        </w:tc>
      </w:tr>
      <w:tr>
        <w:tblPrEx>
          <w:tblCellMar>
            <w:top w:w="0" w:type="dxa"/>
            <w:left w:w="108" w:type="dxa"/>
            <w:bottom w:w="0" w:type="dxa"/>
            <w:right w:w="108" w:type="dxa"/>
          </w:tblCellMar>
        </w:tblPrEx>
        <w:trPr>
          <w:trHeight w:val="340" w:hRule="exact"/>
          <w:jc w:val="center"/>
        </w:trPr>
        <w:tc>
          <w:tcPr>
            <w:tcW w:w="5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9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1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5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8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22</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b/>
                <w:color w:val="000000"/>
                <w:sz w:val="22"/>
              </w:rPr>
            </w:pPr>
          </w:p>
        </w:tc>
      </w:tr>
      <w:tr>
        <w:tblPrEx>
          <w:tblCellMar>
            <w:top w:w="0" w:type="dxa"/>
            <w:left w:w="108" w:type="dxa"/>
            <w:bottom w:w="0" w:type="dxa"/>
            <w:right w:w="108" w:type="dxa"/>
          </w:tblCellMar>
        </w:tblPrEx>
        <w:trPr>
          <w:trHeight w:val="340" w:hRule="exact"/>
          <w:jc w:val="center"/>
        </w:trPr>
        <w:tc>
          <w:tcPr>
            <w:tcW w:w="5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9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1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1370.79</w:t>
            </w:r>
          </w:p>
        </w:tc>
        <w:tc>
          <w:tcPr>
            <w:tcW w:w="5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8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23</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firstLine="220" w:firstLineChars="100"/>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1370.79</w:t>
            </w:r>
          </w:p>
        </w:tc>
      </w:tr>
      <w:tr>
        <w:tblPrEx>
          <w:tblCellMar>
            <w:top w:w="0" w:type="dxa"/>
            <w:left w:w="108" w:type="dxa"/>
            <w:bottom w:w="0" w:type="dxa"/>
            <w:right w:w="108" w:type="dxa"/>
          </w:tblCellMar>
        </w:tblPrEx>
        <w:trPr>
          <w:trHeight w:val="340" w:hRule="exact"/>
          <w:jc w:val="center"/>
        </w:trPr>
        <w:tc>
          <w:tcPr>
            <w:tcW w:w="5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9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1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5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8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24</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5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9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c>
          <w:tcPr>
            <w:tcW w:w="1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5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8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25</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525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9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13</w:t>
            </w:r>
          </w:p>
        </w:tc>
        <w:tc>
          <w:tcPr>
            <w:tcW w:w="1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1370.79</w:t>
            </w:r>
          </w:p>
        </w:tc>
        <w:tc>
          <w:tcPr>
            <w:tcW w:w="519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8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26</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firstLine="220" w:firstLineChars="100"/>
              <w:rPr>
                <w:rFonts w:ascii="Times New Roman" w:hAnsi="Times New Roman" w:eastAsia="仿宋_GB2312" w:cs="Times New Roman"/>
                <w:b/>
                <w:color w:val="000000"/>
                <w:sz w:val="22"/>
              </w:rPr>
            </w:pPr>
            <w:r>
              <w:rPr>
                <w:rFonts w:hint="eastAsia" w:ascii="Times New Roman" w:hAnsi="Times New Roman" w:eastAsia="仿宋_GB2312" w:cs="Times New Roman"/>
                <w:color w:val="000000"/>
                <w:sz w:val="22"/>
                <w:lang w:val="en-US" w:eastAsia="zh-CN"/>
              </w:rPr>
              <w:t>1370.79</w:t>
            </w:r>
          </w:p>
        </w:tc>
      </w:tr>
    </w:tbl>
    <w:p>
      <w:pPr>
        <w:widowControl/>
        <w:jc w:val="left"/>
        <w:textAlignment w:val="center"/>
        <w:rPr>
          <w:rFonts w:ascii="Times New Roman" w:hAnsi="Times New Roman" w:eastAsia="宋体" w:cs="Times New Roman"/>
          <w:color w:val="000000"/>
          <w:kern w:val="0"/>
          <w:sz w:val="24"/>
          <w:szCs w:val="24"/>
          <w:lang w:bidi="ar"/>
        </w:rPr>
      </w:pPr>
    </w:p>
    <w:p>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pPr>
        <w:rPr>
          <w:rFonts w:ascii="Times New Roman" w:hAnsi="Times New Roman" w:eastAsia="黑体" w:cs="Times New Roman"/>
          <w:color w:val="000000"/>
          <w:kern w:val="0"/>
          <w:sz w:val="32"/>
          <w:szCs w:val="32"/>
          <w:lang w:bidi="ar"/>
        </w:rPr>
      </w:pPr>
      <w:r>
        <w:rPr>
          <w:rFonts w:ascii="Times New Roman" w:hAnsi="Times New Roman" w:eastAsia="华文中宋" w:cs="Times New Roman"/>
          <w:color w:val="000000"/>
          <w:sz w:val="32"/>
          <w:szCs w:val="32"/>
        </w:rPr>
        <w:br w:type="page"/>
      </w: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kern w:val="0"/>
          <w:sz w:val="20"/>
          <w:szCs w:val="20"/>
          <w:lang w:val="en-US" w:eastAsia="zh-CN" w:bidi="ar"/>
        </w:rPr>
        <w:t>道县医疗保障局</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10"/>
        <w:tblW w:w="14504" w:type="dxa"/>
        <w:jc w:val="center"/>
        <w:tblLayout w:type="fixed"/>
        <w:tblCellMar>
          <w:top w:w="0" w:type="dxa"/>
          <w:left w:w="0" w:type="dxa"/>
          <w:bottom w:w="0" w:type="dxa"/>
          <w:right w:w="0" w:type="dxa"/>
        </w:tblCellMar>
      </w:tblPr>
      <w:tblGrid>
        <w:gridCol w:w="1892"/>
        <w:gridCol w:w="2196"/>
        <w:gridCol w:w="1392"/>
        <w:gridCol w:w="1443"/>
        <w:gridCol w:w="1488"/>
        <w:gridCol w:w="1335"/>
        <w:gridCol w:w="1473"/>
        <w:gridCol w:w="2064"/>
        <w:gridCol w:w="1221"/>
      </w:tblGrid>
      <w:tr>
        <w:tblPrEx>
          <w:tblCellMar>
            <w:top w:w="0" w:type="dxa"/>
            <w:left w:w="0" w:type="dxa"/>
            <w:bottom w:w="0" w:type="dxa"/>
            <w:right w:w="0" w:type="dxa"/>
          </w:tblCellMar>
        </w:tblPrEx>
        <w:trPr>
          <w:trHeight w:val="450" w:hRule="atLeast"/>
          <w:jc w:val="center"/>
        </w:trPr>
        <w:tc>
          <w:tcPr>
            <w:tcW w:w="4088"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392"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443"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488"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335"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47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2064"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22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tblPrEx>
          <w:tblCellMar>
            <w:top w:w="0" w:type="dxa"/>
            <w:left w:w="0" w:type="dxa"/>
            <w:bottom w:w="0" w:type="dxa"/>
            <w:right w:w="0" w:type="dxa"/>
          </w:tblCellMar>
        </w:tblPrEx>
        <w:trPr>
          <w:trHeight w:val="334" w:hRule="exact"/>
          <w:jc w:val="center"/>
        </w:trPr>
        <w:tc>
          <w:tcPr>
            <w:tcW w:w="1892"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2196"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392"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44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488"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35"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47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2064"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221"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312" w:hRule="atLeast"/>
          <w:jc w:val="center"/>
        </w:trPr>
        <w:tc>
          <w:tcPr>
            <w:tcW w:w="1892"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2196"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92"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44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488"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35"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47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2064"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221"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450" w:hRule="atLeast"/>
          <w:jc w:val="center"/>
        </w:trPr>
        <w:tc>
          <w:tcPr>
            <w:tcW w:w="408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39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44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48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33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47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206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22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tblPrEx>
          <w:tblCellMar>
            <w:top w:w="0" w:type="dxa"/>
            <w:left w:w="0" w:type="dxa"/>
            <w:bottom w:w="0" w:type="dxa"/>
            <w:right w:w="0" w:type="dxa"/>
          </w:tblCellMar>
        </w:tblPrEx>
        <w:trPr>
          <w:trHeight w:val="450" w:hRule="atLeast"/>
          <w:jc w:val="center"/>
        </w:trPr>
        <w:tc>
          <w:tcPr>
            <w:tcW w:w="408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39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1370.79</w:t>
            </w:r>
            <w:r>
              <w:rPr>
                <w:rFonts w:ascii="Times New Roman" w:hAnsi="Times New Roman" w:eastAsia="仿宋_GB2312" w:cs="Times New Roman"/>
              </w:rPr>
              <w:t>　</w:t>
            </w:r>
          </w:p>
        </w:tc>
        <w:tc>
          <w:tcPr>
            <w:tcW w:w="14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1370.79</w:t>
            </w:r>
            <w:r>
              <w:rPr>
                <w:rFonts w:ascii="Times New Roman" w:hAnsi="Times New Roman" w:eastAsia="仿宋_GB2312" w:cs="Times New Roman"/>
              </w:rPr>
              <w:t>　</w:t>
            </w:r>
          </w:p>
        </w:tc>
        <w:tc>
          <w:tcPr>
            <w:tcW w:w="148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4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20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22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9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default" w:asciiTheme="minorHAnsi" w:hAnsiTheme="minorHAnsi" w:eastAsiaTheme="minorEastAsia" w:cstheme="minorBidi"/>
                <w:kern w:val="2"/>
                <w:sz w:val="21"/>
                <w:szCs w:val="22"/>
                <w:lang w:val="en-US" w:eastAsia="zh-CN" w:bidi="ar-SA"/>
              </w:rPr>
            </w:pPr>
            <w:r>
              <w:rPr>
                <w:rFonts w:hint="eastAsia" w:cstheme="minorBidi"/>
                <w:kern w:val="2"/>
                <w:sz w:val="21"/>
                <w:szCs w:val="22"/>
                <w:lang w:val="en-US" w:eastAsia="zh-CN" w:bidi="ar-SA"/>
              </w:rPr>
              <w:t>205</w:t>
            </w:r>
          </w:p>
        </w:tc>
        <w:tc>
          <w:tcPr>
            <w:tcW w:w="219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default" w:asciiTheme="minorHAnsi" w:hAnsiTheme="minorHAnsi" w:eastAsiaTheme="minorEastAsia" w:cstheme="minorBidi"/>
                <w:kern w:val="2"/>
                <w:sz w:val="21"/>
                <w:szCs w:val="22"/>
                <w:lang w:val="en-US" w:eastAsia="zh-CN" w:bidi="ar-SA"/>
              </w:rPr>
            </w:pPr>
            <w:r>
              <w:rPr>
                <w:rFonts w:hint="default" w:asciiTheme="minorHAnsi" w:hAnsiTheme="minorHAnsi" w:eastAsiaTheme="minorEastAsia" w:cstheme="minorBidi"/>
                <w:kern w:val="2"/>
                <w:sz w:val="21"/>
                <w:szCs w:val="22"/>
                <w:lang w:val="en-US" w:eastAsia="zh-CN" w:bidi="ar-SA"/>
              </w:rPr>
              <w:t>教育支出</w:t>
            </w:r>
          </w:p>
        </w:tc>
        <w:tc>
          <w:tcPr>
            <w:tcW w:w="139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4.95</w:t>
            </w:r>
            <w:r>
              <w:rPr>
                <w:rFonts w:ascii="Times New Roman" w:hAnsi="Times New Roman" w:eastAsia="仿宋_GB2312" w:cs="Times New Roman"/>
              </w:rPr>
              <w:t>　</w:t>
            </w:r>
          </w:p>
        </w:tc>
        <w:tc>
          <w:tcPr>
            <w:tcW w:w="14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4.95</w:t>
            </w:r>
            <w:r>
              <w:rPr>
                <w:rFonts w:ascii="Times New Roman" w:hAnsi="Times New Roman" w:eastAsia="仿宋_GB2312" w:cs="Times New Roman"/>
              </w:rPr>
              <w:t>　</w:t>
            </w:r>
          </w:p>
        </w:tc>
        <w:tc>
          <w:tcPr>
            <w:tcW w:w="148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4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20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22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9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default" w:asciiTheme="minorHAnsi" w:hAnsiTheme="minorHAnsi" w:eastAsiaTheme="minorEastAsia" w:cstheme="minorBidi"/>
                <w:kern w:val="2"/>
                <w:sz w:val="21"/>
                <w:szCs w:val="22"/>
                <w:lang w:val="en-US" w:eastAsia="zh-CN" w:bidi="ar-SA"/>
              </w:rPr>
            </w:pPr>
            <w:r>
              <w:rPr>
                <w:rFonts w:hint="eastAsia" w:cstheme="minorBidi"/>
                <w:kern w:val="2"/>
                <w:sz w:val="21"/>
                <w:szCs w:val="22"/>
                <w:lang w:val="en-US" w:eastAsia="zh-CN" w:bidi="ar-SA"/>
              </w:rPr>
              <w:t>20501</w:t>
            </w:r>
          </w:p>
        </w:tc>
        <w:tc>
          <w:tcPr>
            <w:tcW w:w="219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default" w:asciiTheme="minorHAnsi" w:hAnsiTheme="minorHAnsi" w:eastAsiaTheme="minorEastAsia" w:cstheme="minorBidi"/>
                <w:kern w:val="2"/>
                <w:sz w:val="21"/>
                <w:szCs w:val="22"/>
                <w:lang w:val="en-US" w:eastAsia="zh-CN" w:bidi="ar-SA"/>
              </w:rPr>
            </w:pPr>
            <w:r>
              <w:rPr>
                <w:rFonts w:hint="eastAsia" w:cstheme="minorBidi"/>
                <w:kern w:val="2"/>
                <w:sz w:val="21"/>
                <w:szCs w:val="22"/>
                <w:lang w:val="en-US" w:eastAsia="zh-CN" w:bidi="ar-SA"/>
              </w:rPr>
              <w:t>教育管理事务</w:t>
            </w:r>
          </w:p>
        </w:tc>
        <w:tc>
          <w:tcPr>
            <w:tcW w:w="139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4.95</w:t>
            </w:r>
          </w:p>
        </w:tc>
        <w:tc>
          <w:tcPr>
            <w:tcW w:w="14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4.95</w:t>
            </w:r>
          </w:p>
        </w:tc>
        <w:tc>
          <w:tcPr>
            <w:tcW w:w="148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4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20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22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89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lang w:val="en-US" w:eastAsia="zh-CN"/>
              </w:rPr>
            </w:pPr>
            <w:r>
              <w:rPr>
                <w:rFonts w:hint="eastAsia"/>
                <w:lang w:val="en-US" w:eastAsia="zh-CN"/>
              </w:rPr>
              <w:t>2050101</w:t>
            </w:r>
          </w:p>
        </w:tc>
        <w:tc>
          <w:tcPr>
            <w:tcW w:w="219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lang w:val="en-US" w:eastAsia="zh-CN"/>
              </w:rPr>
            </w:pPr>
            <w:r>
              <w:rPr>
                <w:rFonts w:hint="eastAsia"/>
                <w:lang w:val="en-US" w:eastAsia="zh-CN"/>
              </w:rPr>
              <w:t>行政运行</w:t>
            </w:r>
          </w:p>
        </w:tc>
        <w:tc>
          <w:tcPr>
            <w:tcW w:w="139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4.95</w:t>
            </w:r>
          </w:p>
        </w:tc>
        <w:tc>
          <w:tcPr>
            <w:tcW w:w="14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lang w:val="en-US" w:eastAsia="zh-CN"/>
              </w:rPr>
            </w:pPr>
            <w:r>
              <w:rPr>
                <w:rFonts w:hint="eastAsia" w:ascii="Times New Roman" w:hAnsi="Times New Roman" w:eastAsia="仿宋_GB2312" w:cs="Times New Roman"/>
                <w:lang w:val="en-US" w:eastAsia="zh-CN"/>
              </w:rPr>
              <w:t>4.95</w:t>
            </w:r>
          </w:p>
        </w:tc>
        <w:tc>
          <w:tcPr>
            <w:tcW w:w="148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4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20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22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89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lang w:val="en-US" w:eastAsia="zh-CN"/>
              </w:rPr>
            </w:pPr>
            <w:r>
              <w:rPr>
                <w:rFonts w:hint="eastAsia"/>
                <w:lang w:val="en-US" w:eastAsia="zh-CN"/>
              </w:rPr>
              <w:t>208</w:t>
            </w:r>
          </w:p>
        </w:tc>
        <w:tc>
          <w:tcPr>
            <w:tcW w:w="219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lang w:val="en-US" w:eastAsia="zh-CN"/>
              </w:rPr>
            </w:pPr>
            <w:r>
              <w:rPr>
                <w:rFonts w:hint="eastAsia"/>
                <w:lang w:val="en-US" w:eastAsia="zh-CN"/>
              </w:rPr>
              <w:t>社会保障和就业支出</w:t>
            </w:r>
          </w:p>
        </w:tc>
        <w:tc>
          <w:tcPr>
            <w:tcW w:w="139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50.99</w:t>
            </w:r>
          </w:p>
        </w:tc>
        <w:tc>
          <w:tcPr>
            <w:tcW w:w="14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50.99</w:t>
            </w:r>
          </w:p>
        </w:tc>
        <w:tc>
          <w:tcPr>
            <w:tcW w:w="148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4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20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22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89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default" w:asciiTheme="minorHAnsi" w:hAnsiTheme="minorHAnsi" w:eastAsiaTheme="minorEastAsia" w:cstheme="minorBidi"/>
                <w:kern w:val="2"/>
                <w:sz w:val="21"/>
                <w:szCs w:val="22"/>
                <w:lang w:val="en-US" w:eastAsia="zh-CN" w:bidi="ar-SA"/>
              </w:rPr>
            </w:pPr>
            <w:r>
              <w:rPr>
                <w:rFonts w:hint="eastAsia"/>
                <w:lang w:val="en-US" w:eastAsia="zh-CN"/>
              </w:rPr>
              <w:t>20805</w:t>
            </w:r>
          </w:p>
        </w:tc>
        <w:tc>
          <w:tcPr>
            <w:tcW w:w="219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default" w:asciiTheme="minorHAnsi" w:hAnsiTheme="minorHAnsi" w:eastAsiaTheme="minorEastAsia" w:cstheme="minorBidi"/>
                <w:kern w:val="2"/>
                <w:sz w:val="21"/>
                <w:szCs w:val="22"/>
                <w:lang w:val="en-US" w:eastAsia="zh-CN" w:bidi="ar-SA"/>
              </w:rPr>
            </w:pPr>
            <w:r>
              <w:rPr>
                <w:rFonts w:hint="eastAsia"/>
                <w:lang w:val="en-US" w:eastAsia="zh-CN"/>
              </w:rPr>
              <w:t>行政事业单位养老支出</w:t>
            </w:r>
          </w:p>
        </w:tc>
        <w:tc>
          <w:tcPr>
            <w:tcW w:w="139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50.99</w:t>
            </w:r>
            <w:r>
              <w:rPr>
                <w:rFonts w:ascii="Times New Roman" w:hAnsi="Times New Roman" w:eastAsia="仿宋_GB2312" w:cs="Times New Roman"/>
              </w:rPr>
              <w:t>　</w:t>
            </w:r>
          </w:p>
        </w:tc>
        <w:tc>
          <w:tcPr>
            <w:tcW w:w="14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50.99</w:t>
            </w:r>
            <w:r>
              <w:rPr>
                <w:rFonts w:ascii="Times New Roman" w:hAnsi="Times New Roman" w:eastAsia="仿宋_GB2312" w:cs="Times New Roman"/>
              </w:rPr>
              <w:t>　</w:t>
            </w:r>
          </w:p>
        </w:tc>
        <w:tc>
          <w:tcPr>
            <w:tcW w:w="148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4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20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22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9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default" w:asciiTheme="minorHAnsi" w:hAnsiTheme="minorHAnsi" w:eastAsiaTheme="minorEastAsia" w:cstheme="minorBidi"/>
                <w:kern w:val="2"/>
                <w:sz w:val="21"/>
                <w:szCs w:val="22"/>
                <w:lang w:val="en-US" w:eastAsia="zh-CN" w:bidi="ar-SA"/>
              </w:rPr>
            </w:pPr>
            <w:r>
              <w:rPr>
                <w:rFonts w:hint="eastAsia"/>
                <w:lang w:val="en-US" w:eastAsia="zh-CN"/>
              </w:rPr>
              <w:t>2080505</w:t>
            </w:r>
          </w:p>
        </w:tc>
        <w:tc>
          <w:tcPr>
            <w:tcW w:w="219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asciiTheme="minorHAnsi" w:hAnsiTheme="minorHAnsi" w:eastAsiaTheme="minorEastAsia" w:cstheme="minorBidi"/>
                <w:kern w:val="2"/>
                <w:sz w:val="21"/>
                <w:szCs w:val="22"/>
                <w:lang w:val="en-US" w:eastAsia="zh-CN" w:bidi="ar-SA"/>
              </w:rPr>
            </w:pPr>
            <w:r>
              <w:rPr>
                <w:rFonts w:hint="eastAsia"/>
                <w:lang w:val="en-US" w:eastAsia="zh-CN"/>
              </w:rPr>
              <w:t>机关事业单位基本养老保险缴费支出</w:t>
            </w:r>
          </w:p>
        </w:tc>
        <w:tc>
          <w:tcPr>
            <w:tcW w:w="139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50.99</w:t>
            </w:r>
            <w:r>
              <w:rPr>
                <w:rFonts w:ascii="Times New Roman" w:hAnsi="Times New Roman" w:eastAsia="仿宋_GB2312" w:cs="Times New Roman"/>
              </w:rPr>
              <w:t>　</w:t>
            </w:r>
          </w:p>
        </w:tc>
        <w:tc>
          <w:tcPr>
            <w:tcW w:w="14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50.99</w:t>
            </w:r>
            <w:r>
              <w:rPr>
                <w:rFonts w:ascii="Times New Roman" w:hAnsi="Times New Roman" w:eastAsia="仿宋_GB2312" w:cs="Times New Roman"/>
              </w:rPr>
              <w:t>　</w:t>
            </w:r>
          </w:p>
        </w:tc>
        <w:tc>
          <w:tcPr>
            <w:tcW w:w="148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4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20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22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9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default" w:asciiTheme="minorHAnsi" w:hAnsiTheme="minorHAnsi" w:eastAsiaTheme="minorEastAsia" w:cstheme="minorBidi"/>
                <w:kern w:val="2"/>
                <w:sz w:val="21"/>
                <w:szCs w:val="22"/>
                <w:lang w:val="en-US" w:eastAsia="zh-CN" w:bidi="ar-SA"/>
              </w:rPr>
            </w:pPr>
            <w:r>
              <w:rPr>
                <w:rFonts w:hint="eastAsia"/>
                <w:lang w:val="en-US" w:eastAsia="zh-CN"/>
              </w:rPr>
              <w:t>210</w:t>
            </w:r>
          </w:p>
        </w:tc>
        <w:tc>
          <w:tcPr>
            <w:tcW w:w="219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default" w:asciiTheme="minorHAnsi" w:hAnsiTheme="minorHAnsi" w:eastAsiaTheme="minorEastAsia" w:cstheme="minorBidi"/>
                <w:kern w:val="2"/>
                <w:sz w:val="21"/>
                <w:szCs w:val="22"/>
                <w:lang w:val="en-US" w:eastAsia="zh-CN" w:bidi="ar-SA"/>
              </w:rPr>
            </w:pPr>
            <w:r>
              <w:rPr>
                <w:rFonts w:hint="eastAsia"/>
                <w:lang w:val="en-US" w:eastAsia="zh-CN"/>
              </w:rPr>
              <w:t>卫生健康支出</w:t>
            </w:r>
          </w:p>
        </w:tc>
        <w:tc>
          <w:tcPr>
            <w:tcW w:w="139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1314.85</w:t>
            </w:r>
            <w:r>
              <w:rPr>
                <w:rFonts w:ascii="Times New Roman" w:hAnsi="Times New Roman" w:eastAsia="仿宋_GB2312" w:cs="Times New Roman"/>
              </w:rPr>
              <w:t>　</w:t>
            </w:r>
          </w:p>
        </w:tc>
        <w:tc>
          <w:tcPr>
            <w:tcW w:w="14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1314.85</w:t>
            </w:r>
            <w:r>
              <w:rPr>
                <w:rFonts w:ascii="Times New Roman" w:hAnsi="Times New Roman" w:eastAsia="仿宋_GB2312" w:cs="Times New Roman"/>
              </w:rPr>
              <w:t>　</w:t>
            </w:r>
          </w:p>
        </w:tc>
        <w:tc>
          <w:tcPr>
            <w:tcW w:w="148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4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20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22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9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default" w:asciiTheme="minorHAnsi" w:hAnsiTheme="minorHAnsi" w:eastAsiaTheme="minorEastAsia" w:cstheme="minorBidi"/>
                <w:kern w:val="2"/>
                <w:sz w:val="21"/>
                <w:szCs w:val="22"/>
                <w:lang w:val="en-US" w:eastAsia="zh-CN" w:bidi="ar-SA"/>
              </w:rPr>
            </w:pPr>
            <w:r>
              <w:rPr>
                <w:rFonts w:hint="eastAsia"/>
                <w:lang w:val="en-US" w:eastAsia="zh-CN"/>
              </w:rPr>
              <w:t>21011</w:t>
            </w:r>
          </w:p>
        </w:tc>
        <w:tc>
          <w:tcPr>
            <w:tcW w:w="219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default" w:asciiTheme="minorHAnsi" w:hAnsiTheme="minorHAnsi" w:eastAsiaTheme="minorEastAsia" w:cstheme="minorBidi"/>
                <w:kern w:val="2"/>
                <w:sz w:val="21"/>
                <w:szCs w:val="22"/>
                <w:lang w:val="en-US" w:eastAsia="zh-CN" w:bidi="ar-SA"/>
              </w:rPr>
            </w:pPr>
            <w:r>
              <w:rPr>
                <w:rFonts w:hint="eastAsia"/>
                <w:lang w:val="en-US" w:eastAsia="zh-CN"/>
              </w:rPr>
              <w:t>行政事业单位医疗</w:t>
            </w:r>
          </w:p>
        </w:tc>
        <w:tc>
          <w:tcPr>
            <w:tcW w:w="139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27.55</w:t>
            </w:r>
            <w:r>
              <w:rPr>
                <w:rFonts w:ascii="Times New Roman" w:hAnsi="Times New Roman" w:eastAsia="仿宋_GB2312" w:cs="Times New Roman"/>
              </w:rPr>
              <w:t>　</w:t>
            </w:r>
          </w:p>
        </w:tc>
        <w:tc>
          <w:tcPr>
            <w:tcW w:w="14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27.55</w:t>
            </w:r>
            <w:r>
              <w:rPr>
                <w:rFonts w:ascii="Times New Roman" w:hAnsi="Times New Roman" w:eastAsia="仿宋_GB2312" w:cs="Times New Roman"/>
              </w:rPr>
              <w:t>　</w:t>
            </w:r>
          </w:p>
        </w:tc>
        <w:tc>
          <w:tcPr>
            <w:tcW w:w="148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4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20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22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9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ascii="宋体" w:hAnsi="宋体" w:cs="宋体" w:eastAsiaTheme="minorEastAsia"/>
                <w:kern w:val="2"/>
                <w:sz w:val="24"/>
                <w:szCs w:val="24"/>
                <w:lang w:val="en-US" w:eastAsia="zh-CN" w:bidi="ar-SA"/>
              </w:rPr>
            </w:pPr>
            <w:r>
              <w:rPr>
                <w:rFonts w:hint="eastAsia"/>
                <w:lang w:val="en-US" w:eastAsia="zh-CN"/>
              </w:rPr>
              <w:t>2101101</w:t>
            </w:r>
          </w:p>
        </w:tc>
        <w:tc>
          <w:tcPr>
            <w:tcW w:w="219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ascii="宋体" w:hAnsi="宋体" w:cs="宋体" w:eastAsiaTheme="minorEastAsia"/>
                <w:kern w:val="2"/>
                <w:sz w:val="24"/>
                <w:szCs w:val="24"/>
                <w:lang w:val="en-US" w:eastAsia="zh-CN" w:bidi="ar-SA"/>
              </w:rPr>
            </w:pPr>
            <w:r>
              <w:rPr>
                <w:rFonts w:hint="eastAsia"/>
                <w:lang w:val="en-US" w:eastAsia="zh-CN"/>
              </w:rPr>
              <w:t>行政单位医疗</w:t>
            </w:r>
          </w:p>
        </w:tc>
        <w:tc>
          <w:tcPr>
            <w:tcW w:w="139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27.55</w:t>
            </w:r>
            <w:r>
              <w:rPr>
                <w:rFonts w:ascii="Times New Roman" w:hAnsi="Times New Roman" w:eastAsia="仿宋_GB2312" w:cs="Times New Roman"/>
              </w:rPr>
              <w:t>　</w:t>
            </w:r>
          </w:p>
        </w:tc>
        <w:tc>
          <w:tcPr>
            <w:tcW w:w="144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27.55</w:t>
            </w:r>
            <w:r>
              <w:rPr>
                <w:rFonts w:ascii="Times New Roman" w:hAnsi="Times New Roman" w:eastAsia="仿宋_GB2312" w:cs="Times New Roman"/>
              </w:rPr>
              <w:t>　</w:t>
            </w:r>
          </w:p>
        </w:tc>
        <w:tc>
          <w:tcPr>
            <w:tcW w:w="148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47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206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22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9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asciiTheme="minorHAnsi" w:hAnsiTheme="minorHAnsi" w:eastAsiaTheme="minorEastAsia" w:cstheme="minorBidi"/>
                <w:kern w:val="2"/>
                <w:sz w:val="21"/>
                <w:szCs w:val="22"/>
                <w:lang w:val="en-US" w:eastAsia="zh-CN" w:bidi="ar-SA"/>
              </w:rPr>
            </w:pPr>
            <w:r>
              <w:rPr>
                <w:rFonts w:hint="eastAsia"/>
                <w:lang w:val="en-US" w:eastAsia="zh-CN"/>
              </w:rPr>
              <w:t>21013</w:t>
            </w:r>
          </w:p>
        </w:tc>
        <w:tc>
          <w:tcPr>
            <w:tcW w:w="219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asciiTheme="minorHAnsi" w:hAnsiTheme="minorHAnsi" w:eastAsiaTheme="minorEastAsia" w:cstheme="minorBidi"/>
                <w:kern w:val="2"/>
                <w:sz w:val="21"/>
                <w:szCs w:val="22"/>
                <w:lang w:val="en-US" w:eastAsia="zh-CN" w:bidi="ar-SA"/>
              </w:rPr>
            </w:pPr>
            <w:r>
              <w:rPr>
                <w:rFonts w:hint="eastAsia"/>
                <w:lang w:val="en-US" w:eastAsia="zh-CN"/>
              </w:rPr>
              <w:t>医疗救助</w:t>
            </w:r>
          </w:p>
        </w:tc>
        <w:tc>
          <w:tcPr>
            <w:tcW w:w="139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7.42</w:t>
            </w:r>
          </w:p>
        </w:tc>
        <w:tc>
          <w:tcPr>
            <w:tcW w:w="144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7.42</w:t>
            </w:r>
          </w:p>
        </w:tc>
        <w:tc>
          <w:tcPr>
            <w:tcW w:w="148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47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206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22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89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asciiTheme="minorHAnsi" w:hAnsiTheme="minorHAnsi" w:eastAsiaTheme="minorEastAsia" w:cstheme="minorBidi"/>
                <w:kern w:val="2"/>
                <w:sz w:val="21"/>
                <w:szCs w:val="22"/>
                <w:lang w:val="en-US" w:eastAsia="zh-CN" w:bidi="ar-SA"/>
              </w:rPr>
            </w:pPr>
            <w:r>
              <w:rPr>
                <w:rFonts w:hint="eastAsia"/>
                <w:lang w:val="en-US" w:eastAsia="zh-CN"/>
              </w:rPr>
              <w:t>2101399</w:t>
            </w:r>
          </w:p>
        </w:tc>
        <w:tc>
          <w:tcPr>
            <w:tcW w:w="219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asciiTheme="minorHAnsi" w:hAnsiTheme="minorHAnsi" w:eastAsiaTheme="minorEastAsia" w:cstheme="minorBidi"/>
                <w:kern w:val="2"/>
                <w:sz w:val="21"/>
                <w:szCs w:val="22"/>
                <w:lang w:val="en-US" w:eastAsia="zh-CN" w:bidi="ar-SA"/>
              </w:rPr>
            </w:pPr>
            <w:r>
              <w:rPr>
                <w:rFonts w:hint="eastAsia"/>
                <w:lang w:val="en-US" w:eastAsia="zh-CN"/>
              </w:rPr>
              <w:t>其他医疗救助支出</w:t>
            </w:r>
          </w:p>
        </w:tc>
        <w:tc>
          <w:tcPr>
            <w:tcW w:w="139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7.42</w:t>
            </w:r>
          </w:p>
        </w:tc>
        <w:tc>
          <w:tcPr>
            <w:tcW w:w="144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7.42</w:t>
            </w:r>
          </w:p>
        </w:tc>
        <w:tc>
          <w:tcPr>
            <w:tcW w:w="148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47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206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22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67" w:hRule="atLeast"/>
          <w:jc w:val="center"/>
        </w:trPr>
        <w:tc>
          <w:tcPr>
            <w:tcW w:w="189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asciiTheme="minorHAnsi" w:hAnsiTheme="minorHAnsi" w:eastAsiaTheme="minorEastAsia" w:cstheme="minorBidi"/>
                <w:kern w:val="2"/>
                <w:sz w:val="21"/>
                <w:szCs w:val="22"/>
                <w:lang w:val="en-US" w:eastAsia="zh-CN" w:bidi="ar-SA"/>
              </w:rPr>
            </w:pPr>
            <w:r>
              <w:rPr>
                <w:rFonts w:hint="eastAsia"/>
                <w:lang w:val="en-US" w:eastAsia="zh-CN"/>
              </w:rPr>
              <w:t>21015</w:t>
            </w:r>
          </w:p>
        </w:tc>
        <w:tc>
          <w:tcPr>
            <w:tcW w:w="219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asciiTheme="minorHAnsi" w:hAnsiTheme="minorHAnsi" w:eastAsiaTheme="minorEastAsia" w:cstheme="minorBidi"/>
                <w:kern w:val="2"/>
                <w:sz w:val="21"/>
                <w:szCs w:val="22"/>
                <w:lang w:val="en-US" w:eastAsia="zh-CN" w:bidi="ar-SA"/>
              </w:rPr>
            </w:pPr>
            <w:r>
              <w:rPr>
                <w:rFonts w:hint="eastAsia"/>
                <w:lang w:val="en-US" w:eastAsia="zh-CN"/>
              </w:rPr>
              <w:t>医疗保障管理事务</w:t>
            </w:r>
          </w:p>
        </w:tc>
        <w:tc>
          <w:tcPr>
            <w:tcW w:w="139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1279.88</w:t>
            </w:r>
          </w:p>
        </w:tc>
        <w:tc>
          <w:tcPr>
            <w:tcW w:w="144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1279.88</w:t>
            </w:r>
          </w:p>
        </w:tc>
        <w:tc>
          <w:tcPr>
            <w:tcW w:w="148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47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206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22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89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asciiTheme="minorHAnsi" w:hAnsiTheme="minorHAnsi" w:eastAsiaTheme="minorEastAsia" w:cstheme="minorBidi"/>
                <w:kern w:val="2"/>
                <w:sz w:val="21"/>
                <w:szCs w:val="22"/>
                <w:lang w:val="en-US" w:eastAsia="zh-CN" w:bidi="ar-SA"/>
              </w:rPr>
            </w:pPr>
            <w:r>
              <w:rPr>
                <w:rFonts w:hint="eastAsia"/>
                <w:lang w:val="en-US" w:eastAsia="zh-CN"/>
              </w:rPr>
              <w:t>2101501</w:t>
            </w:r>
          </w:p>
        </w:tc>
        <w:tc>
          <w:tcPr>
            <w:tcW w:w="219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asciiTheme="minorHAnsi" w:hAnsiTheme="minorHAnsi" w:eastAsiaTheme="minorEastAsia" w:cstheme="minorBidi"/>
                <w:kern w:val="2"/>
                <w:sz w:val="21"/>
                <w:szCs w:val="22"/>
                <w:lang w:val="en-US" w:eastAsia="zh-CN" w:bidi="ar-SA"/>
              </w:rPr>
            </w:pPr>
            <w:r>
              <w:rPr>
                <w:rFonts w:hint="eastAsia"/>
                <w:lang w:val="en-US" w:eastAsia="zh-CN"/>
              </w:rPr>
              <w:t>行政运行</w:t>
            </w:r>
          </w:p>
        </w:tc>
        <w:tc>
          <w:tcPr>
            <w:tcW w:w="139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517.94</w:t>
            </w:r>
          </w:p>
        </w:tc>
        <w:tc>
          <w:tcPr>
            <w:tcW w:w="144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517.94</w:t>
            </w:r>
          </w:p>
        </w:tc>
        <w:tc>
          <w:tcPr>
            <w:tcW w:w="148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47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206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22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89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ascii="宋体" w:hAnsi="宋体" w:cs="宋体" w:eastAsiaTheme="minorEastAsia"/>
                <w:kern w:val="2"/>
                <w:sz w:val="24"/>
                <w:szCs w:val="24"/>
                <w:lang w:val="en-US" w:eastAsia="zh-CN" w:bidi="ar-SA"/>
              </w:rPr>
            </w:pPr>
            <w:r>
              <w:rPr>
                <w:rFonts w:hint="eastAsia"/>
                <w:lang w:val="en-US" w:eastAsia="zh-CN"/>
              </w:rPr>
              <w:t>2101505</w:t>
            </w:r>
          </w:p>
        </w:tc>
        <w:tc>
          <w:tcPr>
            <w:tcW w:w="219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ascii="宋体" w:hAnsi="宋体" w:cs="宋体" w:eastAsiaTheme="minorEastAsia"/>
                <w:kern w:val="2"/>
                <w:sz w:val="24"/>
                <w:szCs w:val="24"/>
                <w:lang w:val="en-US" w:eastAsia="zh-CN" w:bidi="ar-SA"/>
              </w:rPr>
            </w:pPr>
            <w:r>
              <w:rPr>
                <w:rFonts w:hint="eastAsia"/>
                <w:lang w:val="en-US" w:eastAsia="zh-CN"/>
              </w:rPr>
              <w:t>医疗保障政策管理</w:t>
            </w:r>
          </w:p>
        </w:tc>
        <w:tc>
          <w:tcPr>
            <w:tcW w:w="139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65</w:t>
            </w:r>
          </w:p>
        </w:tc>
        <w:tc>
          <w:tcPr>
            <w:tcW w:w="144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65</w:t>
            </w:r>
          </w:p>
        </w:tc>
        <w:tc>
          <w:tcPr>
            <w:tcW w:w="148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47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206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22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89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asciiTheme="minorHAnsi" w:hAnsiTheme="minorHAnsi" w:eastAsiaTheme="minorEastAsia" w:cstheme="minorBidi"/>
                <w:kern w:val="2"/>
                <w:sz w:val="21"/>
                <w:szCs w:val="22"/>
                <w:lang w:val="en-US" w:eastAsia="zh-CN" w:bidi="ar-SA"/>
              </w:rPr>
            </w:pPr>
            <w:r>
              <w:rPr>
                <w:rFonts w:hint="eastAsia"/>
                <w:lang w:val="en-US" w:eastAsia="zh-CN"/>
              </w:rPr>
              <w:t>2101599</w:t>
            </w:r>
          </w:p>
        </w:tc>
        <w:tc>
          <w:tcPr>
            <w:tcW w:w="219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asciiTheme="minorHAnsi" w:hAnsiTheme="minorHAnsi" w:eastAsiaTheme="minorEastAsia" w:cstheme="minorBidi"/>
                <w:kern w:val="2"/>
                <w:sz w:val="21"/>
                <w:szCs w:val="22"/>
                <w:lang w:val="en-US" w:eastAsia="zh-CN" w:bidi="ar-SA"/>
              </w:rPr>
            </w:pPr>
            <w:r>
              <w:rPr>
                <w:rFonts w:hint="eastAsia"/>
                <w:lang w:val="en-US" w:eastAsia="zh-CN"/>
              </w:rPr>
              <w:t>其他医疗保障管理事务支出</w:t>
            </w:r>
          </w:p>
        </w:tc>
        <w:tc>
          <w:tcPr>
            <w:tcW w:w="139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696.94</w:t>
            </w:r>
          </w:p>
        </w:tc>
        <w:tc>
          <w:tcPr>
            <w:tcW w:w="144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696.94</w:t>
            </w:r>
          </w:p>
        </w:tc>
        <w:tc>
          <w:tcPr>
            <w:tcW w:w="148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47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206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22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bl>
    <w:p>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pPr>
        <w:widowControl/>
        <w:jc w:val="left"/>
        <w:rPr>
          <w:rFonts w:ascii="Times New Roman" w:hAnsi="Times New Roman" w:eastAsia="黑体" w:cs="Times New Roman"/>
          <w:color w:val="000000"/>
          <w:kern w:val="0"/>
          <w:sz w:val="32"/>
          <w:szCs w:val="32"/>
          <w:lang w:bidi="ar"/>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val="en-US" w:eastAsia="zh-CN" w:bidi="ar"/>
        </w:rPr>
        <w:t>道县医疗保障局</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10"/>
        <w:tblW w:w="4875" w:type="pct"/>
        <w:jc w:val="center"/>
        <w:tblLayout w:type="fixed"/>
        <w:tblCellMar>
          <w:top w:w="0" w:type="dxa"/>
          <w:left w:w="108" w:type="dxa"/>
          <w:bottom w:w="0" w:type="dxa"/>
          <w:right w:w="108" w:type="dxa"/>
        </w:tblCellMar>
      </w:tblPr>
      <w:tblGrid>
        <w:gridCol w:w="2247"/>
        <w:gridCol w:w="3434"/>
        <w:gridCol w:w="1556"/>
        <w:gridCol w:w="1013"/>
        <w:gridCol w:w="1013"/>
        <w:gridCol w:w="1556"/>
        <w:gridCol w:w="1013"/>
        <w:gridCol w:w="2033"/>
      </w:tblGrid>
      <w:tr>
        <w:tblPrEx>
          <w:tblCellMar>
            <w:top w:w="0" w:type="dxa"/>
            <w:left w:w="108" w:type="dxa"/>
            <w:bottom w:w="0" w:type="dxa"/>
            <w:right w:w="108" w:type="dxa"/>
          </w:tblCellMar>
        </w:tblPrEx>
        <w:trPr>
          <w:trHeight w:val="595" w:hRule="atLeast"/>
          <w:jc w:val="center"/>
        </w:trPr>
        <w:tc>
          <w:tcPr>
            <w:tcW w:w="2048"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561"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365"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365"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561"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365"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733"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tblPrEx>
          <w:tblCellMar>
            <w:top w:w="0" w:type="dxa"/>
            <w:left w:w="108" w:type="dxa"/>
            <w:bottom w:w="0" w:type="dxa"/>
            <w:right w:w="108" w:type="dxa"/>
          </w:tblCellMar>
        </w:tblPrEx>
        <w:trPr>
          <w:trHeight w:val="312" w:hRule="exact"/>
          <w:jc w:val="center"/>
        </w:trPr>
        <w:tc>
          <w:tcPr>
            <w:tcW w:w="81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1238" w:type="pct"/>
            <w:vMerge w:val="restart"/>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561"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365"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365"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561"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365"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733"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r>
      <w:tr>
        <w:tblPrEx>
          <w:tblCellMar>
            <w:top w:w="0" w:type="dxa"/>
            <w:left w:w="108" w:type="dxa"/>
            <w:bottom w:w="0" w:type="dxa"/>
            <w:right w:w="108" w:type="dxa"/>
          </w:tblCellMar>
        </w:tblPrEx>
        <w:trPr>
          <w:trHeight w:val="312" w:hRule="atLeast"/>
          <w:jc w:val="center"/>
        </w:trPr>
        <w:tc>
          <w:tcPr>
            <w:tcW w:w="81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1238" w:type="pct"/>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561"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365"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365"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561"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365"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733"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2048"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561"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365"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365"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561"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365"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733"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tblPrEx>
          <w:tblCellMar>
            <w:top w:w="0" w:type="dxa"/>
            <w:left w:w="108" w:type="dxa"/>
            <w:bottom w:w="0" w:type="dxa"/>
            <w:right w:w="108" w:type="dxa"/>
          </w:tblCellMar>
        </w:tblPrEx>
        <w:trPr>
          <w:trHeight w:val="595" w:hRule="atLeast"/>
          <w:jc w:val="center"/>
        </w:trPr>
        <w:tc>
          <w:tcPr>
            <w:tcW w:w="2048"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561"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1370.79</w:t>
            </w:r>
            <w:r>
              <w:rPr>
                <w:rFonts w:ascii="Times New Roman" w:hAnsi="Times New Roman" w:eastAsia="仿宋_GB2312" w:cs="Times New Roman"/>
                <w:kern w:val="0"/>
                <w:sz w:val="24"/>
                <w:szCs w:val="24"/>
              </w:rPr>
              <w:t>　</w:t>
            </w:r>
          </w:p>
        </w:tc>
        <w:tc>
          <w:tcPr>
            <w:tcW w:w="36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1275.11</w:t>
            </w:r>
            <w:r>
              <w:rPr>
                <w:rFonts w:ascii="Times New Roman" w:hAnsi="Times New Roman" w:eastAsia="仿宋_GB2312" w:cs="Times New Roman"/>
                <w:kern w:val="0"/>
                <w:sz w:val="24"/>
                <w:szCs w:val="24"/>
              </w:rPr>
              <w:t>　</w:t>
            </w:r>
          </w:p>
        </w:tc>
        <w:tc>
          <w:tcPr>
            <w:tcW w:w="36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95.68</w:t>
            </w:r>
            <w:r>
              <w:rPr>
                <w:rFonts w:ascii="Times New Roman" w:hAnsi="Times New Roman" w:eastAsia="仿宋_GB2312" w:cs="Times New Roman"/>
                <w:kern w:val="0"/>
                <w:sz w:val="24"/>
                <w:szCs w:val="24"/>
              </w:rPr>
              <w:t>　</w:t>
            </w:r>
          </w:p>
        </w:tc>
        <w:tc>
          <w:tcPr>
            <w:tcW w:w="561"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6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733"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810"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hint="default" w:asciiTheme="minorHAnsi" w:hAnsiTheme="minorHAnsi" w:eastAsiaTheme="minorEastAsia" w:cstheme="minorBidi"/>
                <w:kern w:val="2"/>
                <w:sz w:val="21"/>
                <w:szCs w:val="22"/>
                <w:lang w:val="en-US" w:eastAsia="zh-CN" w:bidi="ar-SA"/>
              </w:rPr>
            </w:pPr>
            <w:r>
              <w:rPr>
                <w:rFonts w:hint="eastAsia" w:cstheme="minorBidi"/>
                <w:kern w:val="2"/>
                <w:sz w:val="21"/>
                <w:szCs w:val="22"/>
                <w:lang w:val="en-US" w:eastAsia="zh-CN" w:bidi="ar-SA"/>
              </w:rPr>
              <w:t>205</w:t>
            </w:r>
          </w:p>
        </w:tc>
        <w:tc>
          <w:tcPr>
            <w:tcW w:w="1238" w:type="pct"/>
            <w:tcBorders>
              <w:top w:val="nil"/>
              <w:left w:val="nil"/>
              <w:bottom w:val="single" w:color="auto" w:sz="4" w:space="0"/>
              <w:right w:val="single" w:color="auto" w:sz="4" w:space="0"/>
            </w:tcBorders>
            <w:shd w:val="clear" w:color="000000" w:fill="FFFFFF"/>
            <w:noWrap/>
            <w:vAlign w:val="center"/>
          </w:tcPr>
          <w:p>
            <w:pPr>
              <w:rPr>
                <w:rFonts w:hint="default" w:asciiTheme="minorHAnsi" w:hAnsiTheme="minorHAnsi" w:eastAsiaTheme="minorEastAsia" w:cstheme="minorBidi"/>
                <w:kern w:val="2"/>
                <w:sz w:val="21"/>
                <w:szCs w:val="22"/>
                <w:lang w:val="en-US" w:eastAsia="zh-CN" w:bidi="ar-SA"/>
              </w:rPr>
            </w:pPr>
            <w:r>
              <w:rPr>
                <w:rFonts w:hint="default" w:asciiTheme="minorHAnsi" w:hAnsiTheme="minorHAnsi" w:eastAsiaTheme="minorEastAsia" w:cstheme="minorBidi"/>
                <w:kern w:val="2"/>
                <w:sz w:val="21"/>
                <w:szCs w:val="22"/>
                <w:lang w:val="en-US" w:eastAsia="zh-CN" w:bidi="ar-SA"/>
              </w:rPr>
              <w:t>教育支出</w:t>
            </w:r>
          </w:p>
        </w:tc>
        <w:tc>
          <w:tcPr>
            <w:tcW w:w="561"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4.95</w:t>
            </w:r>
            <w:r>
              <w:rPr>
                <w:rFonts w:ascii="Times New Roman" w:hAnsi="Times New Roman" w:eastAsia="仿宋_GB2312" w:cs="Times New Roman"/>
              </w:rPr>
              <w:t>　</w:t>
            </w:r>
          </w:p>
        </w:tc>
        <w:tc>
          <w:tcPr>
            <w:tcW w:w="365"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4.95</w:t>
            </w:r>
            <w:r>
              <w:rPr>
                <w:rFonts w:ascii="Times New Roman" w:hAnsi="Times New Roman" w:eastAsia="仿宋_GB2312" w:cs="Times New Roman"/>
              </w:rPr>
              <w:t>　</w:t>
            </w:r>
          </w:p>
        </w:tc>
        <w:tc>
          <w:tcPr>
            <w:tcW w:w="36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61"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6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733"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810"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hint="default" w:asciiTheme="minorHAnsi" w:hAnsiTheme="minorHAnsi" w:eastAsiaTheme="minorEastAsia" w:cstheme="minorBidi"/>
                <w:kern w:val="2"/>
                <w:sz w:val="21"/>
                <w:szCs w:val="22"/>
                <w:lang w:val="en-US" w:eastAsia="zh-CN" w:bidi="ar-SA"/>
              </w:rPr>
            </w:pPr>
            <w:r>
              <w:rPr>
                <w:rFonts w:hint="eastAsia" w:cstheme="minorBidi"/>
                <w:kern w:val="2"/>
                <w:sz w:val="21"/>
                <w:szCs w:val="22"/>
                <w:lang w:val="en-US" w:eastAsia="zh-CN" w:bidi="ar-SA"/>
              </w:rPr>
              <w:t>20501</w:t>
            </w:r>
          </w:p>
        </w:tc>
        <w:tc>
          <w:tcPr>
            <w:tcW w:w="1238" w:type="pct"/>
            <w:tcBorders>
              <w:top w:val="nil"/>
              <w:left w:val="nil"/>
              <w:bottom w:val="single" w:color="auto" w:sz="4" w:space="0"/>
              <w:right w:val="single" w:color="auto" w:sz="4" w:space="0"/>
            </w:tcBorders>
            <w:shd w:val="clear" w:color="000000" w:fill="FFFFFF"/>
            <w:noWrap/>
            <w:vAlign w:val="center"/>
          </w:tcPr>
          <w:p>
            <w:pPr>
              <w:rPr>
                <w:rFonts w:hint="default" w:asciiTheme="minorHAnsi" w:hAnsiTheme="minorHAnsi" w:eastAsiaTheme="minorEastAsia" w:cstheme="minorBidi"/>
                <w:kern w:val="2"/>
                <w:sz w:val="21"/>
                <w:szCs w:val="22"/>
                <w:lang w:val="en-US" w:eastAsia="zh-CN" w:bidi="ar-SA"/>
              </w:rPr>
            </w:pPr>
            <w:r>
              <w:rPr>
                <w:rFonts w:hint="eastAsia" w:cstheme="minorBidi"/>
                <w:kern w:val="2"/>
                <w:sz w:val="21"/>
                <w:szCs w:val="22"/>
                <w:lang w:val="en-US" w:eastAsia="zh-CN" w:bidi="ar-SA"/>
              </w:rPr>
              <w:t>教育管理事务</w:t>
            </w:r>
          </w:p>
        </w:tc>
        <w:tc>
          <w:tcPr>
            <w:tcW w:w="561"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4.95</w:t>
            </w:r>
          </w:p>
        </w:tc>
        <w:tc>
          <w:tcPr>
            <w:tcW w:w="365"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4.95</w:t>
            </w:r>
          </w:p>
        </w:tc>
        <w:tc>
          <w:tcPr>
            <w:tcW w:w="36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61"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6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733"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810"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hint="eastAsia" w:asciiTheme="minorHAnsi" w:hAnsiTheme="minorHAnsi" w:eastAsiaTheme="minorEastAsia" w:cstheme="minorBidi"/>
                <w:kern w:val="2"/>
                <w:sz w:val="21"/>
                <w:szCs w:val="22"/>
                <w:lang w:val="en-US" w:eastAsia="zh-CN" w:bidi="ar-SA"/>
              </w:rPr>
            </w:pPr>
            <w:r>
              <w:rPr>
                <w:rFonts w:hint="eastAsia"/>
                <w:lang w:val="en-US" w:eastAsia="zh-CN"/>
              </w:rPr>
              <w:t>2050101</w:t>
            </w:r>
          </w:p>
        </w:tc>
        <w:tc>
          <w:tcPr>
            <w:tcW w:w="1238" w:type="pct"/>
            <w:tcBorders>
              <w:top w:val="nil"/>
              <w:left w:val="nil"/>
              <w:bottom w:val="single" w:color="auto" w:sz="4" w:space="0"/>
              <w:right w:val="single" w:color="auto" w:sz="4" w:space="0"/>
            </w:tcBorders>
            <w:shd w:val="clear" w:color="000000" w:fill="FFFFFF"/>
            <w:noWrap/>
            <w:vAlign w:val="center"/>
          </w:tcPr>
          <w:p>
            <w:pPr>
              <w:rPr>
                <w:rFonts w:hint="eastAsia" w:asciiTheme="minorHAnsi" w:hAnsiTheme="minorHAnsi" w:eastAsiaTheme="minorEastAsia" w:cstheme="minorBidi"/>
                <w:kern w:val="2"/>
                <w:sz w:val="21"/>
                <w:szCs w:val="22"/>
                <w:lang w:val="en-US" w:eastAsia="zh-CN" w:bidi="ar-SA"/>
              </w:rPr>
            </w:pPr>
            <w:r>
              <w:rPr>
                <w:rFonts w:hint="eastAsia"/>
                <w:lang w:val="en-US" w:eastAsia="zh-CN"/>
              </w:rPr>
              <w:t>行政运行</w:t>
            </w:r>
          </w:p>
        </w:tc>
        <w:tc>
          <w:tcPr>
            <w:tcW w:w="561" w:type="pct"/>
            <w:tcBorders>
              <w:top w:val="nil"/>
              <w:left w:val="nil"/>
              <w:bottom w:val="single" w:color="auto" w:sz="4" w:space="0"/>
              <w:right w:val="single" w:color="auto" w:sz="4" w:space="0"/>
            </w:tcBorders>
            <w:shd w:val="clear" w:color="auto" w:fill="auto"/>
            <w:noWrap/>
            <w:vAlign w:val="center"/>
          </w:tcPr>
          <w:p>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4.95</w:t>
            </w:r>
          </w:p>
        </w:tc>
        <w:tc>
          <w:tcPr>
            <w:tcW w:w="365" w:type="pct"/>
            <w:tcBorders>
              <w:top w:val="nil"/>
              <w:left w:val="nil"/>
              <w:bottom w:val="single" w:color="auto" w:sz="4" w:space="0"/>
              <w:right w:val="single" w:color="auto" w:sz="4" w:space="0"/>
            </w:tcBorders>
            <w:shd w:val="clear" w:color="auto" w:fill="auto"/>
            <w:noWrap/>
            <w:vAlign w:val="center"/>
          </w:tcPr>
          <w:p>
            <w:pPr>
              <w:jc w:val="right"/>
              <w:rPr>
                <w:rFonts w:hint="default" w:asciiTheme="minorHAnsi" w:hAnsiTheme="minorHAnsi" w:eastAsiaTheme="minorEastAsia" w:cstheme="minorBidi"/>
                <w:kern w:val="2"/>
                <w:sz w:val="21"/>
                <w:szCs w:val="22"/>
                <w:lang w:val="en-US" w:eastAsia="zh-CN" w:bidi="ar-SA"/>
              </w:rPr>
            </w:pPr>
            <w:r>
              <w:rPr>
                <w:rFonts w:hint="eastAsia" w:ascii="Times New Roman" w:hAnsi="Times New Roman" w:eastAsia="仿宋_GB2312" w:cs="Times New Roman"/>
                <w:lang w:val="en-US" w:eastAsia="zh-CN"/>
              </w:rPr>
              <w:t>4.95</w:t>
            </w:r>
          </w:p>
        </w:tc>
        <w:tc>
          <w:tcPr>
            <w:tcW w:w="36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61"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6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733"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810"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hint="eastAsia" w:asciiTheme="minorHAnsi" w:hAnsiTheme="minorHAnsi" w:eastAsiaTheme="minorEastAsia" w:cstheme="minorBidi"/>
                <w:kern w:val="2"/>
                <w:sz w:val="21"/>
                <w:szCs w:val="22"/>
                <w:lang w:val="en-US" w:eastAsia="zh-CN" w:bidi="ar-SA"/>
              </w:rPr>
            </w:pPr>
            <w:r>
              <w:rPr>
                <w:rFonts w:hint="eastAsia"/>
                <w:lang w:val="en-US" w:eastAsia="zh-CN"/>
              </w:rPr>
              <w:t>208</w:t>
            </w:r>
          </w:p>
        </w:tc>
        <w:tc>
          <w:tcPr>
            <w:tcW w:w="1238" w:type="pct"/>
            <w:tcBorders>
              <w:top w:val="nil"/>
              <w:left w:val="nil"/>
              <w:bottom w:val="single" w:color="auto" w:sz="4" w:space="0"/>
              <w:right w:val="single" w:color="auto" w:sz="4" w:space="0"/>
            </w:tcBorders>
            <w:shd w:val="clear" w:color="000000" w:fill="FFFFFF"/>
            <w:noWrap/>
            <w:vAlign w:val="center"/>
          </w:tcPr>
          <w:p>
            <w:pPr>
              <w:rPr>
                <w:rFonts w:hint="eastAsia" w:asciiTheme="minorHAnsi" w:hAnsiTheme="minorHAnsi" w:eastAsiaTheme="minorEastAsia" w:cstheme="minorBidi"/>
                <w:kern w:val="2"/>
                <w:sz w:val="21"/>
                <w:szCs w:val="22"/>
                <w:lang w:val="en-US" w:eastAsia="zh-CN" w:bidi="ar-SA"/>
              </w:rPr>
            </w:pPr>
            <w:r>
              <w:rPr>
                <w:rFonts w:hint="eastAsia"/>
                <w:lang w:val="en-US" w:eastAsia="zh-CN"/>
              </w:rPr>
              <w:t>社会保障和就业支出</w:t>
            </w:r>
          </w:p>
        </w:tc>
        <w:tc>
          <w:tcPr>
            <w:tcW w:w="561" w:type="pct"/>
            <w:tcBorders>
              <w:top w:val="nil"/>
              <w:left w:val="nil"/>
              <w:bottom w:val="single" w:color="auto" w:sz="4" w:space="0"/>
              <w:right w:val="single" w:color="auto" w:sz="4" w:space="0"/>
            </w:tcBorders>
            <w:shd w:val="clear" w:color="auto" w:fill="auto"/>
            <w:noWrap/>
            <w:vAlign w:val="center"/>
          </w:tcPr>
          <w:p>
            <w:pPr>
              <w:jc w:val="right"/>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50.99</w:t>
            </w:r>
          </w:p>
        </w:tc>
        <w:tc>
          <w:tcPr>
            <w:tcW w:w="365" w:type="pct"/>
            <w:tcBorders>
              <w:top w:val="nil"/>
              <w:left w:val="nil"/>
              <w:bottom w:val="single" w:color="auto" w:sz="4" w:space="0"/>
              <w:right w:val="single" w:color="auto" w:sz="4" w:space="0"/>
            </w:tcBorders>
            <w:shd w:val="clear" w:color="auto" w:fill="auto"/>
            <w:noWrap/>
            <w:vAlign w:val="center"/>
          </w:tcPr>
          <w:p>
            <w:pPr>
              <w:jc w:val="right"/>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50.99</w:t>
            </w:r>
          </w:p>
        </w:tc>
        <w:tc>
          <w:tcPr>
            <w:tcW w:w="36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61"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6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733"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810"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hint="default" w:asciiTheme="minorHAnsi" w:hAnsiTheme="minorHAnsi" w:eastAsiaTheme="minorEastAsia" w:cstheme="minorBidi"/>
                <w:kern w:val="2"/>
                <w:sz w:val="21"/>
                <w:szCs w:val="22"/>
                <w:lang w:val="en-US" w:eastAsia="zh-CN" w:bidi="ar-SA"/>
              </w:rPr>
            </w:pPr>
            <w:r>
              <w:rPr>
                <w:rFonts w:hint="eastAsia"/>
                <w:lang w:val="en-US" w:eastAsia="zh-CN"/>
              </w:rPr>
              <w:t>20805</w:t>
            </w:r>
          </w:p>
        </w:tc>
        <w:tc>
          <w:tcPr>
            <w:tcW w:w="1238" w:type="pct"/>
            <w:tcBorders>
              <w:top w:val="nil"/>
              <w:left w:val="nil"/>
              <w:bottom w:val="single" w:color="auto" w:sz="4" w:space="0"/>
              <w:right w:val="single" w:color="auto" w:sz="4" w:space="0"/>
            </w:tcBorders>
            <w:shd w:val="clear" w:color="000000" w:fill="FFFFFF"/>
            <w:noWrap/>
            <w:vAlign w:val="center"/>
          </w:tcPr>
          <w:p>
            <w:pPr>
              <w:rPr>
                <w:rFonts w:hint="default" w:asciiTheme="minorHAnsi" w:hAnsiTheme="minorHAnsi" w:eastAsiaTheme="minorEastAsia" w:cstheme="minorBidi"/>
                <w:kern w:val="2"/>
                <w:sz w:val="21"/>
                <w:szCs w:val="22"/>
                <w:lang w:val="en-US" w:eastAsia="zh-CN" w:bidi="ar-SA"/>
              </w:rPr>
            </w:pPr>
            <w:r>
              <w:rPr>
                <w:rFonts w:hint="eastAsia"/>
                <w:lang w:val="en-US" w:eastAsia="zh-CN"/>
              </w:rPr>
              <w:t>行政事业单位养老支出</w:t>
            </w:r>
          </w:p>
        </w:tc>
        <w:tc>
          <w:tcPr>
            <w:tcW w:w="561"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50.99</w:t>
            </w:r>
            <w:r>
              <w:rPr>
                <w:rFonts w:ascii="Times New Roman" w:hAnsi="Times New Roman" w:eastAsia="仿宋_GB2312" w:cs="Times New Roman"/>
              </w:rPr>
              <w:t>　</w:t>
            </w:r>
          </w:p>
        </w:tc>
        <w:tc>
          <w:tcPr>
            <w:tcW w:w="365"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50.99</w:t>
            </w:r>
            <w:r>
              <w:rPr>
                <w:rFonts w:ascii="Times New Roman" w:hAnsi="Times New Roman" w:eastAsia="仿宋_GB2312" w:cs="Times New Roman"/>
              </w:rPr>
              <w:t>　</w:t>
            </w:r>
          </w:p>
        </w:tc>
        <w:tc>
          <w:tcPr>
            <w:tcW w:w="36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61"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6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733"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810"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hint="default" w:asciiTheme="minorHAnsi" w:hAnsiTheme="minorHAnsi" w:eastAsiaTheme="minorEastAsia" w:cstheme="minorBidi"/>
                <w:kern w:val="2"/>
                <w:sz w:val="21"/>
                <w:szCs w:val="22"/>
                <w:lang w:val="en-US" w:eastAsia="zh-CN" w:bidi="ar-SA"/>
              </w:rPr>
            </w:pPr>
            <w:r>
              <w:rPr>
                <w:rFonts w:hint="eastAsia"/>
                <w:lang w:val="en-US" w:eastAsia="zh-CN"/>
              </w:rPr>
              <w:t>2080505</w:t>
            </w:r>
          </w:p>
        </w:tc>
        <w:tc>
          <w:tcPr>
            <w:tcW w:w="1238" w:type="pct"/>
            <w:tcBorders>
              <w:top w:val="nil"/>
              <w:left w:val="nil"/>
              <w:bottom w:val="single" w:color="auto" w:sz="4" w:space="0"/>
              <w:right w:val="single" w:color="auto" w:sz="4" w:space="0"/>
            </w:tcBorders>
            <w:shd w:val="clear" w:color="000000" w:fill="FFFFFF"/>
            <w:noWrap/>
            <w:vAlign w:val="center"/>
          </w:tcPr>
          <w:p>
            <w:pPr>
              <w:rPr>
                <w:rFonts w:hint="eastAsia" w:asciiTheme="minorHAnsi" w:hAnsiTheme="minorHAnsi" w:eastAsiaTheme="minorEastAsia" w:cstheme="minorBidi"/>
                <w:kern w:val="2"/>
                <w:sz w:val="21"/>
                <w:szCs w:val="22"/>
                <w:lang w:val="en-US" w:eastAsia="zh-CN" w:bidi="ar-SA"/>
              </w:rPr>
            </w:pPr>
            <w:r>
              <w:rPr>
                <w:rFonts w:hint="eastAsia"/>
                <w:lang w:val="en-US" w:eastAsia="zh-CN"/>
              </w:rPr>
              <w:t>机关事业单位基本养老保险缴费支出</w:t>
            </w:r>
          </w:p>
        </w:tc>
        <w:tc>
          <w:tcPr>
            <w:tcW w:w="561"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50.99</w:t>
            </w:r>
            <w:r>
              <w:rPr>
                <w:rFonts w:ascii="Times New Roman" w:hAnsi="Times New Roman" w:eastAsia="仿宋_GB2312" w:cs="Times New Roman"/>
              </w:rPr>
              <w:t>　</w:t>
            </w:r>
          </w:p>
        </w:tc>
        <w:tc>
          <w:tcPr>
            <w:tcW w:w="365"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50.99</w:t>
            </w:r>
            <w:r>
              <w:rPr>
                <w:rFonts w:ascii="Times New Roman" w:hAnsi="Times New Roman" w:eastAsia="仿宋_GB2312" w:cs="Times New Roman"/>
              </w:rPr>
              <w:t>　</w:t>
            </w:r>
          </w:p>
        </w:tc>
        <w:tc>
          <w:tcPr>
            <w:tcW w:w="36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61"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6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733"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810"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hint="eastAsia" w:asciiTheme="minorHAnsi" w:hAnsiTheme="minorHAnsi" w:eastAsiaTheme="minorEastAsia" w:cstheme="minorBidi"/>
                <w:kern w:val="2"/>
                <w:sz w:val="21"/>
                <w:szCs w:val="22"/>
                <w:lang w:val="en-US" w:eastAsia="zh-CN" w:bidi="ar-SA"/>
              </w:rPr>
            </w:pPr>
            <w:r>
              <w:rPr>
                <w:rFonts w:hint="eastAsia"/>
                <w:lang w:val="en-US" w:eastAsia="zh-CN"/>
              </w:rPr>
              <w:t>210</w:t>
            </w:r>
          </w:p>
        </w:tc>
        <w:tc>
          <w:tcPr>
            <w:tcW w:w="1238"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hint="eastAsia" w:asciiTheme="minorHAnsi" w:hAnsiTheme="minorHAnsi" w:eastAsiaTheme="minorEastAsia" w:cstheme="minorBidi"/>
                <w:kern w:val="2"/>
                <w:sz w:val="21"/>
                <w:szCs w:val="22"/>
                <w:lang w:val="en-US" w:eastAsia="zh-CN" w:bidi="ar-SA"/>
              </w:rPr>
            </w:pPr>
            <w:r>
              <w:rPr>
                <w:rFonts w:hint="eastAsia"/>
                <w:lang w:val="en-US" w:eastAsia="zh-CN"/>
              </w:rPr>
              <w:t>卫生健康支出</w:t>
            </w:r>
          </w:p>
        </w:tc>
        <w:tc>
          <w:tcPr>
            <w:tcW w:w="561"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1314.85</w:t>
            </w:r>
            <w:r>
              <w:rPr>
                <w:rFonts w:ascii="Times New Roman" w:hAnsi="Times New Roman" w:eastAsia="仿宋_GB2312" w:cs="Times New Roman"/>
              </w:rPr>
              <w:t>　</w:t>
            </w:r>
          </w:p>
        </w:tc>
        <w:tc>
          <w:tcPr>
            <w:tcW w:w="365"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1219.17</w:t>
            </w:r>
            <w:r>
              <w:rPr>
                <w:rFonts w:ascii="Times New Roman" w:hAnsi="Times New Roman" w:eastAsia="仿宋_GB2312" w:cs="Times New Roman"/>
              </w:rPr>
              <w:t>　</w:t>
            </w:r>
          </w:p>
        </w:tc>
        <w:tc>
          <w:tcPr>
            <w:tcW w:w="365"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95.68</w:t>
            </w:r>
          </w:p>
        </w:tc>
        <w:tc>
          <w:tcPr>
            <w:tcW w:w="561"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365"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733"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810"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hint="eastAsia" w:asciiTheme="minorHAnsi" w:hAnsiTheme="minorHAnsi" w:eastAsiaTheme="minorEastAsia" w:cstheme="minorBidi"/>
                <w:kern w:val="2"/>
                <w:sz w:val="21"/>
                <w:szCs w:val="22"/>
                <w:lang w:val="en-US" w:eastAsia="zh-CN" w:bidi="ar-SA"/>
              </w:rPr>
            </w:pPr>
            <w:r>
              <w:rPr>
                <w:rFonts w:hint="eastAsia"/>
                <w:lang w:val="en-US" w:eastAsia="zh-CN"/>
              </w:rPr>
              <w:t>21011</w:t>
            </w:r>
          </w:p>
        </w:tc>
        <w:tc>
          <w:tcPr>
            <w:tcW w:w="1238"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hint="eastAsia" w:asciiTheme="minorHAnsi" w:hAnsiTheme="minorHAnsi" w:eastAsiaTheme="minorEastAsia" w:cstheme="minorBidi"/>
                <w:kern w:val="2"/>
                <w:sz w:val="21"/>
                <w:szCs w:val="22"/>
                <w:lang w:val="en-US" w:eastAsia="zh-CN" w:bidi="ar-SA"/>
              </w:rPr>
            </w:pPr>
            <w:r>
              <w:rPr>
                <w:rFonts w:hint="eastAsia"/>
                <w:lang w:val="en-US" w:eastAsia="zh-CN"/>
              </w:rPr>
              <w:t>行政事业单位医疗</w:t>
            </w:r>
          </w:p>
        </w:tc>
        <w:tc>
          <w:tcPr>
            <w:tcW w:w="561"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27.55</w:t>
            </w:r>
            <w:r>
              <w:rPr>
                <w:rFonts w:ascii="Times New Roman" w:hAnsi="Times New Roman" w:eastAsia="仿宋_GB2312" w:cs="Times New Roman"/>
              </w:rPr>
              <w:t>　</w:t>
            </w:r>
          </w:p>
        </w:tc>
        <w:tc>
          <w:tcPr>
            <w:tcW w:w="365"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27.55</w:t>
            </w:r>
            <w:r>
              <w:rPr>
                <w:rFonts w:ascii="Times New Roman" w:hAnsi="Times New Roman" w:eastAsia="仿宋_GB2312" w:cs="Times New Roman"/>
              </w:rPr>
              <w:t>　</w:t>
            </w:r>
          </w:p>
        </w:tc>
        <w:tc>
          <w:tcPr>
            <w:tcW w:w="365"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561"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365"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733"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810"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hint="eastAsia" w:ascii="宋体" w:hAnsi="宋体" w:cs="宋体" w:eastAsiaTheme="minorEastAsia"/>
                <w:kern w:val="2"/>
                <w:sz w:val="24"/>
                <w:szCs w:val="24"/>
                <w:lang w:val="en-US" w:eastAsia="zh-CN" w:bidi="ar-SA"/>
              </w:rPr>
            </w:pPr>
            <w:r>
              <w:rPr>
                <w:rFonts w:hint="eastAsia"/>
                <w:lang w:val="en-US" w:eastAsia="zh-CN"/>
              </w:rPr>
              <w:t>2101101</w:t>
            </w:r>
          </w:p>
        </w:tc>
        <w:tc>
          <w:tcPr>
            <w:tcW w:w="1238"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hint="eastAsia" w:ascii="宋体" w:hAnsi="宋体" w:cs="宋体" w:eastAsiaTheme="minorEastAsia"/>
                <w:kern w:val="2"/>
                <w:sz w:val="24"/>
                <w:szCs w:val="24"/>
                <w:lang w:val="en-US" w:eastAsia="zh-CN" w:bidi="ar-SA"/>
              </w:rPr>
            </w:pPr>
            <w:r>
              <w:rPr>
                <w:rFonts w:hint="eastAsia"/>
                <w:lang w:val="en-US" w:eastAsia="zh-CN"/>
              </w:rPr>
              <w:t>行政单位医疗</w:t>
            </w:r>
          </w:p>
        </w:tc>
        <w:tc>
          <w:tcPr>
            <w:tcW w:w="561"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27.55</w:t>
            </w:r>
            <w:r>
              <w:rPr>
                <w:rFonts w:ascii="Times New Roman" w:hAnsi="Times New Roman" w:eastAsia="仿宋_GB2312" w:cs="Times New Roman"/>
              </w:rPr>
              <w:t>　</w:t>
            </w:r>
          </w:p>
        </w:tc>
        <w:tc>
          <w:tcPr>
            <w:tcW w:w="365"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27.55</w:t>
            </w:r>
            <w:r>
              <w:rPr>
                <w:rFonts w:ascii="Times New Roman" w:hAnsi="Times New Roman" w:eastAsia="仿宋_GB2312" w:cs="Times New Roman"/>
              </w:rPr>
              <w:t>　</w:t>
            </w:r>
          </w:p>
        </w:tc>
        <w:tc>
          <w:tcPr>
            <w:tcW w:w="365"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561"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365"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733"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810"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hint="eastAsia" w:asciiTheme="minorHAnsi" w:hAnsiTheme="minorHAnsi" w:eastAsiaTheme="minorEastAsia" w:cstheme="minorBidi"/>
                <w:kern w:val="2"/>
                <w:sz w:val="21"/>
                <w:szCs w:val="22"/>
                <w:lang w:val="en-US" w:eastAsia="zh-CN" w:bidi="ar-SA"/>
              </w:rPr>
            </w:pPr>
            <w:r>
              <w:rPr>
                <w:rFonts w:hint="eastAsia"/>
                <w:lang w:val="en-US" w:eastAsia="zh-CN"/>
              </w:rPr>
              <w:t>21013</w:t>
            </w:r>
          </w:p>
        </w:tc>
        <w:tc>
          <w:tcPr>
            <w:tcW w:w="1238"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hint="eastAsia" w:asciiTheme="minorHAnsi" w:hAnsiTheme="minorHAnsi" w:eastAsiaTheme="minorEastAsia" w:cstheme="minorBidi"/>
                <w:kern w:val="2"/>
                <w:sz w:val="21"/>
                <w:szCs w:val="22"/>
                <w:lang w:val="en-US" w:eastAsia="zh-CN" w:bidi="ar-SA"/>
              </w:rPr>
            </w:pPr>
            <w:r>
              <w:rPr>
                <w:rFonts w:hint="eastAsia"/>
                <w:lang w:val="en-US" w:eastAsia="zh-CN"/>
              </w:rPr>
              <w:t>医疗救助</w:t>
            </w:r>
          </w:p>
        </w:tc>
        <w:tc>
          <w:tcPr>
            <w:tcW w:w="561"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7.42</w:t>
            </w:r>
          </w:p>
        </w:tc>
        <w:tc>
          <w:tcPr>
            <w:tcW w:w="365"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7.42</w:t>
            </w:r>
          </w:p>
        </w:tc>
        <w:tc>
          <w:tcPr>
            <w:tcW w:w="365"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561"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365"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733"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810"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hint="eastAsia" w:asciiTheme="minorHAnsi" w:hAnsiTheme="minorHAnsi" w:eastAsiaTheme="minorEastAsia" w:cstheme="minorBidi"/>
                <w:kern w:val="2"/>
                <w:sz w:val="21"/>
                <w:szCs w:val="22"/>
                <w:lang w:val="en-US" w:eastAsia="zh-CN" w:bidi="ar-SA"/>
              </w:rPr>
            </w:pPr>
            <w:r>
              <w:rPr>
                <w:rFonts w:hint="eastAsia"/>
                <w:lang w:val="en-US" w:eastAsia="zh-CN"/>
              </w:rPr>
              <w:t>2101399</w:t>
            </w:r>
          </w:p>
        </w:tc>
        <w:tc>
          <w:tcPr>
            <w:tcW w:w="1238"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hint="eastAsia" w:asciiTheme="minorHAnsi" w:hAnsiTheme="minorHAnsi" w:eastAsiaTheme="minorEastAsia" w:cstheme="minorBidi"/>
                <w:kern w:val="2"/>
                <w:sz w:val="21"/>
                <w:szCs w:val="22"/>
                <w:lang w:val="en-US" w:eastAsia="zh-CN" w:bidi="ar-SA"/>
              </w:rPr>
            </w:pPr>
            <w:r>
              <w:rPr>
                <w:rFonts w:hint="eastAsia"/>
                <w:lang w:val="en-US" w:eastAsia="zh-CN"/>
              </w:rPr>
              <w:t>其他医疗救助支出</w:t>
            </w:r>
          </w:p>
        </w:tc>
        <w:tc>
          <w:tcPr>
            <w:tcW w:w="561"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7.42</w:t>
            </w:r>
          </w:p>
        </w:tc>
        <w:tc>
          <w:tcPr>
            <w:tcW w:w="365"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7.42</w:t>
            </w:r>
          </w:p>
        </w:tc>
        <w:tc>
          <w:tcPr>
            <w:tcW w:w="365"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561"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365"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733"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810"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hint="eastAsia" w:asciiTheme="minorHAnsi" w:hAnsiTheme="minorHAnsi" w:eastAsiaTheme="minorEastAsia" w:cstheme="minorBidi"/>
                <w:kern w:val="2"/>
                <w:sz w:val="21"/>
                <w:szCs w:val="22"/>
                <w:lang w:val="en-US" w:eastAsia="zh-CN" w:bidi="ar-SA"/>
              </w:rPr>
            </w:pPr>
            <w:r>
              <w:rPr>
                <w:rFonts w:hint="eastAsia"/>
                <w:lang w:val="en-US" w:eastAsia="zh-CN"/>
              </w:rPr>
              <w:t>21015</w:t>
            </w:r>
          </w:p>
        </w:tc>
        <w:tc>
          <w:tcPr>
            <w:tcW w:w="1238"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hint="eastAsia" w:asciiTheme="minorHAnsi" w:hAnsiTheme="minorHAnsi" w:eastAsiaTheme="minorEastAsia" w:cstheme="minorBidi"/>
                <w:kern w:val="2"/>
                <w:sz w:val="21"/>
                <w:szCs w:val="22"/>
                <w:lang w:val="en-US" w:eastAsia="zh-CN" w:bidi="ar-SA"/>
              </w:rPr>
            </w:pPr>
            <w:r>
              <w:rPr>
                <w:rFonts w:hint="eastAsia"/>
                <w:lang w:val="en-US" w:eastAsia="zh-CN"/>
              </w:rPr>
              <w:t>医疗保障管理事务</w:t>
            </w:r>
          </w:p>
        </w:tc>
        <w:tc>
          <w:tcPr>
            <w:tcW w:w="561"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1279.88</w:t>
            </w:r>
          </w:p>
        </w:tc>
        <w:tc>
          <w:tcPr>
            <w:tcW w:w="365"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1184.2</w:t>
            </w:r>
          </w:p>
        </w:tc>
        <w:tc>
          <w:tcPr>
            <w:tcW w:w="365"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95.68</w:t>
            </w:r>
          </w:p>
        </w:tc>
        <w:tc>
          <w:tcPr>
            <w:tcW w:w="561"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365"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733"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810"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hint="eastAsia" w:asciiTheme="minorHAnsi" w:hAnsiTheme="minorHAnsi" w:eastAsiaTheme="minorEastAsia" w:cstheme="minorBidi"/>
                <w:kern w:val="2"/>
                <w:sz w:val="21"/>
                <w:szCs w:val="22"/>
                <w:lang w:val="en-US" w:eastAsia="zh-CN" w:bidi="ar-SA"/>
              </w:rPr>
            </w:pPr>
            <w:r>
              <w:rPr>
                <w:rFonts w:hint="eastAsia"/>
                <w:lang w:val="en-US" w:eastAsia="zh-CN"/>
              </w:rPr>
              <w:t>2101501</w:t>
            </w:r>
          </w:p>
        </w:tc>
        <w:tc>
          <w:tcPr>
            <w:tcW w:w="1238"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hint="eastAsia" w:asciiTheme="minorHAnsi" w:hAnsiTheme="minorHAnsi" w:eastAsiaTheme="minorEastAsia" w:cstheme="minorBidi"/>
                <w:kern w:val="2"/>
                <w:sz w:val="21"/>
                <w:szCs w:val="22"/>
                <w:lang w:val="en-US" w:eastAsia="zh-CN" w:bidi="ar-SA"/>
              </w:rPr>
            </w:pPr>
            <w:r>
              <w:rPr>
                <w:rFonts w:hint="eastAsia"/>
                <w:lang w:val="en-US" w:eastAsia="zh-CN"/>
              </w:rPr>
              <w:t>行政运行</w:t>
            </w:r>
          </w:p>
        </w:tc>
        <w:tc>
          <w:tcPr>
            <w:tcW w:w="561"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517.94</w:t>
            </w:r>
          </w:p>
        </w:tc>
        <w:tc>
          <w:tcPr>
            <w:tcW w:w="365"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517.94</w:t>
            </w:r>
          </w:p>
        </w:tc>
        <w:tc>
          <w:tcPr>
            <w:tcW w:w="365"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561"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365"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733"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810"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hint="eastAsia" w:ascii="宋体" w:hAnsi="宋体" w:cs="宋体" w:eastAsiaTheme="minorEastAsia"/>
                <w:kern w:val="2"/>
                <w:sz w:val="24"/>
                <w:szCs w:val="24"/>
                <w:lang w:val="en-US" w:eastAsia="zh-CN" w:bidi="ar-SA"/>
              </w:rPr>
            </w:pPr>
            <w:r>
              <w:rPr>
                <w:rFonts w:hint="eastAsia"/>
                <w:lang w:val="en-US" w:eastAsia="zh-CN"/>
              </w:rPr>
              <w:t>2101505</w:t>
            </w:r>
          </w:p>
        </w:tc>
        <w:tc>
          <w:tcPr>
            <w:tcW w:w="1238"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hint="eastAsia" w:ascii="宋体" w:hAnsi="宋体" w:cs="宋体" w:eastAsiaTheme="minorEastAsia"/>
                <w:kern w:val="2"/>
                <w:sz w:val="24"/>
                <w:szCs w:val="24"/>
                <w:lang w:val="en-US" w:eastAsia="zh-CN" w:bidi="ar-SA"/>
              </w:rPr>
            </w:pPr>
            <w:r>
              <w:rPr>
                <w:rFonts w:hint="eastAsia"/>
                <w:lang w:val="en-US" w:eastAsia="zh-CN"/>
              </w:rPr>
              <w:t>医疗保障政策管理</w:t>
            </w:r>
          </w:p>
        </w:tc>
        <w:tc>
          <w:tcPr>
            <w:tcW w:w="561"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65</w:t>
            </w:r>
          </w:p>
        </w:tc>
        <w:tc>
          <w:tcPr>
            <w:tcW w:w="365"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hint="eastAsia" w:ascii="Times New Roman" w:hAnsi="Times New Roman" w:eastAsia="仿宋_GB2312" w:cs="Times New Roman"/>
                <w:kern w:val="2"/>
                <w:sz w:val="21"/>
                <w:szCs w:val="22"/>
                <w:lang w:val="en-US" w:eastAsia="zh-CN" w:bidi="ar-SA"/>
              </w:rPr>
            </w:pPr>
          </w:p>
        </w:tc>
        <w:tc>
          <w:tcPr>
            <w:tcW w:w="365"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65</w:t>
            </w:r>
          </w:p>
        </w:tc>
        <w:tc>
          <w:tcPr>
            <w:tcW w:w="561"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365"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733"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810"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hint="eastAsia" w:asciiTheme="minorHAnsi" w:hAnsiTheme="minorHAnsi" w:eastAsiaTheme="minorEastAsia" w:cstheme="minorBidi"/>
                <w:kern w:val="2"/>
                <w:sz w:val="21"/>
                <w:szCs w:val="22"/>
                <w:lang w:val="en-US" w:eastAsia="zh-CN" w:bidi="ar-SA"/>
              </w:rPr>
            </w:pPr>
            <w:r>
              <w:rPr>
                <w:rFonts w:hint="eastAsia"/>
                <w:lang w:val="en-US" w:eastAsia="zh-CN"/>
              </w:rPr>
              <w:t>2101599</w:t>
            </w:r>
          </w:p>
        </w:tc>
        <w:tc>
          <w:tcPr>
            <w:tcW w:w="1238"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hint="eastAsia" w:asciiTheme="minorHAnsi" w:hAnsiTheme="minorHAnsi" w:eastAsiaTheme="minorEastAsia" w:cstheme="minorBidi"/>
                <w:kern w:val="2"/>
                <w:sz w:val="21"/>
                <w:szCs w:val="22"/>
                <w:lang w:val="en-US" w:eastAsia="zh-CN" w:bidi="ar-SA"/>
              </w:rPr>
            </w:pPr>
            <w:r>
              <w:rPr>
                <w:rFonts w:hint="eastAsia"/>
                <w:lang w:val="en-US" w:eastAsia="zh-CN"/>
              </w:rPr>
              <w:t>其他医疗保障管理事务支出</w:t>
            </w:r>
          </w:p>
        </w:tc>
        <w:tc>
          <w:tcPr>
            <w:tcW w:w="561"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696.94</w:t>
            </w:r>
          </w:p>
        </w:tc>
        <w:tc>
          <w:tcPr>
            <w:tcW w:w="365"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666.26</w:t>
            </w:r>
          </w:p>
        </w:tc>
        <w:tc>
          <w:tcPr>
            <w:tcW w:w="365"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30.68</w:t>
            </w:r>
          </w:p>
        </w:tc>
        <w:tc>
          <w:tcPr>
            <w:tcW w:w="561"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365"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733"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810"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hint="eastAsia"/>
                <w:lang w:val="en-US" w:eastAsia="zh-CN"/>
              </w:rPr>
            </w:pPr>
          </w:p>
        </w:tc>
        <w:tc>
          <w:tcPr>
            <w:tcW w:w="1238"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hint="eastAsia"/>
                <w:lang w:val="en-US" w:eastAsia="zh-CN"/>
              </w:rPr>
            </w:pPr>
          </w:p>
        </w:tc>
        <w:tc>
          <w:tcPr>
            <w:tcW w:w="561"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hint="eastAsia" w:ascii="Times New Roman" w:hAnsi="Times New Roman" w:eastAsia="仿宋_GB2312" w:cs="Times New Roman"/>
                <w:lang w:val="en-US" w:eastAsia="zh-CN"/>
              </w:rPr>
            </w:pPr>
          </w:p>
        </w:tc>
        <w:tc>
          <w:tcPr>
            <w:tcW w:w="365"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hint="eastAsia" w:ascii="Times New Roman" w:hAnsi="Times New Roman" w:eastAsia="仿宋_GB2312" w:cs="Times New Roman"/>
                <w:lang w:val="en-US" w:eastAsia="zh-CN"/>
              </w:rPr>
            </w:pPr>
          </w:p>
        </w:tc>
        <w:tc>
          <w:tcPr>
            <w:tcW w:w="365"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561"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365"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733"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bl>
    <w:p>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pPr>
        <w:widowControl/>
        <w:spacing w:line="400" w:lineRule="exact"/>
        <w:jc w:val="center"/>
        <w:textAlignment w:val="center"/>
        <w:rPr>
          <w:rFonts w:hint="eastAsia" w:ascii="Times New Roman" w:hAnsi="Times New Roman" w:eastAsia="黑体" w:cs="Times New Roman"/>
          <w:color w:val="000000"/>
          <w:kern w:val="0"/>
          <w:sz w:val="32"/>
          <w:szCs w:val="32"/>
          <w:lang w:val="en-US" w:eastAsia="zh-CN" w:bidi="ar"/>
        </w:rPr>
      </w:pPr>
      <w:r>
        <w:rPr>
          <w:rFonts w:hint="eastAsia" w:ascii="Times New Roman" w:hAnsi="Times New Roman" w:eastAsia="黑体" w:cs="Times New Roman"/>
          <w:color w:val="000000"/>
          <w:kern w:val="0"/>
          <w:sz w:val="32"/>
          <w:szCs w:val="32"/>
          <w:lang w:val="en-US" w:eastAsia="zh-CN" w:bidi="ar"/>
        </w:rPr>
        <w:t xml:space="preserve"> </w:t>
      </w:r>
    </w:p>
    <w:p>
      <w:pPr>
        <w:pStyle w:val="8"/>
        <w:rPr>
          <w:rFonts w:hint="eastAsia" w:ascii="Times New Roman" w:hAnsi="Times New Roman" w:eastAsia="黑体" w:cs="Times New Roman"/>
          <w:color w:val="000000"/>
          <w:kern w:val="0"/>
          <w:sz w:val="32"/>
          <w:szCs w:val="32"/>
          <w:lang w:val="en-US" w:eastAsia="zh-CN" w:bidi="ar"/>
        </w:rPr>
      </w:pPr>
    </w:p>
    <w:p>
      <w:pPr>
        <w:pStyle w:val="5"/>
        <w:rPr>
          <w:rFonts w:hint="eastAsia" w:ascii="Times New Roman" w:hAnsi="Times New Roman" w:eastAsia="黑体" w:cs="Times New Roman"/>
          <w:color w:val="000000"/>
          <w:kern w:val="0"/>
          <w:sz w:val="32"/>
          <w:szCs w:val="32"/>
          <w:lang w:val="en-US" w:eastAsia="zh-CN" w:bidi="ar"/>
        </w:rPr>
      </w:pPr>
    </w:p>
    <w:p>
      <w:pPr>
        <w:rPr>
          <w:rFonts w:hint="eastAsia" w:ascii="Times New Roman" w:hAnsi="Times New Roman" w:eastAsia="黑体" w:cs="Times New Roman"/>
          <w:color w:val="000000"/>
          <w:kern w:val="0"/>
          <w:sz w:val="32"/>
          <w:szCs w:val="32"/>
          <w:lang w:val="en-US" w:eastAsia="zh-CN" w:bidi="ar"/>
        </w:rPr>
      </w:pPr>
    </w:p>
    <w:p>
      <w:pPr>
        <w:pStyle w:val="8"/>
        <w:rPr>
          <w:rFonts w:hint="eastAsia" w:ascii="Times New Roman" w:hAnsi="Times New Roman" w:eastAsia="黑体" w:cs="Times New Roman"/>
          <w:color w:val="000000"/>
          <w:kern w:val="0"/>
          <w:sz w:val="32"/>
          <w:szCs w:val="32"/>
          <w:lang w:val="en-US" w:eastAsia="zh-CN" w:bidi="ar"/>
        </w:rPr>
      </w:pPr>
    </w:p>
    <w:p>
      <w:pPr>
        <w:pStyle w:val="5"/>
        <w:rPr>
          <w:rFonts w:hint="eastAsia" w:ascii="Times New Roman" w:hAnsi="Times New Roman" w:eastAsia="黑体" w:cs="Times New Roman"/>
          <w:color w:val="000000"/>
          <w:kern w:val="0"/>
          <w:sz w:val="32"/>
          <w:szCs w:val="32"/>
          <w:lang w:val="en-US" w:eastAsia="zh-CN" w:bidi="ar"/>
        </w:rPr>
      </w:pPr>
    </w:p>
    <w:p>
      <w:pPr>
        <w:rPr>
          <w:rFonts w:hint="eastAsia" w:ascii="Times New Roman" w:hAnsi="Times New Roman" w:eastAsia="黑体" w:cs="Times New Roman"/>
          <w:color w:val="000000"/>
          <w:kern w:val="0"/>
          <w:sz w:val="32"/>
          <w:szCs w:val="32"/>
          <w:lang w:val="en-US" w:eastAsia="zh-CN" w:bidi="ar"/>
        </w:rPr>
      </w:pPr>
    </w:p>
    <w:p>
      <w:pPr>
        <w:pStyle w:val="8"/>
        <w:rPr>
          <w:rFonts w:hint="eastAsia"/>
          <w:lang w:val="en-US" w:eastAsia="zh-CN"/>
        </w:rPr>
      </w:pPr>
    </w:p>
    <w:p>
      <w:pPr>
        <w:pStyle w:val="8"/>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val="en-US" w:eastAsia="zh-CN" w:bidi="ar"/>
        </w:rPr>
        <w:t>道县医疗保障局</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10"/>
        <w:tblW w:w="0" w:type="auto"/>
        <w:jc w:val="center"/>
        <w:tblLayout w:type="fixed"/>
        <w:tblCellMar>
          <w:top w:w="0" w:type="dxa"/>
          <w:left w:w="108" w:type="dxa"/>
          <w:bottom w:w="0" w:type="dxa"/>
          <w:right w:w="108" w:type="dxa"/>
        </w:tblCellMar>
      </w:tblPr>
      <w:tblGrid>
        <w:gridCol w:w="3516"/>
        <w:gridCol w:w="616"/>
        <w:gridCol w:w="993"/>
        <w:gridCol w:w="2636"/>
        <w:gridCol w:w="616"/>
        <w:gridCol w:w="1056"/>
        <w:gridCol w:w="1416"/>
        <w:gridCol w:w="1596"/>
        <w:gridCol w:w="1775"/>
      </w:tblGrid>
      <w:tr>
        <w:tblPrEx>
          <w:tblCellMar>
            <w:top w:w="0" w:type="dxa"/>
            <w:left w:w="108" w:type="dxa"/>
            <w:bottom w:w="0" w:type="dxa"/>
            <w:right w:w="108" w:type="dxa"/>
          </w:tblCellMar>
        </w:tblPrEx>
        <w:trPr>
          <w:trHeight w:val="402" w:hRule="atLeast"/>
          <w:jc w:val="center"/>
        </w:trPr>
        <w:tc>
          <w:tcPr>
            <w:tcW w:w="5125"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9095" w:type="dxa"/>
            <w:gridSpan w:val="6"/>
            <w:tcBorders>
              <w:top w:val="single" w:color="auto" w:sz="4" w:space="0"/>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tblPrEx>
          <w:tblCellMar>
            <w:top w:w="0" w:type="dxa"/>
            <w:left w:w="108" w:type="dxa"/>
            <w:bottom w:w="0" w:type="dxa"/>
            <w:right w:w="108" w:type="dxa"/>
          </w:tblCellMar>
        </w:tblPrEx>
        <w:trPr>
          <w:trHeight w:val="864"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99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263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105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41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159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1775"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9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263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05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4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159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177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99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lang w:val="en-US" w:eastAsia="zh-CN"/>
              </w:rPr>
              <w:t>1370.79</w:t>
            </w: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105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9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7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99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105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9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7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99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105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9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7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99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105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9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7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99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105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4.95</w:t>
            </w:r>
            <w:r>
              <w:rPr>
                <w:rFonts w:ascii="Times New Roman" w:hAnsi="Times New Roman" w:eastAsia="仿宋_GB2312" w:cs="Times New Roman"/>
                <w:kern w:val="0"/>
                <w:sz w:val="22"/>
              </w:rPr>
              <w:t>　</w:t>
            </w:r>
          </w:p>
        </w:tc>
        <w:tc>
          <w:tcPr>
            <w:tcW w:w="159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7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99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六、科学技术支出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105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9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7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99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0"/>
                <w:sz w:val="24"/>
                <w:szCs w:val="24"/>
                <w:lang w:bidi="ar"/>
              </w:rPr>
              <w:t>八、社会保障和就业支出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105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16" w:type="dxa"/>
            <w:tcBorders>
              <w:top w:val="nil"/>
              <w:left w:val="nil"/>
              <w:bottom w:val="single" w:color="auto" w:sz="4" w:space="0"/>
              <w:right w:val="single" w:color="auto" w:sz="4" w:space="0"/>
            </w:tcBorders>
            <w:shd w:val="clear" w:color="auto" w:fill="auto"/>
            <w:noWrap/>
            <w:vAlign w:val="center"/>
          </w:tcPr>
          <w:p>
            <w:pPr>
              <w:jc w:val="center"/>
              <w:rPr>
                <w:rFonts w:hint="default"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 xml:space="preserve"> 50.99</w:t>
            </w:r>
          </w:p>
        </w:tc>
        <w:tc>
          <w:tcPr>
            <w:tcW w:w="159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7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99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pPr>
              <w:jc w:val="left"/>
              <w:rPr>
                <w:rFonts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rPr>
              <w:t>九、卫生健康支出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105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16" w:type="dxa"/>
            <w:tcBorders>
              <w:top w:val="nil"/>
              <w:left w:val="nil"/>
              <w:bottom w:val="single" w:color="auto" w:sz="4" w:space="0"/>
              <w:right w:val="single" w:color="auto" w:sz="4" w:space="0"/>
            </w:tcBorders>
            <w:shd w:val="clear" w:color="auto" w:fill="auto"/>
            <w:noWrap/>
            <w:vAlign w:val="center"/>
          </w:tcPr>
          <w:p>
            <w:pPr>
              <w:jc w:val="center"/>
              <w:rPr>
                <w:rFonts w:hint="default"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 xml:space="preserve">  1314.85</w:t>
            </w:r>
          </w:p>
        </w:tc>
        <w:tc>
          <w:tcPr>
            <w:tcW w:w="159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7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99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lang w:val="en-US" w:eastAsia="zh-CN"/>
              </w:rPr>
              <w:t>1370.79</w:t>
            </w: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105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lang w:val="en-US" w:eastAsia="zh-CN"/>
              </w:rPr>
              <w:t>1370.79</w:t>
            </w:r>
            <w:r>
              <w:rPr>
                <w:rFonts w:ascii="Times New Roman" w:hAnsi="Times New Roman" w:eastAsia="仿宋_GB2312" w:cs="Times New Roman"/>
                <w:kern w:val="0"/>
                <w:sz w:val="22"/>
              </w:rPr>
              <w:t>　</w:t>
            </w:r>
          </w:p>
        </w:tc>
        <w:tc>
          <w:tcPr>
            <w:tcW w:w="159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7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99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105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9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7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99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105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9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7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99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105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9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7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99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105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9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7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616" w:type="dxa"/>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99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lang w:val="en-US" w:eastAsia="zh-CN"/>
              </w:rPr>
              <w:t>1370.79</w:t>
            </w: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616" w:type="dxa"/>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1056" w:type="dxa"/>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16" w:type="dxa"/>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lang w:val="en-US" w:eastAsia="zh-CN"/>
              </w:rPr>
              <w:t>1370.79</w:t>
            </w:r>
            <w:r>
              <w:rPr>
                <w:rFonts w:ascii="Times New Roman" w:hAnsi="Times New Roman" w:eastAsia="仿宋_GB2312" w:cs="Times New Roman"/>
                <w:kern w:val="0"/>
                <w:sz w:val="22"/>
              </w:rPr>
              <w:t>　</w:t>
            </w:r>
          </w:p>
        </w:tc>
        <w:tc>
          <w:tcPr>
            <w:tcW w:w="159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177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pPr>
        <w:widowControl/>
        <w:jc w:val="left"/>
        <w:rPr>
          <w:rFonts w:ascii="Times New Roman" w:hAnsi="Times New Roman" w:eastAsia="方正小标宋_GBK" w:cs="Times New Roman"/>
          <w:kern w:val="0"/>
          <w:sz w:val="36"/>
          <w:szCs w:val="36"/>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 w:val="20"/>
          <w:szCs w:val="20"/>
          <w:lang w:val="en-US" w:eastAsia="zh-CN" w:bidi="ar"/>
        </w:rPr>
        <w:t>道县医疗保障局</w:t>
      </w:r>
      <w:r>
        <w:rPr>
          <w:rFonts w:ascii="Times New Roman" w:hAnsi="Times New Roman" w:eastAsia="仿宋_GB2312" w:cs="Times New Roman"/>
          <w:color w:val="000000"/>
          <w:kern w:val="0"/>
          <w:szCs w:val="21"/>
        </w:rPr>
        <w:t xml:space="preserve">                                                                                       公开05表</w:t>
      </w:r>
    </w:p>
    <w:p>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10"/>
        <w:tblW w:w="4998" w:type="pct"/>
        <w:jc w:val="center"/>
        <w:tblLayout w:type="autofit"/>
        <w:tblCellMar>
          <w:top w:w="0" w:type="dxa"/>
          <w:left w:w="108" w:type="dxa"/>
          <w:bottom w:w="0" w:type="dxa"/>
          <w:right w:w="108" w:type="dxa"/>
        </w:tblCellMar>
      </w:tblPr>
      <w:tblGrid>
        <w:gridCol w:w="1193"/>
        <w:gridCol w:w="3748"/>
        <w:gridCol w:w="2781"/>
        <w:gridCol w:w="3489"/>
        <w:gridCol w:w="3003"/>
      </w:tblGrid>
      <w:tr>
        <w:tblPrEx>
          <w:tblCellMar>
            <w:top w:w="0" w:type="dxa"/>
            <w:left w:w="108" w:type="dxa"/>
            <w:bottom w:w="0" w:type="dxa"/>
            <w:right w:w="108" w:type="dxa"/>
          </w:tblCellMar>
        </w:tblPrEx>
        <w:trPr>
          <w:trHeight w:val="545" w:hRule="atLeast"/>
          <w:jc w:val="center"/>
        </w:trPr>
        <w:tc>
          <w:tcPr>
            <w:tcW w:w="1738" w:type="pct"/>
            <w:gridSpan w:val="2"/>
            <w:tcBorders>
              <w:top w:val="single" w:color="auto" w:sz="8"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3261" w:type="pct"/>
            <w:gridSpan w:val="3"/>
            <w:tcBorders>
              <w:top w:val="single" w:color="auto" w:sz="8" w:space="0"/>
              <w:left w:val="nil"/>
              <w:bottom w:val="single" w:color="auto" w:sz="4" w:space="0"/>
              <w:right w:val="single" w:color="000000"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tblPrEx>
          <w:tblCellMar>
            <w:top w:w="0" w:type="dxa"/>
            <w:left w:w="108" w:type="dxa"/>
            <w:bottom w:w="0" w:type="dxa"/>
            <w:right w:w="108" w:type="dxa"/>
          </w:tblCellMar>
        </w:tblPrEx>
        <w:trPr>
          <w:trHeight w:val="312" w:hRule="exact"/>
          <w:jc w:val="center"/>
        </w:trPr>
        <w:tc>
          <w:tcPr>
            <w:tcW w:w="420" w:type="pct"/>
            <w:vMerge w:val="restart"/>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1317"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978" w:type="pct"/>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1227" w:type="pct"/>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1056" w:type="pct"/>
            <w:vMerge w:val="restart"/>
            <w:tcBorders>
              <w:top w:val="nil"/>
              <w:left w:val="single" w:color="auto" w:sz="4" w:space="0"/>
              <w:bottom w:val="single" w:color="000000" w:sz="4" w:space="0"/>
              <w:right w:val="single" w:color="auto"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tblPrEx>
          <w:tblCellMar>
            <w:top w:w="0" w:type="dxa"/>
            <w:left w:w="108" w:type="dxa"/>
            <w:bottom w:w="0" w:type="dxa"/>
            <w:right w:w="108" w:type="dxa"/>
          </w:tblCellMar>
        </w:tblPrEx>
        <w:trPr>
          <w:trHeight w:val="360" w:hRule="atLeast"/>
          <w:jc w:val="center"/>
        </w:trPr>
        <w:tc>
          <w:tcPr>
            <w:tcW w:w="420" w:type="pct"/>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1317" w:type="pct"/>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978"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1227"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1056" w:type="pct"/>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312" w:hRule="atLeast"/>
          <w:jc w:val="center"/>
        </w:trPr>
        <w:tc>
          <w:tcPr>
            <w:tcW w:w="420" w:type="pct"/>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1317" w:type="pct"/>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978"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1227"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1056" w:type="pct"/>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738" w:type="pct"/>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978" w:type="pct"/>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1227" w:type="pct"/>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1056" w:type="pct"/>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tblPrEx>
          <w:tblCellMar>
            <w:top w:w="0" w:type="dxa"/>
            <w:left w:w="108" w:type="dxa"/>
            <w:bottom w:w="0" w:type="dxa"/>
            <w:right w:w="108" w:type="dxa"/>
          </w:tblCellMar>
        </w:tblPrEx>
        <w:trPr>
          <w:trHeight w:val="450" w:hRule="atLeast"/>
          <w:jc w:val="center"/>
        </w:trPr>
        <w:tc>
          <w:tcPr>
            <w:tcW w:w="1738" w:type="pct"/>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978" w:type="pct"/>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1370.79</w:t>
            </w:r>
            <w:r>
              <w:rPr>
                <w:rFonts w:ascii="Times New Roman" w:hAnsi="Times New Roman" w:eastAsia="仿宋_GB2312" w:cs="Times New Roman"/>
                <w:kern w:val="0"/>
                <w:sz w:val="24"/>
                <w:szCs w:val="24"/>
              </w:rPr>
              <w:t>　</w:t>
            </w:r>
          </w:p>
        </w:tc>
        <w:tc>
          <w:tcPr>
            <w:tcW w:w="1227" w:type="pct"/>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1275.11</w:t>
            </w:r>
            <w:r>
              <w:rPr>
                <w:rFonts w:ascii="Times New Roman" w:hAnsi="Times New Roman" w:eastAsia="仿宋_GB2312" w:cs="Times New Roman"/>
                <w:kern w:val="0"/>
                <w:sz w:val="24"/>
                <w:szCs w:val="24"/>
              </w:rPr>
              <w:t>　</w:t>
            </w:r>
          </w:p>
        </w:tc>
        <w:tc>
          <w:tcPr>
            <w:tcW w:w="1056" w:type="pct"/>
            <w:tcBorders>
              <w:top w:val="nil"/>
              <w:left w:val="nil"/>
              <w:bottom w:val="single" w:color="auto" w:sz="4" w:space="0"/>
              <w:right w:val="single" w:color="auto" w:sz="8" w:space="0"/>
            </w:tcBorders>
            <w:shd w:val="clear" w:color="auto" w:fill="auto"/>
            <w:vAlign w:val="center"/>
          </w:tcPr>
          <w:p>
            <w:pPr>
              <w:widowControl/>
              <w:jc w:val="right"/>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95.68</w:t>
            </w: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450" w:hRule="atLeast"/>
          <w:jc w:val="center"/>
        </w:trPr>
        <w:tc>
          <w:tcPr>
            <w:tcW w:w="420" w:type="pct"/>
            <w:tcBorders>
              <w:top w:val="single" w:color="auto" w:sz="4" w:space="0"/>
              <w:left w:val="single" w:color="auto" w:sz="8" w:space="0"/>
              <w:bottom w:val="single" w:color="auto" w:sz="4" w:space="0"/>
              <w:right w:val="single" w:color="auto" w:sz="4" w:space="0"/>
            </w:tcBorders>
            <w:shd w:val="clear" w:color="000000" w:fill="FFFFFF"/>
            <w:vAlign w:val="center"/>
          </w:tcPr>
          <w:p>
            <w:pPr>
              <w:rPr>
                <w:rFonts w:hint="default" w:asciiTheme="minorHAnsi" w:hAnsiTheme="minorHAnsi" w:eastAsiaTheme="minorEastAsia" w:cstheme="minorBidi"/>
                <w:kern w:val="2"/>
                <w:sz w:val="21"/>
                <w:szCs w:val="22"/>
                <w:lang w:val="en-US" w:eastAsia="zh-CN" w:bidi="ar-SA"/>
              </w:rPr>
            </w:pPr>
            <w:r>
              <w:rPr>
                <w:rFonts w:hint="eastAsia" w:cstheme="minorBidi"/>
                <w:kern w:val="2"/>
                <w:sz w:val="21"/>
                <w:szCs w:val="22"/>
                <w:lang w:val="en-US" w:eastAsia="zh-CN" w:bidi="ar-SA"/>
              </w:rPr>
              <w:t>205</w:t>
            </w:r>
          </w:p>
        </w:tc>
        <w:tc>
          <w:tcPr>
            <w:tcW w:w="1317" w:type="pct"/>
            <w:tcBorders>
              <w:top w:val="nil"/>
              <w:left w:val="nil"/>
              <w:bottom w:val="single" w:color="auto" w:sz="4" w:space="0"/>
              <w:right w:val="single" w:color="auto" w:sz="4" w:space="0"/>
            </w:tcBorders>
            <w:shd w:val="clear" w:color="000000" w:fill="FFFFFF"/>
            <w:vAlign w:val="center"/>
          </w:tcPr>
          <w:p>
            <w:pPr>
              <w:rPr>
                <w:rFonts w:hint="default" w:asciiTheme="minorHAnsi" w:hAnsiTheme="minorHAnsi" w:eastAsiaTheme="minorEastAsia" w:cstheme="minorBidi"/>
                <w:kern w:val="2"/>
                <w:sz w:val="21"/>
                <w:szCs w:val="22"/>
                <w:lang w:val="en-US" w:eastAsia="zh-CN" w:bidi="ar-SA"/>
              </w:rPr>
            </w:pPr>
            <w:r>
              <w:rPr>
                <w:rFonts w:hint="default" w:asciiTheme="minorHAnsi" w:hAnsiTheme="minorHAnsi" w:eastAsiaTheme="minorEastAsia" w:cstheme="minorBidi"/>
                <w:kern w:val="2"/>
                <w:sz w:val="21"/>
                <w:szCs w:val="22"/>
                <w:lang w:val="en-US" w:eastAsia="zh-CN" w:bidi="ar-SA"/>
              </w:rPr>
              <w:t>教育支出</w:t>
            </w:r>
          </w:p>
        </w:tc>
        <w:tc>
          <w:tcPr>
            <w:tcW w:w="978" w:type="pct"/>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4.95</w:t>
            </w:r>
            <w:r>
              <w:rPr>
                <w:rFonts w:ascii="Times New Roman" w:hAnsi="Times New Roman" w:eastAsia="仿宋_GB2312" w:cs="Times New Roman"/>
              </w:rPr>
              <w:t>　</w:t>
            </w:r>
          </w:p>
        </w:tc>
        <w:tc>
          <w:tcPr>
            <w:tcW w:w="1227" w:type="pct"/>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4.95</w:t>
            </w:r>
            <w:r>
              <w:rPr>
                <w:rFonts w:ascii="Times New Roman" w:hAnsi="Times New Roman" w:eastAsia="仿宋_GB2312" w:cs="Times New Roman"/>
              </w:rPr>
              <w:t>　</w:t>
            </w:r>
          </w:p>
        </w:tc>
        <w:tc>
          <w:tcPr>
            <w:tcW w:w="1056" w:type="pct"/>
            <w:tcBorders>
              <w:top w:val="nil"/>
              <w:left w:val="nil"/>
              <w:bottom w:val="single" w:color="auto" w:sz="4" w:space="0"/>
              <w:right w:val="single" w:color="auto" w:sz="8" w:space="0"/>
            </w:tcBorders>
            <w:shd w:val="clear" w:color="auto" w:fill="auto"/>
            <w:vAlign w:val="center"/>
          </w:tcPr>
          <w:p>
            <w:pPr>
              <w:widowControl/>
              <w:jc w:val="right"/>
              <w:rPr>
                <w:rFonts w:ascii="Times New Roman" w:hAnsi="Times New Roman" w:eastAsia="仿宋_GB2312" w:cs="Times New Roman"/>
                <w:kern w:val="0"/>
                <w:sz w:val="24"/>
                <w:szCs w:val="24"/>
                <w:lang w:val="en-US" w:eastAsia="zh-CN" w:bidi="ar-SA"/>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450" w:hRule="atLeast"/>
          <w:jc w:val="center"/>
        </w:trPr>
        <w:tc>
          <w:tcPr>
            <w:tcW w:w="420" w:type="pct"/>
            <w:tcBorders>
              <w:top w:val="single" w:color="auto" w:sz="4" w:space="0"/>
              <w:left w:val="single" w:color="auto" w:sz="8" w:space="0"/>
              <w:bottom w:val="single" w:color="auto" w:sz="4" w:space="0"/>
              <w:right w:val="single" w:color="auto" w:sz="4" w:space="0"/>
            </w:tcBorders>
            <w:shd w:val="clear" w:color="000000" w:fill="FFFFFF"/>
            <w:vAlign w:val="center"/>
          </w:tcPr>
          <w:p>
            <w:pPr>
              <w:rPr>
                <w:rFonts w:hint="default" w:asciiTheme="minorHAnsi" w:hAnsiTheme="minorHAnsi" w:eastAsiaTheme="minorEastAsia" w:cstheme="minorBidi"/>
                <w:kern w:val="2"/>
                <w:sz w:val="21"/>
                <w:szCs w:val="22"/>
                <w:lang w:val="en-US" w:eastAsia="zh-CN" w:bidi="ar-SA"/>
              </w:rPr>
            </w:pPr>
            <w:r>
              <w:rPr>
                <w:rFonts w:hint="eastAsia" w:cstheme="minorBidi"/>
                <w:kern w:val="2"/>
                <w:sz w:val="21"/>
                <w:szCs w:val="22"/>
                <w:lang w:val="en-US" w:eastAsia="zh-CN" w:bidi="ar-SA"/>
              </w:rPr>
              <w:t>20501</w:t>
            </w:r>
          </w:p>
        </w:tc>
        <w:tc>
          <w:tcPr>
            <w:tcW w:w="1317" w:type="pct"/>
            <w:tcBorders>
              <w:top w:val="nil"/>
              <w:left w:val="nil"/>
              <w:bottom w:val="single" w:color="auto" w:sz="4" w:space="0"/>
              <w:right w:val="single" w:color="auto" w:sz="4" w:space="0"/>
            </w:tcBorders>
            <w:shd w:val="clear" w:color="000000" w:fill="FFFFFF"/>
            <w:vAlign w:val="center"/>
          </w:tcPr>
          <w:p>
            <w:pPr>
              <w:rPr>
                <w:rFonts w:hint="default" w:asciiTheme="minorHAnsi" w:hAnsiTheme="minorHAnsi" w:eastAsiaTheme="minorEastAsia" w:cstheme="minorBidi"/>
                <w:kern w:val="2"/>
                <w:sz w:val="21"/>
                <w:szCs w:val="22"/>
                <w:lang w:val="en-US" w:eastAsia="zh-CN" w:bidi="ar-SA"/>
              </w:rPr>
            </w:pPr>
            <w:r>
              <w:rPr>
                <w:rFonts w:hint="eastAsia" w:cstheme="minorBidi"/>
                <w:kern w:val="2"/>
                <w:sz w:val="21"/>
                <w:szCs w:val="22"/>
                <w:lang w:val="en-US" w:eastAsia="zh-CN" w:bidi="ar-SA"/>
              </w:rPr>
              <w:t>教育管理事务</w:t>
            </w:r>
          </w:p>
        </w:tc>
        <w:tc>
          <w:tcPr>
            <w:tcW w:w="978" w:type="pct"/>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4.95</w:t>
            </w:r>
          </w:p>
        </w:tc>
        <w:tc>
          <w:tcPr>
            <w:tcW w:w="1227" w:type="pct"/>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4.95</w:t>
            </w:r>
          </w:p>
        </w:tc>
        <w:tc>
          <w:tcPr>
            <w:tcW w:w="1056" w:type="pct"/>
            <w:tcBorders>
              <w:top w:val="nil"/>
              <w:left w:val="nil"/>
              <w:bottom w:val="single" w:color="auto" w:sz="4" w:space="0"/>
              <w:right w:val="single" w:color="auto" w:sz="8" w:space="0"/>
            </w:tcBorders>
            <w:shd w:val="clear" w:color="auto" w:fill="auto"/>
            <w:vAlign w:val="center"/>
          </w:tcPr>
          <w:p>
            <w:pPr>
              <w:widowControl/>
              <w:jc w:val="right"/>
              <w:rPr>
                <w:rFonts w:ascii="Times New Roman" w:hAnsi="Times New Roman" w:eastAsia="仿宋_GB2312" w:cs="Times New Roman"/>
                <w:kern w:val="0"/>
                <w:sz w:val="24"/>
                <w:szCs w:val="24"/>
                <w:lang w:val="en-US" w:eastAsia="zh-CN" w:bidi="ar-SA"/>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450" w:hRule="atLeast"/>
          <w:jc w:val="center"/>
        </w:trPr>
        <w:tc>
          <w:tcPr>
            <w:tcW w:w="420" w:type="pct"/>
            <w:tcBorders>
              <w:top w:val="single" w:color="auto" w:sz="4" w:space="0"/>
              <w:left w:val="single" w:color="auto" w:sz="8" w:space="0"/>
              <w:bottom w:val="single" w:color="auto" w:sz="4" w:space="0"/>
              <w:right w:val="single" w:color="auto" w:sz="4" w:space="0"/>
            </w:tcBorders>
            <w:shd w:val="clear" w:color="000000" w:fill="FFFFFF"/>
            <w:vAlign w:val="center"/>
          </w:tcPr>
          <w:p>
            <w:pPr>
              <w:rPr>
                <w:rFonts w:hint="eastAsia" w:asciiTheme="minorHAnsi" w:hAnsiTheme="minorHAnsi" w:eastAsiaTheme="minorEastAsia" w:cstheme="minorBidi"/>
                <w:kern w:val="2"/>
                <w:sz w:val="21"/>
                <w:szCs w:val="22"/>
                <w:lang w:val="en-US" w:eastAsia="zh-CN" w:bidi="ar-SA"/>
              </w:rPr>
            </w:pPr>
            <w:r>
              <w:rPr>
                <w:rFonts w:hint="eastAsia"/>
                <w:lang w:val="en-US" w:eastAsia="zh-CN"/>
              </w:rPr>
              <w:t>2050101</w:t>
            </w:r>
          </w:p>
        </w:tc>
        <w:tc>
          <w:tcPr>
            <w:tcW w:w="1317" w:type="pct"/>
            <w:tcBorders>
              <w:top w:val="nil"/>
              <w:left w:val="nil"/>
              <w:bottom w:val="single" w:color="auto" w:sz="4" w:space="0"/>
              <w:right w:val="single" w:color="auto" w:sz="4" w:space="0"/>
            </w:tcBorders>
            <w:shd w:val="clear" w:color="000000" w:fill="FFFFFF"/>
            <w:vAlign w:val="center"/>
          </w:tcPr>
          <w:p>
            <w:pPr>
              <w:rPr>
                <w:rFonts w:hint="eastAsia" w:asciiTheme="minorHAnsi" w:hAnsiTheme="minorHAnsi" w:eastAsiaTheme="minorEastAsia" w:cstheme="minorBidi"/>
                <w:kern w:val="2"/>
                <w:sz w:val="21"/>
                <w:szCs w:val="22"/>
                <w:lang w:val="en-US" w:eastAsia="zh-CN" w:bidi="ar-SA"/>
              </w:rPr>
            </w:pPr>
            <w:r>
              <w:rPr>
                <w:rFonts w:hint="eastAsia"/>
                <w:lang w:val="en-US" w:eastAsia="zh-CN"/>
              </w:rPr>
              <w:t>行政运行</w:t>
            </w:r>
          </w:p>
        </w:tc>
        <w:tc>
          <w:tcPr>
            <w:tcW w:w="978" w:type="pct"/>
            <w:tcBorders>
              <w:top w:val="nil"/>
              <w:left w:val="nil"/>
              <w:bottom w:val="single" w:color="auto" w:sz="4" w:space="0"/>
              <w:right w:val="single" w:color="auto" w:sz="4" w:space="0"/>
            </w:tcBorders>
            <w:shd w:val="clear" w:color="auto" w:fill="auto"/>
            <w:vAlign w:val="center"/>
          </w:tcPr>
          <w:p>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4.95</w:t>
            </w:r>
          </w:p>
        </w:tc>
        <w:tc>
          <w:tcPr>
            <w:tcW w:w="1227" w:type="pct"/>
            <w:tcBorders>
              <w:top w:val="nil"/>
              <w:left w:val="nil"/>
              <w:bottom w:val="single" w:color="auto" w:sz="4" w:space="0"/>
              <w:right w:val="single" w:color="auto" w:sz="4" w:space="0"/>
            </w:tcBorders>
            <w:shd w:val="clear" w:color="auto" w:fill="auto"/>
            <w:vAlign w:val="center"/>
          </w:tcPr>
          <w:p>
            <w:pPr>
              <w:jc w:val="right"/>
              <w:rPr>
                <w:rFonts w:hint="default" w:asciiTheme="minorHAnsi" w:hAnsiTheme="minorHAnsi" w:eastAsiaTheme="minorEastAsia" w:cstheme="minorBidi"/>
                <w:kern w:val="2"/>
                <w:sz w:val="21"/>
                <w:szCs w:val="22"/>
                <w:lang w:val="en-US" w:eastAsia="zh-CN" w:bidi="ar-SA"/>
              </w:rPr>
            </w:pPr>
            <w:r>
              <w:rPr>
                <w:rFonts w:hint="eastAsia" w:ascii="Times New Roman" w:hAnsi="Times New Roman" w:eastAsia="仿宋_GB2312" w:cs="Times New Roman"/>
                <w:lang w:val="en-US" w:eastAsia="zh-CN"/>
              </w:rPr>
              <w:t>4.95</w:t>
            </w:r>
          </w:p>
        </w:tc>
        <w:tc>
          <w:tcPr>
            <w:tcW w:w="1056" w:type="pct"/>
            <w:tcBorders>
              <w:top w:val="nil"/>
              <w:left w:val="nil"/>
              <w:bottom w:val="single" w:color="auto" w:sz="4" w:space="0"/>
              <w:right w:val="single" w:color="auto" w:sz="8" w:space="0"/>
            </w:tcBorders>
            <w:shd w:val="clear" w:color="auto" w:fill="auto"/>
            <w:vAlign w:val="center"/>
          </w:tcPr>
          <w:p>
            <w:pPr>
              <w:widowControl/>
              <w:jc w:val="right"/>
              <w:rPr>
                <w:rFonts w:ascii="Times New Roman" w:hAnsi="Times New Roman" w:eastAsia="仿宋_GB2312" w:cs="Times New Roman"/>
                <w:kern w:val="0"/>
                <w:sz w:val="24"/>
                <w:szCs w:val="24"/>
                <w:lang w:val="en-US" w:eastAsia="zh-CN" w:bidi="ar-SA"/>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450" w:hRule="atLeast"/>
          <w:jc w:val="center"/>
        </w:trPr>
        <w:tc>
          <w:tcPr>
            <w:tcW w:w="420" w:type="pct"/>
            <w:tcBorders>
              <w:top w:val="single" w:color="auto" w:sz="4" w:space="0"/>
              <w:left w:val="single" w:color="auto" w:sz="8" w:space="0"/>
              <w:bottom w:val="single" w:color="auto" w:sz="4" w:space="0"/>
              <w:right w:val="single" w:color="auto" w:sz="4" w:space="0"/>
            </w:tcBorders>
            <w:shd w:val="clear" w:color="000000" w:fill="FFFFFF"/>
            <w:vAlign w:val="center"/>
          </w:tcPr>
          <w:p>
            <w:pPr>
              <w:rPr>
                <w:rFonts w:hint="eastAsia" w:asciiTheme="minorHAnsi" w:hAnsiTheme="minorHAnsi" w:eastAsiaTheme="minorEastAsia" w:cstheme="minorBidi"/>
                <w:kern w:val="2"/>
                <w:sz w:val="21"/>
                <w:szCs w:val="22"/>
                <w:lang w:val="en-US" w:eastAsia="zh-CN" w:bidi="ar-SA"/>
              </w:rPr>
            </w:pPr>
            <w:r>
              <w:rPr>
                <w:rFonts w:hint="eastAsia"/>
                <w:lang w:val="en-US" w:eastAsia="zh-CN"/>
              </w:rPr>
              <w:t>208</w:t>
            </w:r>
          </w:p>
        </w:tc>
        <w:tc>
          <w:tcPr>
            <w:tcW w:w="1317" w:type="pct"/>
            <w:tcBorders>
              <w:top w:val="nil"/>
              <w:left w:val="nil"/>
              <w:bottom w:val="single" w:color="auto" w:sz="4" w:space="0"/>
              <w:right w:val="single" w:color="auto" w:sz="4" w:space="0"/>
            </w:tcBorders>
            <w:shd w:val="clear" w:color="000000" w:fill="FFFFFF"/>
            <w:vAlign w:val="center"/>
          </w:tcPr>
          <w:p>
            <w:pPr>
              <w:rPr>
                <w:rFonts w:hint="eastAsia" w:asciiTheme="minorHAnsi" w:hAnsiTheme="minorHAnsi" w:eastAsiaTheme="minorEastAsia" w:cstheme="minorBidi"/>
                <w:kern w:val="2"/>
                <w:sz w:val="21"/>
                <w:szCs w:val="22"/>
                <w:lang w:val="en-US" w:eastAsia="zh-CN" w:bidi="ar-SA"/>
              </w:rPr>
            </w:pPr>
            <w:r>
              <w:rPr>
                <w:rFonts w:hint="eastAsia"/>
                <w:lang w:val="en-US" w:eastAsia="zh-CN"/>
              </w:rPr>
              <w:t>社会保障和就业支出</w:t>
            </w:r>
          </w:p>
        </w:tc>
        <w:tc>
          <w:tcPr>
            <w:tcW w:w="978" w:type="pct"/>
            <w:tcBorders>
              <w:top w:val="nil"/>
              <w:left w:val="nil"/>
              <w:bottom w:val="single" w:color="auto" w:sz="4" w:space="0"/>
              <w:right w:val="single" w:color="auto" w:sz="4" w:space="0"/>
            </w:tcBorders>
            <w:shd w:val="clear" w:color="auto" w:fill="auto"/>
            <w:vAlign w:val="center"/>
          </w:tcPr>
          <w:p>
            <w:pPr>
              <w:jc w:val="right"/>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50.99</w:t>
            </w:r>
          </w:p>
        </w:tc>
        <w:tc>
          <w:tcPr>
            <w:tcW w:w="1227" w:type="pct"/>
            <w:tcBorders>
              <w:top w:val="nil"/>
              <w:left w:val="nil"/>
              <w:bottom w:val="single" w:color="auto" w:sz="4" w:space="0"/>
              <w:right w:val="single" w:color="auto" w:sz="4" w:space="0"/>
            </w:tcBorders>
            <w:shd w:val="clear" w:color="auto" w:fill="auto"/>
            <w:vAlign w:val="center"/>
          </w:tcPr>
          <w:p>
            <w:pPr>
              <w:jc w:val="right"/>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50.99</w:t>
            </w:r>
          </w:p>
        </w:tc>
        <w:tc>
          <w:tcPr>
            <w:tcW w:w="1056" w:type="pct"/>
            <w:tcBorders>
              <w:top w:val="nil"/>
              <w:left w:val="nil"/>
              <w:bottom w:val="single" w:color="auto" w:sz="4" w:space="0"/>
              <w:right w:val="single" w:color="auto" w:sz="8" w:space="0"/>
            </w:tcBorders>
            <w:shd w:val="clear" w:color="auto" w:fill="auto"/>
            <w:vAlign w:val="center"/>
          </w:tcPr>
          <w:p>
            <w:pPr>
              <w:widowControl/>
              <w:jc w:val="right"/>
              <w:rPr>
                <w:rFonts w:ascii="Times New Roman" w:hAnsi="Times New Roman" w:eastAsia="仿宋_GB2312" w:cs="Times New Roman"/>
                <w:kern w:val="0"/>
                <w:sz w:val="24"/>
                <w:szCs w:val="24"/>
                <w:lang w:val="en-US" w:eastAsia="zh-CN" w:bidi="ar-SA"/>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450" w:hRule="atLeast"/>
          <w:jc w:val="center"/>
        </w:trPr>
        <w:tc>
          <w:tcPr>
            <w:tcW w:w="420" w:type="pct"/>
            <w:tcBorders>
              <w:top w:val="single" w:color="auto" w:sz="4" w:space="0"/>
              <w:left w:val="single" w:color="auto" w:sz="8" w:space="0"/>
              <w:bottom w:val="single" w:color="auto" w:sz="4" w:space="0"/>
              <w:right w:val="single" w:color="auto" w:sz="4" w:space="0"/>
            </w:tcBorders>
            <w:shd w:val="clear" w:color="000000" w:fill="FFFFFF"/>
            <w:vAlign w:val="center"/>
          </w:tcPr>
          <w:p>
            <w:pPr>
              <w:rPr>
                <w:rFonts w:hint="default" w:asciiTheme="minorHAnsi" w:hAnsiTheme="minorHAnsi" w:eastAsiaTheme="minorEastAsia" w:cstheme="minorBidi"/>
                <w:kern w:val="2"/>
                <w:sz w:val="21"/>
                <w:szCs w:val="22"/>
                <w:lang w:val="en-US" w:eastAsia="zh-CN" w:bidi="ar-SA"/>
              </w:rPr>
            </w:pPr>
            <w:r>
              <w:rPr>
                <w:rFonts w:hint="eastAsia"/>
                <w:lang w:val="en-US" w:eastAsia="zh-CN"/>
              </w:rPr>
              <w:t>20805</w:t>
            </w:r>
          </w:p>
        </w:tc>
        <w:tc>
          <w:tcPr>
            <w:tcW w:w="1317" w:type="pct"/>
            <w:tcBorders>
              <w:top w:val="nil"/>
              <w:left w:val="nil"/>
              <w:bottom w:val="single" w:color="auto" w:sz="4" w:space="0"/>
              <w:right w:val="single" w:color="auto" w:sz="4" w:space="0"/>
            </w:tcBorders>
            <w:shd w:val="clear" w:color="000000" w:fill="FFFFFF"/>
            <w:vAlign w:val="center"/>
          </w:tcPr>
          <w:p>
            <w:pPr>
              <w:rPr>
                <w:rFonts w:hint="default" w:asciiTheme="minorHAnsi" w:hAnsiTheme="minorHAnsi" w:eastAsiaTheme="minorEastAsia" w:cstheme="minorBidi"/>
                <w:kern w:val="2"/>
                <w:sz w:val="21"/>
                <w:szCs w:val="22"/>
                <w:lang w:val="en-US" w:eastAsia="zh-CN" w:bidi="ar-SA"/>
              </w:rPr>
            </w:pPr>
            <w:r>
              <w:rPr>
                <w:rFonts w:hint="eastAsia"/>
                <w:lang w:val="en-US" w:eastAsia="zh-CN"/>
              </w:rPr>
              <w:t>行政事业单位养老支出</w:t>
            </w:r>
          </w:p>
        </w:tc>
        <w:tc>
          <w:tcPr>
            <w:tcW w:w="978" w:type="pct"/>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50.99</w:t>
            </w:r>
            <w:r>
              <w:rPr>
                <w:rFonts w:ascii="Times New Roman" w:hAnsi="Times New Roman" w:eastAsia="仿宋_GB2312" w:cs="Times New Roman"/>
              </w:rPr>
              <w:t>　</w:t>
            </w:r>
          </w:p>
        </w:tc>
        <w:tc>
          <w:tcPr>
            <w:tcW w:w="1227" w:type="pct"/>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50.99</w:t>
            </w:r>
            <w:r>
              <w:rPr>
                <w:rFonts w:ascii="Times New Roman" w:hAnsi="Times New Roman" w:eastAsia="仿宋_GB2312" w:cs="Times New Roman"/>
              </w:rPr>
              <w:t>　</w:t>
            </w:r>
          </w:p>
        </w:tc>
        <w:tc>
          <w:tcPr>
            <w:tcW w:w="1056" w:type="pct"/>
            <w:tcBorders>
              <w:top w:val="nil"/>
              <w:left w:val="nil"/>
              <w:bottom w:val="single" w:color="auto" w:sz="4" w:space="0"/>
              <w:right w:val="single" w:color="auto" w:sz="8" w:space="0"/>
            </w:tcBorders>
            <w:shd w:val="clear" w:color="auto" w:fill="auto"/>
            <w:vAlign w:val="center"/>
          </w:tcPr>
          <w:p>
            <w:pPr>
              <w:widowControl/>
              <w:jc w:val="right"/>
              <w:rPr>
                <w:rFonts w:ascii="Times New Roman" w:hAnsi="Times New Roman" w:eastAsia="仿宋_GB2312" w:cs="Times New Roman"/>
                <w:kern w:val="0"/>
                <w:sz w:val="24"/>
                <w:szCs w:val="24"/>
                <w:lang w:val="en-US" w:eastAsia="zh-CN" w:bidi="ar-SA"/>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450" w:hRule="atLeast"/>
          <w:jc w:val="center"/>
        </w:trPr>
        <w:tc>
          <w:tcPr>
            <w:tcW w:w="420" w:type="pct"/>
            <w:tcBorders>
              <w:top w:val="single" w:color="auto" w:sz="4" w:space="0"/>
              <w:left w:val="single" w:color="auto" w:sz="8" w:space="0"/>
              <w:bottom w:val="single" w:color="auto" w:sz="4" w:space="0"/>
              <w:right w:val="single" w:color="auto" w:sz="4" w:space="0"/>
            </w:tcBorders>
            <w:shd w:val="clear" w:color="000000" w:fill="FFFFFF"/>
            <w:vAlign w:val="center"/>
          </w:tcPr>
          <w:p>
            <w:pPr>
              <w:rPr>
                <w:rFonts w:hint="default" w:asciiTheme="minorHAnsi" w:hAnsiTheme="minorHAnsi" w:eastAsiaTheme="minorEastAsia" w:cstheme="minorBidi"/>
                <w:kern w:val="2"/>
                <w:sz w:val="21"/>
                <w:szCs w:val="22"/>
                <w:lang w:val="en-US" w:eastAsia="zh-CN" w:bidi="ar-SA"/>
              </w:rPr>
            </w:pPr>
            <w:r>
              <w:rPr>
                <w:rFonts w:hint="eastAsia"/>
                <w:lang w:val="en-US" w:eastAsia="zh-CN"/>
              </w:rPr>
              <w:t>2080505</w:t>
            </w:r>
          </w:p>
        </w:tc>
        <w:tc>
          <w:tcPr>
            <w:tcW w:w="1317" w:type="pct"/>
            <w:tcBorders>
              <w:top w:val="single" w:color="auto" w:sz="4" w:space="0"/>
              <w:left w:val="single" w:color="auto" w:sz="4" w:space="0"/>
              <w:bottom w:val="single" w:color="auto" w:sz="4" w:space="0"/>
              <w:right w:val="single" w:color="auto" w:sz="4" w:space="0"/>
            </w:tcBorders>
            <w:shd w:val="clear" w:color="000000" w:fill="FFFFFF"/>
            <w:vAlign w:val="center"/>
          </w:tcPr>
          <w:p>
            <w:pPr>
              <w:rPr>
                <w:rFonts w:hint="eastAsia" w:asciiTheme="minorHAnsi" w:hAnsiTheme="minorHAnsi" w:eastAsiaTheme="minorEastAsia" w:cstheme="minorBidi"/>
                <w:kern w:val="2"/>
                <w:sz w:val="21"/>
                <w:szCs w:val="22"/>
                <w:lang w:val="en-US" w:eastAsia="zh-CN" w:bidi="ar-SA"/>
              </w:rPr>
            </w:pPr>
            <w:r>
              <w:rPr>
                <w:rFonts w:hint="eastAsia"/>
                <w:lang w:val="en-US" w:eastAsia="zh-CN"/>
              </w:rPr>
              <w:t>机关事业单位基本养老保险缴费支出</w:t>
            </w:r>
          </w:p>
        </w:tc>
        <w:tc>
          <w:tcPr>
            <w:tcW w:w="978" w:type="pct"/>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50.99</w:t>
            </w:r>
            <w:r>
              <w:rPr>
                <w:rFonts w:ascii="Times New Roman" w:hAnsi="Times New Roman" w:eastAsia="仿宋_GB2312" w:cs="Times New Roman"/>
              </w:rPr>
              <w:t>　</w:t>
            </w:r>
          </w:p>
        </w:tc>
        <w:tc>
          <w:tcPr>
            <w:tcW w:w="1227" w:type="pct"/>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50.99</w:t>
            </w:r>
            <w:r>
              <w:rPr>
                <w:rFonts w:ascii="Times New Roman" w:hAnsi="Times New Roman" w:eastAsia="仿宋_GB2312" w:cs="Times New Roman"/>
              </w:rPr>
              <w:t>　</w:t>
            </w:r>
          </w:p>
        </w:tc>
        <w:tc>
          <w:tcPr>
            <w:tcW w:w="1056"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 w:val="24"/>
                <w:szCs w:val="24"/>
                <w:lang w:val="en-US" w:eastAsia="zh-CN" w:bidi="ar-SA"/>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450" w:hRule="atLeast"/>
          <w:jc w:val="center"/>
        </w:trPr>
        <w:tc>
          <w:tcPr>
            <w:tcW w:w="420" w:type="pct"/>
            <w:tcBorders>
              <w:top w:val="single" w:color="auto" w:sz="4" w:space="0"/>
              <w:left w:val="single" w:color="auto" w:sz="8" w:space="0"/>
              <w:bottom w:val="single" w:color="auto" w:sz="4" w:space="0"/>
              <w:right w:val="single" w:color="auto" w:sz="4" w:space="0"/>
            </w:tcBorders>
            <w:shd w:val="clear" w:color="000000" w:fill="FFFFFF"/>
            <w:vAlign w:val="center"/>
          </w:tcPr>
          <w:p>
            <w:pPr>
              <w:rPr>
                <w:rFonts w:hint="eastAsia" w:asciiTheme="minorHAnsi" w:hAnsiTheme="minorHAnsi" w:eastAsiaTheme="minorEastAsia" w:cstheme="minorBidi"/>
                <w:kern w:val="2"/>
                <w:sz w:val="21"/>
                <w:szCs w:val="22"/>
                <w:lang w:val="en-US" w:eastAsia="zh-CN" w:bidi="ar-SA"/>
              </w:rPr>
            </w:pPr>
            <w:r>
              <w:rPr>
                <w:rFonts w:hint="eastAsia"/>
                <w:lang w:val="en-US" w:eastAsia="zh-CN"/>
              </w:rPr>
              <w:t>210</w:t>
            </w:r>
          </w:p>
        </w:tc>
        <w:tc>
          <w:tcPr>
            <w:tcW w:w="1317" w:type="pct"/>
            <w:tcBorders>
              <w:top w:val="single" w:color="auto" w:sz="4" w:space="0"/>
              <w:left w:val="single" w:color="auto" w:sz="4" w:space="0"/>
              <w:bottom w:val="single" w:color="auto" w:sz="4" w:space="0"/>
              <w:right w:val="single" w:color="auto" w:sz="4" w:space="0"/>
            </w:tcBorders>
            <w:shd w:val="clear" w:color="000000" w:fill="FFFFFF"/>
            <w:vAlign w:val="center"/>
          </w:tcPr>
          <w:p>
            <w:pPr>
              <w:rPr>
                <w:rFonts w:hint="eastAsia" w:asciiTheme="minorHAnsi" w:hAnsiTheme="minorHAnsi" w:eastAsiaTheme="minorEastAsia" w:cstheme="minorBidi"/>
                <w:kern w:val="2"/>
                <w:sz w:val="21"/>
                <w:szCs w:val="22"/>
                <w:lang w:val="en-US" w:eastAsia="zh-CN" w:bidi="ar-SA"/>
              </w:rPr>
            </w:pPr>
            <w:r>
              <w:rPr>
                <w:rFonts w:hint="eastAsia"/>
                <w:lang w:val="en-US" w:eastAsia="zh-CN"/>
              </w:rPr>
              <w:t>卫生健康支出</w:t>
            </w:r>
          </w:p>
        </w:tc>
        <w:tc>
          <w:tcPr>
            <w:tcW w:w="978" w:type="pct"/>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1314.85</w:t>
            </w:r>
            <w:r>
              <w:rPr>
                <w:rFonts w:ascii="Times New Roman" w:hAnsi="Times New Roman" w:eastAsia="仿宋_GB2312" w:cs="Times New Roman"/>
              </w:rPr>
              <w:t>　</w:t>
            </w:r>
          </w:p>
        </w:tc>
        <w:tc>
          <w:tcPr>
            <w:tcW w:w="1227" w:type="pct"/>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1219.17</w:t>
            </w:r>
            <w:r>
              <w:rPr>
                <w:rFonts w:ascii="Times New Roman" w:hAnsi="Times New Roman" w:eastAsia="仿宋_GB2312" w:cs="Times New Roman"/>
              </w:rPr>
              <w:t>　</w:t>
            </w:r>
          </w:p>
        </w:tc>
        <w:tc>
          <w:tcPr>
            <w:tcW w:w="1056"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hint="default"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95.68</w:t>
            </w:r>
          </w:p>
        </w:tc>
      </w:tr>
      <w:tr>
        <w:tblPrEx>
          <w:tblCellMar>
            <w:top w:w="0" w:type="dxa"/>
            <w:left w:w="108" w:type="dxa"/>
            <w:bottom w:w="0" w:type="dxa"/>
            <w:right w:w="108" w:type="dxa"/>
          </w:tblCellMar>
        </w:tblPrEx>
        <w:trPr>
          <w:trHeight w:val="450" w:hRule="atLeast"/>
          <w:jc w:val="center"/>
        </w:trPr>
        <w:tc>
          <w:tcPr>
            <w:tcW w:w="420" w:type="pct"/>
            <w:tcBorders>
              <w:top w:val="single" w:color="auto" w:sz="4" w:space="0"/>
              <w:left w:val="single" w:color="auto" w:sz="8" w:space="0"/>
              <w:bottom w:val="single" w:color="auto" w:sz="4" w:space="0"/>
              <w:right w:val="single" w:color="auto" w:sz="4" w:space="0"/>
            </w:tcBorders>
            <w:shd w:val="clear" w:color="000000" w:fill="FFFFFF"/>
            <w:vAlign w:val="center"/>
          </w:tcPr>
          <w:p>
            <w:pPr>
              <w:rPr>
                <w:rFonts w:hint="eastAsia" w:asciiTheme="minorHAnsi" w:hAnsiTheme="minorHAnsi" w:eastAsiaTheme="minorEastAsia" w:cstheme="minorBidi"/>
                <w:kern w:val="2"/>
                <w:sz w:val="21"/>
                <w:szCs w:val="22"/>
                <w:lang w:val="en-US" w:eastAsia="zh-CN" w:bidi="ar-SA"/>
              </w:rPr>
            </w:pPr>
            <w:r>
              <w:rPr>
                <w:rFonts w:hint="eastAsia"/>
                <w:lang w:val="en-US" w:eastAsia="zh-CN"/>
              </w:rPr>
              <w:t>21011</w:t>
            </w:r>
          </w:p>
        </w:tc>
        <w:tc>
          <w:tcPr>
            <w:tcW w:w="1317" w:type="pct"/>
            <w:tcBorders>
              <w:top w:val="single" w:color="auto" w:sz="4" w:space="0"/>
              <w:left w:val="single" w:color="auto" w:sz="4" w:space="0"/>
              <w:bottom w:val="single" w:color="auto" w:sz="4" w:space="0"/>
              <w:right w:val="single" w:color="auto" w:sz="4" w:space="0"/>
            </w:tcBorders>
            <w:shd w:val="clear" w:color="000000" w:fill="FFFFFF"/>
            <w:vAlign w:val="center"/>
          </w:tcPr>
          <w:p>
            <w:pPr>
              <w:rPr>
                <w:rFonts w:hint="eastAsia" w:asciiTheme="minorHAnsi" w:hAnsiTheme="minorHAnsi" w:eastAsiaTheme="minorEastAsia" w:cstheme="minorBidi"/>
                <w:kern w:val="2"/>
                <w:sz w:val="21"/>
                <w:szCs w:val="22"/>
                <w:lang w:val="en-US" w:eastAsia="zh-CN" w:bidi="ar-SA"/>
              </w:rPr>
            </w:pPr>
            <w:r>
              <w:rPr>
                <w:rFonts w:hint="eastAsia"/>
                <w:lang w:val="en-US" w:eastAsia="zh-CN"/>
              </w:rPr>
              <w:t>行政事业单位医疗</w:t>
            </w:r>
          </w:p>
        </w:tc>
        <w:tc>
          <w:tcPr>
            <w:tcW w:w="978" w:type="pct"/>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27.55</w:t>
            </w:r>
            <w:r>
              <w:rPr>
                <w:rFonts w:ascii="Times New Roman" w:hAnsi="Times New Roman" w:eastAsia="仿宋_GB2312" w:cs="Times New Roman"/>
              </w:rPr>
              <w:t>　</w:t>
            </w:r>
          </w:p>
        </w:tc>
        <w:tc>
          <w:tcPr>
            <w:tcW w:w="1227" w:type="pct"/>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27.55</w:t>
            </w:r>
            <w:r>
              <w:rPr>
                <w:rFonts w:ascii="Times New Roman" w:hAnsi="Times New Roman" w:eastAsia="仿宋_GB2312" w:cs="Times New Roman"/>
              </w:rPr>
              <w:t>　</w:t>
            </w:r>
          </w:p>
        </w:tc>
        <w:tc>
          <w:tcPr>
            <w:tcW w:w="1056"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 w:val="24"/>
                <w:szCs w:val="24"/>
                <w:lang w:val="en-US" w:eastAsia="zh-CN" w:bidi="ar-SA"/>
              </w:rPr>
            </w:pPr>
          </w:p>
        </w:tc>
      </w:tr>
      <w:tr>
        <w:tblPrEx>
          <w:tblCellMar>
            <w:top w:w="0" w:type="dxa"/>
            <w:left w:w="108" w:type="dxa"/>
            <w:bottom w:w="0" w:type="dxa"/>
            <w:right w:w="108" w:type="dxa"/>
          </w:tblCellMar>
        </w:tblPrEx>
        <w:trPr>
          <w:trHeight w:val="450" w:hRule="atLeast"/>
          <w:jc w:val="center"/>
        </w:trPr>
        <w:tc>
          <w:tcPr>
            <w:tcW w:w="420" w:type="pct"/>
            <w:tcBorders>
              <w:top w:val="single" w:color="auto" w:sz="4" w:space="0"/>
              <w:left w:val="single" w:color="auto" w:sz="8" w:space="0"/>
              <w:bottom w:val="single" w:color="auto" w:sz="4" w:space="0"/>
              <w:right w:val="single" w:color="auto" w:sz="4" w:space="0"/>
            </w:tcBorders>
            <w:shd w:val="clear" w:color="000000" w:fill="FFFFFF"/>
            <w:vAlign w:val="center"/>
          </w:tcPr>
          <w:p>
            <w:pPr>
              <w:rPr>
                <w:rFonts w:hint="eastAsia" w:ascii="宋体" w:hAnsi="宋体" w:cs="宋体" w:eastAsiaTheme="minorEastAsia"/>
                <w:kern w:val="2"/>
                <w:sz w:val="24"/>
                <w:szCs w:val="24"/>
                <w:lang w:val="en-US" w:eastAsia="zh-CN" w:bidi="ar-SA"/>
              </w:rPr>
            </w:pPr>
            <w:r>
              <w:rPr>
                <w:rFonts w:hint="eastAsia"/>
                <w:lang w:val="en-US" w:eastAsia="zh-CN"/>
              </w:rPr>
              <w:t>2101101</w:t>
            </w:r>
          </w:p>
        </w:tc>
        <w:tc>
          <w:tcPr>
            <w:tcW w:w="1317" w:type="pct"/>
            <w:tcBorders>
              <w:top w:val="single" w:color="auto" w:sz="4" w:space="0"/>
              <w:left w:val="single" w:color="auto" w:sz="4" w:space="0"/>
              <w:bottom w:val="single" w:color="auto" w:sz="4" w:space="0"/>
              <w:right w:val="single" w:color="auto" w:sz="4" w:space="0"/>
            </w:tcBorders>
            <w:shd w:val="clear" w:color="000000" w:fill="FFFFFF"/>
            <w:vAlign w:val="center"/>
          </w:tcPr>
          <w:p>
            <w:pPr>
              <w:rPr>
                <w:rFonts w:hint="eastAsia" w:ascii="宋体" w:hAnsi="宋体" w:cs="宋体" w:eastAsiaTheme="minorEastAsia"/>
                <w:kern w:val="2"/>
                <w:sz w:val="24"/>
                <w:szCs w:val="24"/>
                <w:lang w:val="en-US" w:eastAsia="zh-CN" w:bidi="ar-SA"/>
              </w:rPr>
            </w:pPr>
            <w:r>
              <w:rPr>
                <w:rFonts w:hint="eastAsia"/>
                <w:lang w:val="en-US" w:eastAsia="zh-CN"/>
              </w:rPr>
              <w:t>行政单位医疗</w:t>
            </w:r>
          </w:p>
        </w:tc>
        <w:tc>
          <w:tcPr>
            <w:tcW w:w="978" w:type="pct"/>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27.55</w:t>
            </w:r>
            <w:r>
              <w:rPr>
                <w:rFonts w:ascii="Times New Roman" w:hAnsi="Times New Roman" w:eastAsia="仿宋_GB2312" w:cs="Times New Roman"/>
              </w:rPr>
              <w:t>　</w:t>
            </w:r>
          </w:p>
        </w:tc>
        <w:tc>
          <w:tcPr>
            <w:tcW w:w="1227" w:type="pct"/>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27.55</w:t>
            </w:r>
            <w:r>
              <w:rPr>
                <w:rFonts w:ascii="Times New Roman" w:hAnsi="Times New Roman" w:eastAsia="仿宋_GB2312" w:cs="Times New Roman"/>
              </w:rPr>
              <w:t>　</w:t>
            </w:r>
          </w:p>
        </w:tc>
        <w:tc>
          <w:tcPr>
            <w:tcW w:w="1056"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 w:val="24"/>
                <w:szCs w:val="24"/>
                <w:lang w:val="en-US" w:eastAsia="zh-CN" w:bidi="ar-SA"/>
              </w:rPr>
            </w:pPr>
          </w:p>
        </w:tc>
      </w:tr>
      <w:tr>
        <w:tblPrEx>
          <w:tblCellMar>
            <w:top w:w="0" w:type="dxa"/>
            <w:left w:w="108" w:type="dxa"/>
            <w:bottom w:w="0" w:type="dxa"/>
            <w:right w:w="108" w:type="dxa"/>
          </w:tblCellMar>
        </w:tblPrEx>
        <w:trPr>
          <w:trHeight w:val="450" w:hRule="atLeast"/>
          <w:jc w:val="center"/>
        </w:trPr>
        <w:tc>
          <w:tcPr>
            <w:tcW w:w="420" w:type="pct"/>
            <w:tcBorders>
              <w:top w:val="single" w:color="auto" w:sz="4" w:space="0"/>
              <w:left w:val="single" w:color="auto" w:sz="8" w:space="0"/>
              <w:bottom w:val="single" w:color="auto" w:sz="4" w:space="0"/>
              <w:right w:val="single" w:color="auto" w:sz="4" w:space="0"/>
            </w:tcBorders>
            <w:shd w:val="clear" w:color="000000" w:fill="FFFFFF"/>
            <w:vAlign w:val="center"/>
          </w:tcPr>
          <w:p>
            <w:pPr>
              <w:rPr>
                <w:rFonts w:hint="eastAsia" w:asciiTheme="minorHAnsi" w:hAnsiTheme="minorHAnsi" w:eastAsiaTheme="minorEastAsia" w:cstheme="minorBidi"/>
                <w:kern w:val="2"/>
                <w:sz w:val="21"/>
                <w:szCs w:val="22"/>
                <w:lang w:val="en-US" w:eastAsia="zh-CN" w:bidi="ar-SA"/>
              </w:rPr>
            </w:pPr>
            <w:r>
              <w:rPr>
                <w:rFonts w:hint="eastAsia"/>
                <w:lang w:val="en-US" w:eastAsia="zh-CN"/>
              </w:rPr>
              <w:t>21013</w:t>
            </w:r>
          </w:p>
        </w:tc>
        <w:tc>
          <w:tcPr>
            <w:tcW w:w="1317" w:type="pct"/>
            <w:tcBorders>
              <w:top w:val="single" w:color="auto" w:sz="4" w:space="0"/>
              <w:left w:val="single" w:color="auto" w:sz="4" w:space="0"/>
              <w:bottom w:val="single" w:color="auto" w:sz="4" w:space="0"/>
              <w:right w:val="single" w:color="auto" w:sz="4" w:space="0"/>
            </w:tcBorders>
            <w:shd w:val="clear" w:color="000000" w:fill="FFFFFF"/>
            <w:vAlign w:val="center"/>
          </w:tcPr>
          <w:p>
            <w:pPr>
              <w:rPr>
                <w:rFonts w:hint="eastAsia" w:asciiTheme="minorHAnsi" w:hAnsiTheme="minorHAnsi" w:eastAsiaTheme="minorEastAsia" w:cstheme="minorBidi"/>
                <w:kern w:val="2"/>
                <w:sz w:val="21"/>
                <w:szCs w:val="22"/>
                <w:lang w:val="en-US" w:eastAsia="zh-CN" w:bidi="ar-SA"/>
              </w:rPr>
            </w:pPr>
            <w:r>
              <w:rPr>
                <w:rFonts w:hint="eastAsia"/>
                <w:lang w:val="en-US" w:eastAsia="zh-CN"/>
              </w:rPr>
              <w:t>医疗救助</w:t>
            </w:r>
          </w:p>
        </w:tc>
        <w:tc>
          <w:tcPr>
            <w:tcW w:w="978" w:type="pct"/>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7.42</w:t>
            </w:r>
          </w:p>
        </w:tc>
        <w:tc>
          <w:tcPr>
            <w:tcW w:w="1227" w:type="pct"/>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7.42</w:t>
            </w:r>
          </w:p>
        </w:tc>
        <w:tc>
          <w:tcPr>
            <w:tcW w:w="1056"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 w:val="24"/>
                <w:szCs w:val="24"/>
                <w:lang w:val="en-US" w:eastAsia="zh-CN" w:bidi="ar-SA"/>
              </w:rPr>
            </w:pPr>
          </w:p>
        </w:tc>
      </w:tr>
      <w:tr>
        <w:tblPrEx>
          <w:tblCellMar>
            <w:top w:w="0" w:type="dxa"/>
            <w:left w:w="108" w:type="dxa"/>
            <w:bottom w:w="0" w:type="dxa"/>
            <w:right w:w="108" w:type="dxa"/>
          </w:tblCellMar>
        </w:tblPrEx>
        <w:trPr>
          <w:trHeight w:val="450" w:hRule="atLeast"/>
          <w:jc w:val="center"/>
        </w:trPr>
        <w:tc>
          <w:tcPr>
            <w:tcW w:w="420" w:type="pct"/>
            <w:tcBorders>
              <w:top w:val="single" w:color="auto" w:sz="4" w:space="0"/>
              <w:left w:val="single" w:color="auto" w:sz="8" w:space="0"/>
              <w:bottom w:val="single" w:color="auto" w:sz="4" w:space="0"/>
              <w:right w:val="single" w:color="auto" w:sz="4" w:space="0"/>
            </w:tcBorders>
            <w:shd w:val="clear" w:color="000000" w:fill="FFFFFF"/>
            <w:vAlign w:val="center"/>
          </w:tcPr>
          <w:p>
            <w:pPr>
              <w:rPr>
                <w:rFonts w:hint="eastAsia" w:asciiTheme="minorHAnsi" w:hAnsiTheme="minorHAnsi" w:eastAsiaTheme="minorEastAsia" w:cstheme="minorBidi"/>
                <w:kern w:val="2"/>
                <w:sz w:val="21"/>
                <w:szCs w:val="22"/>
                <w:lang w:val="en-US" w:eastAsia="zh-CN" w:bidi="ar-SA"/>
              </w:rPr>
            </w:pPr>
            <w:r>
              <w:rPr>
                <w:rFonts w:hint="eastAsia"/>
                <w:lang w:val="en-US" w:eastAsia="zh-CN"/>
              </w:rPr>
              <w:t>2101399</w:t>
            </w:r>
          </w:p>
        </w:tc>
        <w:tc>
          <w:tcPr>
            <w:tcW w:w="1317" w:type="pct"/>
            <w:tcBorders>
              <w:top w:val="single" w:color="auto" w:sz="4" w:space="0"/>
              <w:left w:val="single" w:color="auto" w:sz="4" w:space="0"/>
              <w:bottom w:val="single" w:color="auto" w:sz="4" w:space="0"/>
              <w:right w:val="single" w:color="auto" w:sz="4" w:space="0"/>
            </w:tcBorders>
            <w:shd w:val="clear" w:color="000000" w:fill="FFFFFF"/>
            <w:vAlign w:val="center"/>
          </w:tcPr>
          <w:p>
            <w:pPr>
              <w:rPr>
                <w:rFonts w:hint="eastAsia" w:asciiTheme="minorHAnsi" w:hAnsiTheme="minorHAnsi" w:eastAsiaTheme="minorEastAsia" w:cstheme="minorBidi"/>
                <w:kern w:val="2"/>
                <w:sz w:val="21"/>
                <w:szCs w:val="22"/>
                <w:lang w:val="en-US" w:eastAsia="zh-CN" w:bidi="ar-SA"/>
              </w:rPr>
            </w:pPr>
            <w:r>
              <w:rPr>
                <w:rFonts w:hint="eastAsia"/>
                <w:lang w:val="en-US" w:eastAsia="zh-CN"/>
              </w:rPr>
              <w:t>其他医疗救助支出</w:t>
            </w:r>
          </w:p>
        </w:tc>
        <w:tc>
          <w:tcPr>
            <w:tcW w:w="978" w:type="pct"/>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7.42</w:t>
            </w:r>
          </w:p>
        </w:tc>
        <w:tc>
          <w:tcPr>
            <w:tcW w:w="1227" w:type="pct"/>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7.42</w:t>
            </w:r>
          </w:p>
        </w:tc>
        <w:tc>
          <w:tcPr>
            <w:tcW w:w="1056"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 w:val="24"/>
                <w:szCs w:val="24"/>
                <w:lang w:val="en-US" w:eastAsia="zh-CN" w:bidi="ar-SA"/>
              </w:rPr>
            </w:pPr>
          </w:p>
        </w:tc>
      </w:tr>
      <w:tr>
        <w:tblPrEx>
          <w:tblCellMar>
            <w:top w:w="0" w:type="dxa"/>
            <w:left w:w="108" w:type="dxa"/>
            <w:bottom w:w="0" w:type="dxa"/>
            <w:right w:w="108" w:type="dxa"/>
          </w:tblCellMar>
        </w:tblPrEx>
        <w:trPr>
          <w:trHeight w:val="450" w:hRule="atLeast"/>
          <w:jc w:val="center"/>
        </w:trPr>
        <w:tc>
          <w:tcPr>
            <w:tcW w:w="420" w:type="pct"/>
            <w:tcBorders>
              <w:top w:val="single" w:color="auto" w:sz="4" w:space="0"/>
              <w:left w:val="single" w:color="auto" w:sz="8" w:space="0"/>
              <w:bottom w:val="single" w:color="auto" w:sz="4" w:space="0"/>
              <w:right w:val="single" w:color="auto" w:sz="4" w:space="0"/>
            </w:tcBorders>
            <w:shd w:val="clear" w:color="000000" w:fill="FFFFFF"/>
            <w:vAlign w:val="center"/>
          </w:tcPr>
          <w:p>
            <w:pPr>
              <w:rPr>
                <w:rFonts w:hint="eastAsia" w:asciiTheme="minorHAnsi" w:hAnsiTheme="minorHAnsi" w:eastAsiaTheme="minorEastAsia" w:cstheme="minorBidi"/>
                <w:kern w:val="2"/>
                <w:sz w:val="21"/>
                <w:szCs w:val="22"/>
                <w:lang w:val="en-US" w:eastAsia="zh-CN" w:bidi="ar-SA"/>
              </w:rPr>
            </w:pPr>
            <w:r>
              <w:rPr>
                <w:rFonts w:hint="eastAsia"/>
                <w:lang w:val="en-US" w:eastAsia="zh-CN"/>
              </w:rPr>
              <w:t>21015</w:t>
            </w:r>
          </w:p>
        </w:tc>
        <w:tc>
          <w:tcPr>
            <w:tcW w:w="1317" w:type="pct"/>
            <w:tcBorders>
              <w:top w:val="single" w:color="auto" w:sz="4" w:space="0"/>
              <w:left w:val="single" w:color="auto" w:sz="4" w:space="0"/>
              <w:bottom w:val="single" w:color="auto" w:sz="4" w:space="0"/>
              <w:right w:val="single" w:color="auto" w:sz="4" w:space="0"/>
            </w:tcBorders>
            <w:shd w:val="clear" w:color="000000" w:fill="FFFFFF"/>
            <w:vAlign w:val="center"/>
          </w:tcPr>
          <w:p>
            <w:pPr>
              <w:rPr>
                <w:rFonts w:hint="eastAsia" w:asciiTheme="minorHAnsi" w:hAnsiTheme="minorHAnsi" w:eastAsiaTheme="minorEastAsia" w:cstheme="minorBidi"/>
                <w:kern w:val="2"/>
                <w:sz w:val="21"/>
                <w:szCs w:val="22"/>
                <w:lang w:val="en-US" w:eastAsia="zh-CN" w:bidi="ar-SA"/>
              </w:rPr>
            </w:pPr>
            <w:r>
              <w:rPr>
                <w:rFonts w:hint="eastAsia"/>
                <w:lang w:val="en-US" w:eastAsia="zh-CN"/>
              </w:rPr>
              <w:t>医疗保障管理事务</w:t>
            </w:r>
          </w:p>
        </w:tc>
        <w:tc>
          <w:tcPr>
            <w:tcW w:w="978" w:type="pct"/>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1279.88</w:t>
            </w:r>
          </w:p>
        </w:tc>
        <w:tc>
          <w:tcPr>
            <w:tcW w:w="1227" w:type="pct"/>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1184.2</w:t>
            </w:r>
          </w:p>
        </w:tc>
        <w:tc>
          <w:tcPr>
            <w:tcW w:w="1056"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hint="default"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95.68</w:t>
            </w:r>
          </w:p>
        </w:tc>
      </w:tr>
      <w:tr>
        <w:tblPrEx>
          <w:tblCellMar>
            <w:top w:w="0" w:type="dxa"/>
            <w:left w:w="108" w:type="dxa"/>
            <w:bottom w:w="0" w:type="dxa"/>
            <w:right w:w="108" w:type="dxa"/>
          </w:tblCellMar>
        </w:tblPrEx>
        <w:trPr>
          <w:trHeight w:val="450" w:hRule="atLeast"/>
          <w:jc w:val="center"/>
        </w:trPr>
        <w:tc>
          <w:tcPr>
            <w:tcW w:w="420" w:type="pct"/>
            <w:tcBorders>
              <w:top w:val="single" w:color="auto" w:sz="4" w:space="0"/>
              <w:left w:val="single" w:color="auto" w:sz="8" w:space="0"/>
              <w:bottom w:val="single" w:color="auto" w:sz="4" w:space="0"/>
              <w:right w:val="single" w:color="auto" w:sz="4" w:space="0"/>
            </w:tcBorders>
            <w:shd w:val="clear" w:color="000000" w:fill="FFFFFF"/>
            <w:vAlign w:val="center"/>
          </w:tcPr>
          <w:p>
            <w:pPr>
              <w:rPr>
                <w:rFonts w:hint="eastAsia" w:asciiTheme="minorHAnsi" w:hAnsiTheme="minorHAnsi" w:eastAsiaTheme="minorEastAsia" w:cstheme="minorBidi"/>
                <w:kern w:val="2"/>
                <w:sz w:val="21"/>
                <w:szCs w:val="22"/>
                <w:lang w:val="en-US" w:eastAsia="zh-CN" w:bidi="ar-SA"/>
              </w:rPr>
            </w:pPr>
            <w:r>
              <w:rPr>
                <w:rFonts w:hint="eastAsia"/>
                <w:lang w:val="en-US" w:eastAsia="zh-CN"/>
              </w:rPr>
              <w:t>2101501</w:t>
            </w:r>
          </w:p>
        </w:tc>
        <w:tc>
          <w:tcPr>
            <w:tcW w:w="1317" w:type="pct"/>
            <w:tcBorders>
              <w:top w:val="single" w:color="auto" w:sz="4" w:space="0"/>
              <w:left w:val="single" w:color="auto" w:sz="4" w:space="0"/>
              <w:bottom w:val="single" w:color="auto" w:sz="4" w:space="0"/>
              <w:right w:val="single" w:color="auto" w:sz="4" w:space="0"/>
            </w:tcBorders>
            <w:shd w:val="clear" w:color="000000" w:fill="FFFFFF"/>
            <w:vAlign w:val="center"/>
          </w:tcPr>
          <w:p>
            <w:pPr>
              <w:rPr>
                <w:rFonts w:hint="eastAsia" w:asciiTheme="minorHAnsi" w:hAnsiTheme="minorHAnsi" w:eastAsiaTheme="minorEastAsia" w:cstheme="minorBidi"/>
                <w:kern w:val="2"/>
                <w:sz w:val="21"/>
                <w:szCs w:val="22"/>
                <w:lang w:val="en-US" w:eastAsia="zh-CN" w:bidi="ar-SA"/>
              </w:rPr>
            </w:pPr>
            <w:r>
              <w:rPr>
                <w:rFonts w:hint="eastAsia"/>
                <w:lang w:val="en-US" w:eastAsia="zh-CN"/>
              </w:rPr>
              <w:t>行政运行</w:t>
            </w:r>
          </w:p>
        </w:tc>
        <w:tc>
          <w:tcPr>
            <w:tcW w:w="978" w:type="pct"/>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517.94</w:t>
            </w:r>
          </w:p>
        </w:tc>
        <w:tc>
          <w:tcPr>
            <w:tcW w:w="1227" w:type="pct"/>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517.94</w:t>
            </w:r>
          </w:p>
        </w:tc>
        <w:tc>
          <w:tcPr>
            <w:tcW w:w="1056"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 w:val="24"/>
                <w:szCs w:val="24"/>
                <w:lang w:val="en-US" w:eastAsia="zh-CN" w:bidi="ar-SA"/>
              </w:rPr>
            </w:pPr>
          </w:p>
        </w:tc>
      </w:tr>
      <w:tr>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pPr>
              <w:rPr>
                <w:rFonts w:hint="eastAsia" w:ascii="宋体" w:hAnsi="宋体" w:cs="宋体" w:eastAsiaTheme="minorEastAsia"/>
                <w:kern w:val="2"/>
                <w:sz w:val="24"/>
                <w:szCs w:val="24"/>
                <w:lang w:val="en-US" w:eastAsia="zh-CN" w:bidi="ar-SA"/>
              </w:rPr>
            </w:pPr>
            <w:r>
              <w:rPr>
                <w:rFonts w:hint="eastAsia"/>
                <w:lang w:val="en-US" w:eastAsia="zh-CN"/>
              </w:rPr>
              <w:t>2101505</w:t>
            </w:r>
          </w:p>
        </w:tc>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pPr>
              <w:rPr>
                <w:rFonts w:hint="eastAsia" w:ascii="宋体" w:hAnsi="宋体" w:cs="宋体" w:eastAsiaTheme="minorEastAsia"/>
                <w:kern w:val="2"/>
                <w:sz w:val="24"/>
                <w:szCs w:val="24"/>
                <w:lang w:val="en-US" w:eastAsia="zh-CN" w:bidi="ar-SA"/>
              </w:rPr>
            </w:pPr>
            <w:r>
              <w:rPr>
                <w:rFonts w:hint="eastAsia"/>
                <w:lang w:val="en-US" w:eastAsia="zh-CN"/>
              </w:rPr>
              <w:t>医疗保障政策管理</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65</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eastAsia" w:ascii="Times New Roman" w:hAnsi="Times New Roman" w:eastAsia="仿宋_GB2312" w:cs="Times New Roman"/>
                <w:kern w:val="2"/>
                <w:sz w:val="21"/>
                <w:szCs w:val="22"/>
                <w:lang w:val="en-US" w:eastAsia="zh-CN" w:bidi="ar-SA"/>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lang w:val="en-US" w:eastAsia="zh-CN"/>
              </w:rPr>
              <w:t>65</w:t>
            </w:r>
          </w:p>
        </w:tc>
      </w:tr>
      <w:tr>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pPr>
              <w:rPr>
                <w:rFonts w:hint="eastAsia" w:asciiTheme="minorHAnsi" w:hAnsiTheme="minorHAnsi" w:eastAsiaTheme="minorEastAsia" w:cstheme="minorBidi"/>
                <w:kern w:val="2"/>
                <w:sz w:val="21"/>
                <w:szCs w:val="22"/>
                <w:lang w:val="en-US" w:eastAsia="zh-CN" w:bidi="ar-SA"/>
              </w:rPr>
            </w:pPr>
            <w:r>
              <w:rPr>
                <w:rFonts w:hint="eastAsia"/>
                <w:lang w:val="en-US" w:eastAsia="zh-CN"/>
              </w:rPr>
              <w:t>2101599</w:t>
            </w:r>
          </w:p>
        </w:tc>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pPr>
              <w:rPr>
                <w:rFonts w:hint="eastAsia" w:asciiTheme="minorHAnsi" w:hAnsiTheme="minorHAnsi" w:eastAsiaTheme="minorEastAsia" w:cstheme="minorBidi"/>
                <w:kern w:val="2"/>
                <w:sz w:val="21"/>
                <w:szCs w:val="22"/>
                <w:lang w:val="en-US" w:eastAsia="zh-CN" w:bidi="ar-SA"/>
              </w:rPr>
            </w:pPr>
            <w:r>
              <w:rPr>
                <w:rFonts w:hint="eastAsia"/>
                <w:lang w:val="en-US" w:eastAsia="zh-CN"/>
              </w:rPr>
              <w:t>其他医疗保障管理事务支出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696.94</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666.26</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hint="default"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30.68</w:t>
            </w:r>
          </w:p>
        </w:tc>
      </w:tr>
    </w:tbl>
    <w:p>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pPr>
        <w:widowControl/>
        <w:jc w:val="left"/>
        <w:rPr>
          <w:rFonts w:ascii="Times New Roman" w:hAnsi="Times New Roman" w:eastAsia="仿宋_GB2312" w:cs="Times New Roman"/>
          <w:bCs/>
          <w:kern w:val="0"/>
          <w:szCs w:val="21"/>
        </w:rPr>
      </w:pPr>
    </w:p>
    <w:p>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w:t>
      </w:r>
      <w:r>
        <w:rPr>
          <w:rFonts w:hint="eastAsia" w:ascii="Times New Roman" w:hAnsi="Times New Roman" w:eastAsia="仿宋_GB2312" w:cs="Times New Roman"/>
          <w:color w:val="000000"/>
          <w:kern w:val="0"/>
          <w:sz w:val="20"/>
          <w:szCs w:val="20"/>
          <w:lang w:val="en-US" w:eastAsia="zh-CN" w:bidi="ar"/>
        </w:rPr>
        <w:t>道县医疗保障局</w:t>
      </w:r>
      <w:r>
        <w:rPr>
          <w:rFonts w:ascii="Times New Roman" w:hAnsi="Times New Roman" w:eastAsia="仿宋_GB2312" w:cs="Times New Roman"/>
          <w:color w:val="000000"/>
          <w:kern w:val="0"/>
          <w:szCs w:val="21"/>
        </w:rPr>
        <w:t xml:space="preserve">                                                                                                公开06表</w:t>
      </w:r>
    </w:p>
    <w:p>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10"/>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517.15</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217.93</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232.35</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38.55</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95.76</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11.91</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98.71</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9.06</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11.79</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1.50</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50.99</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5.86</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5.60</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27.55</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7.56</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2.74</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5.36</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530.97</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17.78</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530.97</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24.98</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21.33</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pPr>
              <w:widowControl/>
              <w:jc w:val="left"/>
              <w:rPr>
                <w:rFonts w:ascii="Times New Roman" w:hAnsi="Times New Roman" w:eastAsia="仿宋_GB2312" w:cs="Times New Roman"/>
                <w:color w:val="000000"/>
                <w:kern w:val="0"/>
                <w:szCs w:val="20"/>
              </w:rPr>
            </w:pPr>
          </w:p>
          <w:tbl>
            <w:tblPr>
              <w:tblStyle w:val="10"/>
              <w:tblW w:w="3946" w:type="dxa"/>
              <w:tblInd w:w="0" w:type="dxa"/>
              <w:tblLayout w:type="fixed"/>
              <w:tblCellMar>
                <w:top w:w="0" w:type="dxa"/>
                <w:left w:w="108" w:type="dxa"/>
                <w:bottom w:w="0" w:type="dxa"/>
                <w:right w:w="108" w:type="dxa"/>
              </w:tblCellMar>
            </w:tblPr>
            <w:tblGrid>
              <w:gridCol w:w="3946"/>
            </w:tblGrid>
            <w:tr>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pPr>
              <w:widowControl/>
              <w:jc w:val="left"/>
              <w:rPr>
                <w:rFonts w:ascii="Times New Roman" w:hAnsi="Times New Roman" w:eastAsia="仿宋_GB2312" w:cs="Times New Roman"/>
                <w:color w:val="000000"/>
                <w:kern w:val="0"/>
                <w:szCs w:val="20"/>
              </w:rPr>
            </w:pPr>
          </w:p>
          <w:tbl>
            <w:tblPr>
              <w:tblStyle w:val="10"/>
              <w:tblW w:w="3946" w:type="dxa"/>
              <w:tblInd w:w="0" w:type="dxa"/>
              <w:tblLayout w:type="fixed"/>
              <w:tblCellMar>
                <w:top w:w="0" w:type="dxa"/>
                <w:left w:w="108" w:type="dxa"/>
                <w:bottom w:w="0" w:type="dxa"/>
                <w:right w:w="108" w:type="dxa"/>
              </w:tblCellMar>
            </w:tblPr>
            <w:tblGrid>
              <w:gridCol w:w="3946"/>
            </w:tblGrid>
            <w:tr>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26.57</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57.24</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1048.12</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18"/>
                <w:lang w:val="en-US" w:eastAsia="zh-CN"/>
              </w:rPr>
            </w:pPr>
            <w:r>
              <w:rPr>
                <w:rFonts w:hint="eastAsia" w:ascii="Times New Roman" w:hAnsi="Times New Roman" w:eastAsia="仿宋_GB2312" w:cs="Times New Roman"/>
                <w:color w:val="000000"/>
                <w:kern w:val="0"/>
                <w:szCs w:val="18"/>
                <w:lang w:val="en-US" w:eastAsia="zh-CN"/>
              </w:rPr>
              <w:t>226.99</w:t>
            </w:r>
          </w:p>
        </w:tc>
      </w:tr>
    </w:tbl>
    <w:p>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pPr>
        <w:widowControl/>
        <w:spacing w:line="400" w:lineRule="exact"/>
        <w:jc w:val="center"/>
        <w:textAlignment w:val="center"/>
        <w:rPr>
          <w:rFonts w:ascii="Times New Roman" w:hAnsi="Times New Roman" w:eastAsia="仿宋_GB2312"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val="en-US" w:eastAsia="zh-CN" w:bidi="ar"/>
        </w:rPr>
        <w:t>道县医疗保障局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10"/>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7"/>
                <w:rFonts w:hint="default" w:ascii="Times New Roman" w:hAnsi="Times New Roman" w:eastAsia="仿宋_GB2312" w:cs="Times New Roman"/>
                <w:b/>
                <w:bCs/>
                <w:lang w:bidi="ar"/>
              </w:rPr>
              <w:t xml:space="preserve">   </w:t>
            </w:r>
            <w:r>
              <w:rPr>
                <w:rStyle w:val="18"/>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pPr>
        <w:widowControl/>
        <w:jc w:val="left"/>
        <w:textAlignment w:val="center"/>
        <w:rPr>
          <w:rFonts w:ascii="Times New Roman" w:hAnsi="Times New Roman" w:eastAsia="仿宋_GB2312" w:cs="Times New Roman"/>
          <w:color w:val="000000"/>
          <w:kern w:val="0"/>
          <w:sz w:val="24"/>
          <w:szCs w:val="24"/>
          <w:lang w:bidi="ar"/>
        </w:rPr>
      </w:pPr>
    </w:p>
    <w:p>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说明：我单位没有政府性基金收入，也没有使用政府性基金安排的支出，故本表无数据。（当表格数据为空时，应有此说明）</w:t>
      </w:r>
    </w:p>
    <w:p>
      <w:pPr>
        <w:widowControl/>
        <w:jc w:val="center"/>
        <w:rPr>
          <w:rFonts w:ascii="Times New Roman" w:hAnsi="Times New Roman" w:eastAsia="方正小标宋_GBK" w:cs="Times New Roman"/>
          <w:color w:val="000000"/>
          <w:kern w:val="0"/>
          <w:sz w:val="36"/>
          <w:szCs w:val="36"/>
        </w:rPr>
      </w:pPr>
    </w:p>
    <w:p>
      <w:pPr>
        <w:widowControl/>
        <w:spacing w:line="400" w:lineRule="exact"/>
        <w:textAlignment w:val="center"/>
        <w:rPr>
          <w:rFonts w:ascii="Times New Roman" w:hAnsi="Times New Roman" w:eastAsia="黑体" w:cs="Times New Roman"/>
          <w:color w:val="000000"/>
          <w:kern w:val="0"/>
          <w:sz w:val="36"/>
          <w:szCs w:val="36"/>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val="en-US" w:eastAsia="zh-CN" w:bidi="ar"/>
        </w:rPr>
        <w:t>道县医疗保障局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10"/>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9"/>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pPr>
        <w:widowControl/>
        <w:jc w:val="left"/>
        <w:textAlignment w:val="center"/>
        <w:rPr>
          <w:rFonts w:ascii="Times New Roman" w:hAnsi="Times New Roman" w:eastAsia="宋体" w:cs="Times New Roman"/>
          <w:color w:val="000000"/>
          <w:kern w:val="0"/>
          <w:sz w:val="24"/>
          <w:szCs w:val="24"/>
          <w:lang w:bidi="ar"/>
        </w:rPr>
      </w:pPr>
    </w:p>
    <w:p>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说明：我单位没有使用国有资本经营预算安排的支出，故本表无数据。（当表格数据为空时，应有此说明）</w:t>
      </w:r>
    </w:p>
    <w:p>
      <w:pPr>
        <w:widowControl/>
        <w:jc w:val="center"/>
        <w:rPr>
          <w:rFonts w:ascii="Times New Roman" w:hAnsi="Times New Roman" w:eastAsia="方正小标宋_GBK" w:cs="Times New Roman"/>
          <w:color w:val="000000"/>
          <w:kern w:val="0"/>
          <w:sz w:val="36"/>
          <w:szCs w:val="36"/>
        </w:rPr>
      </w:pPr>
    </w:p>
    <w:p>
      <w:pPr>
        <w:pStyle w:val="8"/>
        <w:spacing w:line="400" w:lineRule="exact"/>
        <w:rPr>
          <w:rFonts w:ascii="Times New Roman" w:hAnsi="Times New Roman" w:eastAsia="华文中宋"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val="en-US" w:eastAsia="zh-CN" w:bidi="ar"/>
        </w:rPr>
        <w:t>道县医疗保障局</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10"/>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r>
    </w:tbl>
    <w:p>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pPr>
        <w:pStyle w:val="14"/>
        <w:rPr>
          <w:rFonts w:ascii="Times New Roman" w:hAnsi="Times New Roman" w:cs="Times New Roman"/>
          <w:sz w:val="72"/>
          <w:szCs w:val="72"/>
        </w:rPr>
      </w:pPr>
    </w:p>
    <w:p>
      <w:pPr>
        <w:pStyle w:val="14"/>
        <w:rPr>
          <w:rFonts w:ascii="Times New Roman" w:hAnsi="Times New Roman" w:cs="Times New Roman"/>
          <w:sz w:val="72"/>
          <w:szCs w:val="72"/>
        </w:rPr>
      </w:pPr>
    </w:p>
    <w:p>
      <w:pPr>
        <w:pStyle w:val="14"/>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center"/>
        <w:rPr>
          <w:rFonts w:ascii="Times New Roman" w:hAnsi="Times New Roman" w:eastAsia="方正小标宋_GBK" w:cs="Times New Roman"/>
          <w:sz w:val="72"/>
          <w:szCs w:val="72"/>
        </w:rPr>
      </w:pPr>
    </w:p>
    <w:p>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1370.79</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181.9</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11.72</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w:t>
      </w:r>
      <w:r>
        <w:rPr>
          <w:rFonts w:hint="eastAsia" w:ascii="Times New Roman" w:hAnsi="Times New Roman" w:eastAsia="仿宋_GB2312" w:cs="Times New Roman"/>
          <w:sz w:val="32"/>
          <w:szCs w:val="32"/>
          <w:lang w:val="en-US" w:eastAsia="zh-CN"/>
        </w:rPr>
        <w:t>运转</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民生</w:t>
      </w:r>
      <w:r>
        <w:rPr>
          <w:rFonts w:hint="eastAsia" w:ascii="Times New Roman" w:hAnsi="Times New Roman" w:eastAsia="仿宋_GB2312" w:cs="Times New Roman"/>
          <w:sz w:val="32"/>
          <w:szCs w:val="32"/>
          <w:lang w:eastAsia="zh-CN"/>
        </w:rPr>
        <w:t>等重点支出，体现在有关支出科目中。</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1370.79</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1370.79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1370.79</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1275.11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93.02</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95.68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6.98</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1370.79</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181.9</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11.72</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1370.79</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181.9</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11.72</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w:t>
      </w:r>
    </w:p>
    <w:p>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pPr>
        <w:widowControl/>
        <w:spacing w:line="600" w:lineRule="exact"/>
        <w:ind w:firstLine="640" w:firstLineChars="200"/>
        <w:rPr>
          <w:rFonts w:hint="eastAsia" w:ascii="Times New Roman" w:hAnsi="Times New Roman" w:eastAsia="仿宋_GB2312" w:cs="仿宋_GB2312"/>
          <w:bCs/>
          <w:color w:val="auto"/>
          <w:kern w:val="0"/>
          <w:sz w:val="32"/>
          <w:szCs w:val="32"/>
          <w:lang w:val="en-US" w:eastAsia="zh-CN" w:bidi="ar-SA"/>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1370.79</w:t>
      </w:r>
      <w:r>
        <w:rPr>
          <w:rFonts w:ascii="Times New Roman" w:hAnsi="Times New Roman" w:eastAsia="仿宋_GB2312" w:cs="Times New Roman"/>
          <w:sz w:val="32"/>
          <w:szCs w:val="32"/>
        </w:rPr>
        <w:t>万元，主要用于以下方面：教育（类）支出</w:t>
      </w:r>
      <w:r>
        <w:rPr>
          <w:rFonts w:hint="eastAsia" w:ascii="Times New Roman" w:hAnsi="Times New Roman" w:eastAsia="仿宋_GB2312" w:cs="Times New Roman"/>
          <w:sz w:val="32"/>
          <w:szCs w:val="32"/>
          <w:lang w:val="en-US" w:eastAsia="zh-CN"/>
        </w:rPr>
        <w:t>4.95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0.36</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仿宋_GB2312"/>
          <w:bCs/>
          <w:color w:val="auto"/>
          <w:kern w:val="0"/>
          <w:sz w:val="32"/>
          <w:szCs w:val="32"/>
          <w:lang w:val="en-US" w:eastAsia="zh-CN" w:bidi="ar-SA"/>
        </w:rPr>
        <w:t>社会保障和就业（类）支出50.99万元，占3.72%；卫生健康（类）支出1314.85万元，占95.92%。</w:t>
      </w:r>
    </w:p>
    <w:p>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仿宋_GB2312" w:hAnsi="仿宋_GB2312" w:eastAsia="仿宋_GB2312" w:cs="仿宋_GB2312"/>
          <w:color w:val="auto"/>
          <w:sz w:val="32"/>
          <w:szCs w:val="32"/>
          <w:shd w:val="clear" w:color="auto" w:fill="FFFFFF"/>
          <w:lang w:val="en-US" w:eastAsia="zh-CN"/>
        </w:rPr>
        <w:t>1274.49</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1370.79</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107.56</w:t>
      </w:r>
      <w:r>
        <w:rPr>
          <w:rFonts w:ascii="Times New Roman" w:hAnsi="Times New Roman" w:eastAsia="仿宋_GB2312" w:cs="Times New Roman"/>
          <w:sz w:val="32"/>
          <w:szCs w:val="32"/>
        </w:rPr>
        <w:t>%，其中：</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lang w:val="en-US" w:eastAsia="zh-CN"/>
        </w:rPr>
        <w:t>教育</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val="en-US" w:eastAsia="zh-CN"/>
        </w:rPr>
        <w:t>教育管理事务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行政运行</w:t>
      </w:r>
      <w:r>
        <w:rPr>
          <w:rFonts w:ascii="Times New Roman" w:hAnsi="Times New Roman" w:eastAsia="仿宋_GB2312" w:cs="Times New Roman"/>
          <w:sz w:val="32"/>
          <w:szCs w:val="32"/>
        </w:rPr>
        <w:t>（项）。</w:t>
      </w:r>
    </w:p>
    <w:p>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cs="仿宋_GB2312"/>
          <w:bCs/>
          <w:color w:val="auto"/>
          <w:kern w:val="0"/>
          <w:sz w:val="32"/>
          <w:szCs w:val="32"/>
          <w:lang w:val="en-US" w:eastAsia="zh-CN" w:bidi="ar-SA"/>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4.95</w:t>
      </w:r>
      <w:r>
        <w:rPr>
          <w:rFonts w:ascii="Times New Roman" w:hAnsi="Times New Roman" w:eastAsia="仿宋_GB2312" w:cs="Times New Roman"/>
          <w:sz w:val="32"/>
          <w:szCs w:val="32"/>
        </w:rPr>
        <w:t>万元，</w:t>
      </w:r>
      <w:r>
        <w:rPr>
          <w:rFonts w:hint="eastAsia" w:ascii="Times New Roman" w:hAnsi="Times New Roman" w:eastAsia="仿宋_GB2312" w:cs="仿宋_GB2312"/>
          <w:bCs/>
          <w:color w:val="auto"/>
          <w:kern w:val="0"/>
          <w:sz w:val="32"/>
          <w:szCs w:val="32"/>
          <w:lang w:val="en-US" w:eastAsia="zh-CN" w:bidi="ar-SA"/>
        </w:rPr>
        <w:t>无法计算完成比率，决算数大于年初预算数的主要原因是：财政依据实际情况拨付2025年12月份基础性绩效奖。</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lang w:val="en-US" w:eastAsia="zh-CN"/>
        </w:rPr>
        <w:t>社会保障和就业</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val="en-US" w:eastAsia="zh-CN"/>
        </w:rPr>
        <w:t>行政事业单位养老</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机关事业单位基本养老保险缴费</w:t>
      </w:r>
      <w:r>
        <w:rPr>
          <w:rFonts w:ascii="Times New Roman" w:hAnsi="Times New Roman" w:eastAsia="仿宋_GB2312" w:cs="Times New Roman"/>
          <w:sz w:val="32"/>
          <w:szCs w:val="32"/>
        </w:rPr>
        <w:t>（项）。</w:t>
      </w:r>
    </w:p>
    <w:p>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cs="仿宋_GB2312"/>
          <w:bCs/>
          <w:color w:val="auto"/>
          <w:kern w:val="0"/>
          <w:sz w:val="32"/>
          <w:szCs w:val="32"/>
          <w:lang w:val="en-US" w:eastAsia="zh-CN" w:bidi="ar-SA"/>
        </w:rPr>
      </w:pPr>
      <w:r>
        <w:rPr>
          <w:rFonts w:ascii="Times New Roman" w:hAnsi="Times New Roman" w:eastAsia="仿宋_GB2312" w:cs="Times New Roman"/>
          <w:sz w:val="32"/>
          <w:szCs w:val="32"/>
        </w:rPr>
        <w:t>年初预算为</w:t>
      </w:r>
      <w:r>
        <w:rPr>
          <w:rFonts w:hint="eastAsia" w:ascii="仿宋_GB2312" w:hAnsi="仿宋_GB2312" w:eastAsia="仿宋_GB2312" w:cs="仿宋_GB2312"/>
          <w:color w:val="auto"/>
          <w:sz w:val="32"/>
          <w:szCs w:val="32"/>
          <w:shd w:val="clear" w:color="auto" w:fill="FFFFFF"/>
          <w:lang w:val="en-US" w:eastAsia="zh-CN"/>
        </w:rPr>
        <w:t>48.63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50.99</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104.85</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eastAsia="zh-CN"/>
        </w:rPr>
        <w:t>：</w:t>
      </w:r>
      <w:r>
        <w:rPr>
          <w:rFonts w:hint="eastAsia" w:ascii="Times New Roman" w:hAnsi="Times New Roman" w:eastAsia="仿宋_GB2312" w:cs="仿宋_GB2312"/>
          <w:bCs/>
          <w:color w:val="auto"/>
          <w:kern w:val="0"/>
          <w:sz w:val="32"/>
          <w:szCs w:val="32"/>
          <w:lang w:val="en-US" w:eastAsia="zh-CN" w:bidi="ar-SA"/>
        </w:rPr>
        <w:t>本年调整工资标准导致养老保险缴费基数提高，财政据实配套资金。</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卫生健康</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val="en-US" w:eastAsia="zh-CN"/>
        </w:rPr>
        <w:t>行政事业单位医疗</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行政单位医疗</w:t>
      </w:r>
      <w:r>
        <w:rPr>
          <w:rFonts w:ascii="Times New Roman" w:hAnsi="Times New Roman" w:eastAsia="仿宋_GB2312" w:cs="Times New Roman"/>
          <w:sz w:val="32"/>
          <w:szCs w:val="32"/>
        </w:rPr>
        <w:t>（项）。</w:t>
      </w:r>
    </w:p>
    <w:p>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cs="仿宋_GB2312"/>
          <w:bCs/>
          <w:color w:val="auto"/>
          <w:kern w:val="0"/>
          <w:sz w:val="32"/>
          <w:szCs w:val="32"/>
          <w:lang w:val="en-US" w:eastAsia="zh-CN" w:bidi="ar-SA"/>
        </w:rPr>
      </w:pPr>
      <w:r>
        <w:rPr>
          <w:rFonts w:hint="eastAsia" w:ascii="Times New Roman" w:hAnsi="Times New Roman" w:eastAsia="仿宋_GB2312" w:cs="仿宋_GB2312"/>
          <w:bCs/>
          <w:color w:val="auto"/>
          <w:kern w:val="0"/>
          <w:sz w:val="32"/>
          <w:szCs w:val="32"/>
          <w:lang w:val="en-US" w:eastAsia="zh-CN" w:bidi="ar-SA"/>
        </w:rPr>
        <w:t>年初预算为26.44万元，支出决算为 27.55万元，完成年初预算的 104.20%，决算数大于年初预算数的主要原因是：本年调整工资标准导致医疗保险缴费基数提高，财政据实配套医疗保险金。</w:t>
      </w:r>
    </w:p>
    <w:p>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cs="仿宋_GB2312"/>
          <w:bCs/>
          <w:color w:val="auto"/>
          <w:kern w:val="0"/>
          <w:sz w:val="32"/>
          <w:szCs w:val="32"/>
          <w:lang w:val="en-US" w:eastAsia="zh-CN" w:bidi="ar-SA"/>
        </w:rPr>
      </w:pPr>
      <w:r>
        <w:rPr>
          <w:rFonts w:hint="eastAsia" w:ascii="Times New Roman" w:hAnsi="Times New Roman" w:eastAsia="仿宋_GB2312" w:cs="仿宋_GB2312"/>
          <w:bCs/>
          <w:color w:val="auto"/>
          <w:kern w:val="0"/>
          <w:sz w:val="32"/>
          <w:szCs w:val="32"/>
          <w:lang w:val="en-US" w:eastAsia="zh-CN" w:bidi="ar-SA"/>
        </w:rPr>
        <w:t>4、卫生健康（类）医疗救助（款）其他医疗救助（项）</w:t>
      </w:r>
    </w:p>
    <w:p>
      <w:pPr>
        <w:keepNext w:val="0"/>
        <w:keepLines w:val="0"/>
        <w:widowControl/>
        <w:suppressLineNumbers w:val="0"/>
        <w:jc w:val="left"/>
        <w:rPr>
          <w:color w:val="auto"/>
        </w:rPr>
      </w:pPr>
      <w:r>
        <w:rPr>
          <w:rFonts w:hint="eastAsia" w:ascii="Times New Roman" w:hAnsi="Times New Roman" w:eastAsia="仿宋_GB2312" w:cs="仿宋_GB2312"/>
          <w:bCs/>
          <w:color w:val="auto"/>
          <w:kern w:val="0"/>
          <w:sz w:val="32"/>
          <w:szCs w:val="32"/>
          <w:lang w:val="en-US" w:eastAsia="zh-CN" w:bidi="ar-SA"/>
        </w:rPr>
        <w:t>年初预算为10万元，支出决算为7.42万元，完成年初预算的 74.2%，决算数小于年初预算数的主要原因是：年初全额下达我局的医疗救助工作经费年末有资金结余。</w:t>
      </w:r>
    </w:p>
    <w:p>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cs="仿宋_GB2312"/>
          <w:bCs/>
          <w:color w:val="auto"/>
          <w:kern w:val="0"/>
          <w:sz w:val="32"/>
          <w:szCs w:val="32"/>
          <w:lang w:val="en-US" w:eastAsia="zh-CN" w:bidi="ar-SA"/>
        </w:rPr>
      </w:pPr>
      <w:r>
        <w:rPr>
          <w:rFonts w:hint="eastAsia" w:ascii="Times New Roman" w:hAnsi="Times New Roman" w:eastAsia="仿宋_GB2312" w:cs="仿宋_GB2312"/>
          <w:bCs/>
          <w:color w:val="auto"/>
          <w:kern w:val="0"/>
          <w:sz w:val="32"/>
          <w:szCs w:val="32"/>
          <w:lang w:val="en-US" w:eastAsia="zh-CN" w:bidi="ar-SA"/>
        </w:rPr>
        <w:t>5、卫生健康（类）医疗保障管理事务（款）行政运行（项）</w:t>
      </w:r>
    </w:p>
    <w:p>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cs="仿宋_GB2312"/>
          <w:bCs/>
          <w:color w:val="0000FF"/>
          <w:kern w:val="0"/>
          <w:sz w:val="32"/>
          <w:szCs w:val="32"/>
          <w:lang w:val="en-US" w:eastAsia="zh-CN" w:bidi="ar-SA"/>
        </w:rPr>
      </w:pPr>
      <w:r>
        <w:rPr>
          <w:rFonts w:hint="eastAsia" w:ascii="Times New Roman" w:hAnsi="Times New Roman" w:eastAsia="仿宋_GB2312" w:cs="仿宋_GB2312"/>
          <w:bCs/>
          <w:color w:val="auto"/>
          <w:kern w:val="0"/>
          <w:sz w:val="32"/>
          <w:szCs w:val="32"/>
          <w:lang w:val="en-US" w:eastAsia="zh-CN" w:bidi="ar-SA"/>
        </w:rPr>
        <w:t>年初预算为475.33万元，支出决算为517.94万元，完成年初预算的108.96%，决算数大于预算数主要原因是：本年调高工资标准，相应增加人员经费。</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cs="仿宋_GB2312"/>
          <w:bCs/>
          <w:color w:val="auto"/>
          <w:kern w:val="0"/>
          <w:sz w:val="32"/>
          <w:szCs w:val="32"/>
          <w:lang w:val="en-US" w:eastAsia="zh-CN" w:bidi="ar-SA"/>
        </w:rPr>
      </w:pPr>
      <w:r>
        <w:rPr>
          <w:rFonts w:hint="eastAsia" w:ascii="Times New Roman" w:hAnsi="Times New Roman" w:eastAsia="仿宋_GB2312" w:cs="仿宋_GB2312"/>
          <w:bCs/>
          <w:color w:val="auto"/>
          <w:kern w:val="0"/>
          <w:sz w:val="32"/>
          <w:szCs w:val="32"/>
          <w:lang w:val="en-US" w:eastAsia="zh-CN" w:bidi="ar-SA"/>
        </w:rPr>
        <w:t>6、卫生健康（类）医疗保障管理事务（款）医疗保障政策管理（项）</w:t>
      </w:r>
    </w:p>
    <w:p>
      <w:pPr>
        <w:keepNext w:val="0"/>
        <w:keepLines w:val="0"/>
        <w:widowControl/>
        <w:suppressLineNumbers w:val="0"/>
        <w:ind w:firstLine="640" w:firstLineChars="200"/>
        <w:jc w:val="left"/>
        <w:rPr>
          <w:rFonts w:hint="eastAsia" w:ascii="Times New Roman" w:hAnsi="Times New Roman" w:eastAsia="仿宋_GB2312" w:cs="仿宋_GB2312"/>
          <w:bCs/>
          <w:color w:val="auto"/>
          <w:kern w:val="0"/>
          <w:sz w:val="32"/>
          <w:szCs w:val="32"/>
          <w:lang w:val="en-US" w:eastAsia="zh-CN" w:bidi="ar-SA"/>
        </w:rPr>
      </w:pPr>
      <w:r>
        <w:rPr>
          <w:rFonts w:hint="eastAsia" w:ascii="Times New Roman" w:hAnsi="Times New Roman" w:eastAsia="仿宋_GB2312" w:cs="仿宋_GB2312"/>
          <w:bCs/>
          <w:color w:val="auto"/>
          <w:kern w:val="0"/>
          <w:sz w:val="32"/>
          <w:szCs w:val="32"/>
          <w:lang w:val="en-US" w:eastAsia="zh-CN" w:bidi="ar-SA"/>
        </w:rPr>
        <w:t>年初预算为52.7万元，支出决算为65万元，完成年初预算的123.34%，决算数大于预算数的原因：一是省医保局实际下达我局医保能力提升补助资金为65万元，比预算数多20万；二是财政依据实际情况将年初预算列入本类、款、项的医疗保险监管经费指标下达为其他医疗保障管理事务项。</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cs="仿宋_GB2312"/>
          <w:bCs/>
          <w:color w:val="auto"/>
          <w:kern w:val="0"/>
          <w:sz w:val="32"/>
          <w:szCs w:val="32"/>
          <w:lang w:val="en-US" w:eastAsia="zh-CN" w:bidi="ar-SA"/>
        </w:rPr>
      </w:pPr>
      <w:r>
        <w:rPr>
          <w:rFonts w:hint="eastAsia" w:ascii="Times New Roman" w:hAnsi="Times New Roman" w:eastAsia="仿宋_GB2312" w:cs="仿宋_GB2312"/>
          <w:bCs/>
          <w:color w:val="auto"/>
          <w:kern w:val="0"/>
          <w:sz w:val="32"/>
          <w:szCs w:val="32"/>
          <w:lang w:val="en-US" w:eastAsia="zh-CN" w:bidi="ar-SA"/>
        </w:rPr>
        <w:t>7、卫生健康（类）医疗保障管理事务（款）医疗保障经办事务（项）</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lang w:val="en-US" w:eastAsia="zh-CN"/>
        </w:rPr>
      </w:pPr>
      <w:r>
        <w:rPr>
          <w:rFonts w:hint="eastAsia" w:ascii="Times New Roman" w:hAnsi="Times New Roman" w:eastAsia="仿宋_GB2312" w:cs="仿宋_GB2312"/>
          <w:bCs/>
          <w:color w:val="auto"/>
          <w:kern w:val="0"/>
          <w:sz w:val="32"/>
          <w:szCs w:val="32"/>
          <w:lang w:val="en-US" w:eastAsia="zh-CN" w:bidi="ar-SA"/>
        </w:rPr>
        <w:t>年初预算为14万元，支出决算为0万元，无法计算完成比率，决算数小于年初预算数的主要原因是：财政将年初列医疗保障经办事务（项）的慢特病门诊待遇保障</w:t>
      </w:r>
      <w:r>
        <w:rPr>
          <w:rFonts w:hint="eastAsia" w:ascii="仿宋_GB2312" w:hAnsi="仿宋_GB2312" w:eastAsia="仿宋_GB2312" w:cs="仿宋_GB2312"/>
          <w:bCs/>
          <w:color w:val="auto"/>
          <w:sz w:val="32"/>
          <w:szCs w:val="32"/>
        </w:rPr>
        <w:t>管理专家评审等工作经费</w:t>
      </w:r>
      <w:r>
        <w:rPr>
          <w:rFonts w:hint="eastAsia" w:ascii="Times New Roman" w:hAnsi="Times New Roman" w:eastAsia="仿宋_GB2312" w:cs="仿宋_GB2312"/>
          <w:bCs/>
          <w:color w:val="auto"/>
          <w:kern w:val="0"/>
          <w:sz w:val="32"/>
          <w:szCs w:val="32"/>
          <w:lang w:val="en-US" w:eastAsia="zh-CN" w:bidi="ar-SA"/>
        </w:rPr>
        <w:t>调整到其他医疗保障管理事务项。</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cs="仿宋_GB2312"/>
          <w:bCs/>
          <w:color w:val="auto"/>
          <w:kern w:val="0"/>
          <w:sz w:val="32"/>
          <w:szCs w:val="32"/>
          <w:lang w:val="en-US" w:eastAsia="zh-CN" w:bidi="ar-SA"/>
        </w:rPr>
      </w:pPr>
      <w:r>
        <w:rPr>
          <w:rFonts w:hint="eastAsia" w:ascii="Times New Roman" w:hAnsi="Times New Roman" w:eastAsia="仿宋_GB2312" w:cs="仿宋_GB2312"/>
          <w:bCs/>
          <w:color w:val="auto"/>
          <w:kern w:val="0"/>
          <w:sz w:val="32"/>
          <w:szCs w:val="32"/>
          <w:lang w:val="en-US" w:eastAsia="zh-CN" w:bidi="ar-SA"/>
        </w:rPr>
        <w:t>8、卫生健康（类）医疗保障管理事务（款）其他医疗保障管理事务（项）</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cs="仿宋_GB2312"/>
          <w:bCs/>
          <w:color w:val="0000FF"/>
          <w:kern w:val="0"/>
          <w:sz w:val="32"/>
          <w:szCs w:val="32"/>
          <w:lang w:val="en-US" w:eastAsia="zh-CN" w:bidi="ar-SA"/>
        </w:rPr>
      </w:pPr>
      <w:r>
        <w:rPr>
          <w:rFonts w:hint="eastAsia" w:ascii="Times New Roman" w:hAnsi="Times New Roman" w:eastAsia="仿宋_GB2312" w:cs="仿宋_GB2312"/>
          <w:bCs/>
          <w:color w:val="auto"/>
          <w:kern w:val="0"/>
          <w:sz w:val="32"/>
          <w:szCs w:val="32"/>
          <w:lang w:val="en-US" w:eastAsia="zh-CN" w:bidi="ar-SA"/>
        </w:rPr>
        <w:t>年初预算为622.2万元，支出决算为696.94万元，完成年初预算的112.01%，决算数大于预算数的主要原因是：财政将年初预算列医疗保障管理事务（款）医疗保障经办事务（项）的慢特病门诊待遇保障</w:t>
      </w:r>
      <w:r>
        <w:rPr>
          <w:rFonts w:hint="eastAsia" w:ascii="仿宋_GB2312" w:hAnsi="仿宋_GB2312" w:eastAsia="仿宋_GB2312" w:cs="仿宋_GB2312"/>
          <w:bCs/>
          <w:color w:val="auto"/>
          <w:sz w:val="32"/>
          <w:szCs w:val="32"/>
        </w:rPr>
        <w:t>管理专家评审等工作经费</w:t>
      </w:r>
      <w:r>
        <w:rPr>
          <w:rFonts w:hint="eastAsia" w:ascii="Times New Roman" w:hAnsi="Times New Roman" w:eastAsia="仿宋_GB2312" w:cs="仿宋_GB2312"/>
          <w:bCs/>
          <w:color w:val="auto"/>
          <w:kern w:val="0"/>
          <w:sz w:val="32"/>
          <w:szCs w:val="32"/>
          <w:lang w:val="en-US" w:eastAsia="zh-CN" w:bidi="ar-SA"/>
        </w:rPr>
        <w:t>9.6万元和医疗保障政策管理（项）的医疗保险监管经费4.45万元调整到本项，同时据实拨付年初列财政大预算的2025年度城乡医保目标管理绩效考核经费55万元。</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1275.11</w:t>
      </w:r>
      <w:r>
        <w:rPr>
          <w:rFonts w:ascii="Times New Roman" w:hAnsi="Times New Roman" w:eastAsia="仿宋_GB2312" w:cs="Times New Roman"/>
          <w:sz w:val="32"/>
          <w:szCs w:val="32"/>
        </w:rPr>
        <w:t>万元，其中：</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color w:val="auto"/>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1048.12</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82.20</w:t>
      </w:r>
      <w:r>
        <w:rPr>
          <w:rFonts w:ascii="Times New Roman" w:hAnsi="Times New Roman" w:eastAsia="仿宋_GB2312" w:cs="Times New Roman"/>
          <w:sz w:val="32"/>
          <w:szCs w:val="32"/>
        </w:rPr>
        <w:t>%,主要包括基本工资、津贴补贴、奖金、</w:t>
      </w:r>
      <w:r>
        <w:rPr>
          <w:rFonts w:hint="eastAsia" w:ascii="Times New Roman" w:hAnsi="Times New Roman" w:eastAsia="仿宋_GB2312" w:cs="Times New Roman"/>
          <w:sz w:val="32"/>
          <w:szCs w:val="32"/>
          <w:lang w:val="en-US" w:eastAsia="zh-CN"/>
        </w:rPr>
        <w:t>绩效工资、机关事业单位基本养老保险缴费、职工基本医疗保险缴费、医疗费补助</w:t>
      </w:r>
      <w:r>
        <w:rPr>
          <w:rFonts w:hint="eastAsia" w:ascii="Times New Roman" w:hAnsi="Times New Roman" w:eastAsia="仿宋_GB2312"/>
          <w:color w:val="auto"/>
          <w:sz w:val="32"/>
          <w:szCs w:val="32"/>
          <w:lang w:val="en-US" w:eastAsia="zh-CN"/>
        </w:rPr>
        <w:t>等。</w:t>
      </w: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226.99</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17.80</w:t>
      </w:r>
      <w:r>
        <w:rPr>
          <w:rFonts w:ascii="Times New Roman" w:hAnsi="Times New Roman" w:eastAsia="仿宋_GB2312" w:cs="Times New Roman"/>
          <w:sz w:val="32"/>
          <w:szCs w:val="32"/>
        </w:rPr>
        <w:t>%，主要包括办公费、印刷费、</w:t>
      </w:r>
      <w:r>
        <w:rPr>
          <w:rFonts w:hint="eastAsia" w:ascii="Times New Roman" w:hAnsi="Times New Roman" w:eastAsia="仿宋_GB2312"/>
          <w:color w:val="auto"/>
          <w:sz w:val="32"/>
          <w:szCs w:val="32"/>
          <w:lang w:val="en-US" w:eastAsia="zh-CN"/>
        </w:rPr>
        <w:t>电费、邮电费、差旅费、租赁费、劳务费、工会经费、福利费、其他交通费用、其他商品和服务支出、办公设备购置和信息网络及软件购置更新等</w:t>
      </w:r>
      <w:r>
        <w:rPr>
          <w:rFonts w:hint="eastAsia" w:ascii="Times New Roman" w:hAnsi="Times New Roman" w:eastAsia="仿宋_GB2312"/>
          <w:color w:val="auto"/>
          <w:sz w:val="32"/>
          <w:szCs w:val="32"/>
        </w:rPr>
        <w:t>。</w:t>
      </w:r>
    </w:p>
    <w:p>
      <w:pPr>
        <w:pStyle w:val="14"/>
        <w:numPr>
          <w:ilvl w:val="0"/>
          <w:numId w:val="1"/>
        </w:numP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财政拨款“三公”经费支出决算情况说明</w:t>
      </w:r>
    </w:p>
    <w:p>
      <w:pPr>
        <w:pStyle w:val="14"/>
        <w:numPr>
          <w:ilvl w:val="0"/>
          <w:numId w:val="0"/>
        </w:numPr>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1.23</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p>
    <w:p>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pPr>
        <w:pStyle w:val="14"/>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全年</w:t>
      </w:r>
      <w:r>
        <w:rPr>
          <w:rFonts w:ascii="Times New Roman" w:hAnsi="Times New Roman" w:eastAsia="仿宋_GB2312" w:cs="Times New Roman"/>
          <w:sz w:val="32"/>
          <w:szCs w:val="32"/>
        </w:rPr>
        <w:t>安排因公出国（境）团组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个，累计</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r>
        <w:rPr>
          <w:rFonts w:hint="eastAsia" w:ascii="Times New Roman" w:hAnsi="Times New Roman" w:eastAsia="仿宋_GB2312" w:cs="Times New Roman"/>
          <w:sz w:val="32"/>
          <w:szCs w:val="32"/>
          <w:lang w:eastAsia="zh-CN"/>
        </w:rPr>
        <w:t>，</w:t>
      </w:r>
      <w:r>
        <w:rPr>
          <w:rFonts w:hint="eastAsia" w:ascii="Times New Roman" w:hAnsi="Times New Roman" w:eastAsia="仿宋_GB2312" w:cs="黑体"/>
          <w:color w:val="auto"/>
          <w:kern w:val="0"/>
          <w:sz w:val="32"/>
          <w:szCs w:val="32"/>
          <w:lang w:val="en-US" w:eastAsia="zh-CN" w:bidi="ar-SA"/>
        </w:rPr>
        <w:t>无相关开支内容。</w:t>
      </w:r>
    </w:p>
    <w:p>
      <w:pPr>
        <w:pStyle w:val="14"/>
        <w:numPr>
          <w:ilvl w:val="0"/>
          <w:numId w:val="0"/>
        </w:numP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公务用车购置费及运行维护费支出预算为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hint="eastAsia" w:ascii="Times New Roman" w:hAnsi="Times New Roman" w:eastAsia="仿宋_GB2312" w:cs="黑体"/>
          <w:color w:val="auto"/>
          <w:kern w:val="0"/>
          <w:sz w:val="32"/>
          <w:szCs w:val="32"/>
          <w:lang w:val="en-US" w:eastAsia="zh-CN" w:bidi="ar-SA"/>
        </w:rPr>
        <w:t>其中：公务用车购置费0万元。公务用车运行维护费0万元，无相关支出，</w:t>
      </w:r>
      <w:r>
        <w:rPr>
          <w:rFonts w:ascii="Times New Roman" w:hAnsi="Times New Roman" w:eastAsia="仿宋_GB2312" w:cs="Times New Roman"/>
          <w:sz w:val="32"/>
          <w:szCs w:val="32"/>
        </w:rPr>
        <w:t>截止202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1.23</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本单位</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w:t>
      </w:r>
      <w:r>
        <w:rPr>
          <w:rFonts w:hint="eastAsia" w:ascii="Times New Roman" w:hAnsi="Times New Roman" w:eastAsia="仿宋_GB2312" w:cs="Times New Roman"/>
          <w:sz w:val="32"/>
          <w:szCs w:val="32"/>
          <w:lang w:val="en-US" w:eastAsia="zh-CN"/>
        </w:rPr>
        <w:t>无</w:t>
      </w:r>
      <w:r>
        <w:rPr>
          <w:rFonts w:ascii="Times New Roman" w:hAnsi="Times New Roman" w:eastAsia="仿宋_GB2312" w:cs="Times New Roman"/>
          <w:sz w:val="32"/>
          <w:szCs w:val="32"/>
        </w:rPr>
        <w:t>政府性基金</w:t>
      </w:r>
      <w:r>
        <w:rPr>
          <w:rFonts w:hint="eastAsia" w:ascii="Times New Roman" w:hAnsi="Times New Roman" w:eastAsia="仿宋_GB2312" w:cs="Times New Roman"/>
          <w:sz w:val="32"/>
          <w:szCs w:val="32"/>
          <w:lang w:val="en-US" w:eastAsia="zh-CN"/>
        </w:rPr>
        <w:t>收支</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pPr>
        <w:keepNext w:val="0"/>
        <w:keepLines w:val="0"/>
        <w:widowControl/>
        <w:suppressLineNumbers w:val="0"/>
        <w:ind w:firstLine="640" w:firstLineChars="200"/>
        <w:jc w:val="left"/>
        <w:rPr>
          <w:rFonts w:hint="eastAsia" w:ascii="Times New Roman" w:hAnsi="Times New Roman" w:eastAsia="仿宋_GB2312" w:cs="黑体"/>
          <w:color w:val="FF0000"/>
          <w:kern w:val="0"/>
          <w:sz w:val="32"/>
          <w:szCs w:val="32"/>
          <w:lang w:val="en-US" w:eastAsia="zh-CN" w:bidi="ar-SA"/>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226.98</w:t>
      </w:r>
      <w:r>
        <w:rPr>
          <w:rFonts w:ascii="Times New Roman" w:hAnsi="Times New Roman" w:eastAsia="仿宋_GB2312" w:cs="Times New Roman"/>
          <w:sz w:val="32"/>
          <w:szCs w:val="32"/>
        </w:rPr>
        <w:t>万元，</w:t>
      </w:r>
      <w:r>
        <w:rPr>
          <w:rFonts w:hint="eastAsia" w:ascii="Times New Roman" w:hAnsi="Times New Roman" w:eastAsia="仿宋_GB2312" w:cs="黑体"/>
          <w:color w:val="auto"/>
          <w:kern w:val="0"/>
          <w:sz w:val="32"/>
          <w:szCs w:val="32"/>
          <w:lang w:val="en-US" w:eastAsia="zh-CN" w:bidi="ar-SA"/>
        </w:rPr>
        <w:t>比上年决算数减少208.1万元，降低47.83%。主要原因：全面落实“过紧日子”要求，压减机关运行经费开支。</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pPr>
        <w:pStyle w:val="14"/>
        <w:overflowPunct w:val="0"/>
        <w:autoSpaceDE/>
        <w:autoSpaceDN/>
        <w:spacing w:line="600" w:lineRule="exact"/>
        <w:ind w:firstLine="640" w:firstLineChars="200"/>
        <w:jc w:val="both"/>
        <w:rPr>
          <w:rFonts w:hint="eastAsia" w:ascii="Times New Roman" w:hAnsi="Times New Roman" w:eastAsia="仿宋_GB2312"/>
          <w:color w:val="auto"/>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w:t>
      </w:r>
      <w:r>
        <w:rPr>
          <w:rFonts w:hint="eastAsia" w:ascii="Times New Roman" w:hAnsi="Times New Roman" w:eastAsia="仿宋_GB2312" w:cs="Times New Roman"/>
          <w:sz w:val="32"/>
          <w:szCs w:val="32"/>
          <w:lang w:val="en-US" w:eastAsia="zh-CN"/>
        </w:rPr>
        <w:t>无</w:t>
      </w:r>
      <w:r>
        <w:rPr>
          <w:rFonts w:ascii="Times New Roman" w:hAnsi="Times New Roman" w:eastAsia="仿宋_GB2312" w:cs="Times New Roman"/>
          <w:sz w:val="32"/>
          <w:szCs w:val="32"/>
        </w:rPr>
        <w:t>会议费</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培训费</w:t>
      </w:r>
      <w:r>
        <w:rPr>
          <w:rFonts w:hint="eastAsia" w:ascii="Times New Roman" w:hAnsi="Times New Roman" w:eastAsia="仿宋_GB2312" w:cs="Times New Roman"/>
          <w:sz w:val="32"/>
          <w:szCs w:val="32"/>
          <w:lang w:val="en-US" w:eastAsia="zh-CN"/>
        </w:rPr>
        <w:t>开支，</w:t>
      </w:r>
      <w:r>
        <w:rPr>
          <w:rFonts w:hint="eastAsia" w:ascii="Times New Roman" w:hAnsi="Times New Roman" w:eastAsia="仿宋_GB2312"/>
          <w:color w:val="auto"/>
          <w:sz w:val="32"/>
          <w:szCs w:val="32"/>
          <w:lang w:val="en-US" w:eastAsia="zh-CN"/>
        </w:rPr>
        <w:t>无</w:t>
      </w:r>
      <w:r>
        <w:rPr>
          <w:rFonts w:hint="eastAsia" w:ascii="Times New Roman" w:hAnsi="Times New Roman" w:eastAsia="仿宋_GB2312"/>
          <w:color w:val="auto"/>
          <w:sz w:val="32"/>
          <w:szCs w:val="32"/>
        </w:rPr>
        <w:t>节庆、晚会、论坛、赛事活动。</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仿宋_GB2312" w:hAnsi="仿宋" w:eastAsia="仿宋_GB2312" w:cs="仿宋"/>
          <w:bCs/>
          <w:color w:val="auto"/>
          <w:sz w:val="32"/>
          <w:szCs w:val="32"/>
          <w:lang w:val="en-US" w:eastAsia="zh-CN"/>
        </w:rPr>
        <w:t>98.69</w:t>
      </w:r>
      <w:r>
        <w:rPr>
          <w:rFonts w:ascii="Times New Roman" w:hAnsi="Times New Roman" w:eastAsia="仿宋_GB2312" w:cs="Times New Roman"/>
          <w:sz w:val="32"/>
          <w:szCs w:val="32"/>
        </w:rPr>
        <w:t>万元，其中：政府采购货物支出</w:t>
      </w:r>
      <w:r>
        <w:rPr>
          <w:rFonts w:hint="eastAsia" w:ascii="仿宋_GB2312" w:hAnsi="仿宋" w:eastAsia="仿宋_GB2312" w:cs="仿宋"/>
          <w:bCs/>
          <w:color w:val="auto"/>
          <w:sz w:val="32"/>
          <w:szCs w:val="32"/>
          <w:lang w:val="en-US" w:eastAsia="zh-CN"/>
        </w:rPr>
        <w:t>87.49</w:t>
      </w:r>
      <w:r>
        <w:rPr>
          <w:rFonts w:ascii="Times New Roman" w:hAnsi="Times New Roman" w:eastAsia="仿宋_GB2312" w:cs="Times New Roman"/>
          <w:sz w:val="32"/>
          <w:szCs w:val="32"/>
        </w:rPr>
        <w:t xml:space="preserve"> 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仿宋_GB2312" w:hAnsi="仿宋" w:eastAsia="仿宋_GB2312" w:cs="仿宋"/>
          <w:bCs/>
          <w:color w:val="auto"/>
          <w:sz w:val="32"/>
          <w:szCs w:val="32"/>
          <w:lang w:val="en-US" w:eastAsia="zh-CN"/>
        </w:rPr>
        <w:t>11.2</w:t>
      </w:r>
      <w:r>
        <w:rPr>
          <w:rFonts w:ascii="Times New Roman" w:hAnsi="Times New Roman" w:eastAsia="仿宋_GB2312" w:cs="Times New Roman"/>
          <w:sz w:val="32"/>
          <w:szCs w:val="32"/>
        </w:rPr>
        <w:t>万元。授予中小企业合同金额</w:t>
      </w:r>
      <w:r>
        <w:rPr>
          <w:rFonts w:hint="eastAsia" w:ascii="仿宋_GB2312" w:hAnsi="仿宋" w:eastAsia="仿宋_GB2312" w:cs="仿宋"/>
          <w:bCs/>
          <w:color w:val="auto"/>
          <w:sz w:val="32"/>
          <w:szCs w:val="32"/>
          <w:lang w:val="en-US" w:eastAsia="zh-CN"/>
        </w:rPr>
        <w:t>98.69</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w:t>
      </w:r>
    </w:p>
    <w:p>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年12月31日，部门共有车辆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w:t>
      </w:r>
    </w:p>
    <w:p>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pPr>
        <w:overflowPunct w:val="0"/>
        <w:spacing w:line="600" w:lineRule="exact"/>
        <w:ind w:firstLine="640" w:firstLineChars="200"/>
        <w:rPr>
          <w:rFonts w:hint="eastAsia" w:ascii="Times New Roman" w:hAnsi="Times New Roman" w:eastAsia="仿宋_GB2312" w:cs="Times New Roman"/>
          <w:kern w:val="0"/>
          <w:sz w:val="32"/>
          <w:szCs w:val="32"/>
          <w:lang w:eastAsia="zh-CN"/>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val="0"/>
          <w:bCs w:val="0"/>
          <w:kern w:val="0"/>
          <w:sz w:val="32"/>
          <w:szCs w:val="32"/>
        </w:rPr>
        <w:t>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年度本部门整体支出开展绩效自评，涉及项目</w:t>
      </w:r>
      <w:r>
        <w:rPr>
          <w:rFonts w:hint="eastAsia" w:ascii="Times New Roman" w:hAnsi="Times New Roman" w:eastAsia="仿宋_GB2312" w:cs="Times New Roman"/>
          <w:kern w:val="0"/>
          <w:sz w:val="32"/>
          <w:szCs w:val="32"/>
          <w:lang w:val="en-US" w:eastAsia="zh-CN"/>
        </w:rPr>
        <w:t>2</w:t>
      </w:r>
      <w:r>
        <w:rPr>
          <w:rFonts w:ascii="Times New Roman" w:hAnsi="Times New Roman" w:eastAsia="仿宋_GB2312" w:cs="Times New Roman"/>
          <w:kern w:val="0"/>
          <w:sz w:val="32"/>
          <w:szCs w:val="32"/>
        </w:rPr>
        <w:t>个，共涉及资金</w:t>
      </w:r>
      <w:r>
        <w:rPr>
          <w:rFonts w:hint="eastAsia" w:ascii="Times New Roman" w:hAnsi="Times New Roman" w:eastAsia="仿宋_GB2312" w:cs="Times New Roman"/>
          <w:kern w:val="0"/>
          <w:sz w:val="32"/>
          <w:szCs w:val="32"/>
          <w:lang w:val="en-US" w:eastAsia="zh-CN"/>
        </w:rPr>
        <w:t>95.68</w:t>
      </w:r>
      <w:r>
        <w:rPr>
          <w:rFonts w:ascii="Times New Roman" w:hAnsi="Times New Roman" w:eastAsia="仿宋_GB2312" w:cs="Times New Roman"/>
          <w:kern w:val="0"/>
          <w:sz w:val="32"/>
          <w:szCs w:val="32"/>
        </w:rPr>
        <w:t>万元</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lang w:val="en-US" w:eastAsia="zh-CN"/>
        </w:rPr>
        <w:t>全部为</w:t>
      </w:r>
      <w:r>
        <w:rPr>
          <w:rFonts w:ascii="Times New Roman" w:hAnsi="Times New Roman" w:eastAsia="仿宋_GB2312" w:cs="Times New Roman"/>
          <w:kern w:val="0"/>
          <w:sz w:val="32"/>
          <w:szCs w:val="32"/>
        </w:rPr>
        <w:t>一般公共预算项目</w:t>
      </w:r>
      <w:r>
        <w:rPr>
          <w:rFonts w:hint="eastAsia" w:ascii="Times New Roman" w:hAnsi="Times New Roman" w:eastAsia="仿宋_GB2312" w:cs="Times New Roman"/>
          <w:kern w:val="0"/>
          <w:sz w:val="32"/>
          <w:szCs w:val="32"/>
          <w:lang w:eastAsia="zh-CN"/>
        </w:rPr>
        <w:t>。</w:t>
      </w:r>
    </w:p>
    <w:p>
      <w:pPr>
        <w:overflowPunct w:val="0"/>
        <w:spacing w:line="600" w:lineRule="exact"/>
        <w:ind w:firstLine="640" w:firstLineChars="200"/>
        <w:rPr>
          <w:rFonts w:ascii="Times New Roman" w:hAnsi="Times New Roman" w:eastAsia="仿宋_GB2312" w:cs="Times New Roman"/>
          <w:bCs/>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val="0"/>
          <w:bCs w:val="0"/>
          <w:kern w:val="0"/>
          <w:sz w:val="32"/>
          <w:szCs w:val="32"/>
        </w:rPr>
        <w:t>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年度本部门整体支出</w:t>
      </w:r>
      <w:r>
        <w:rPr>
          <w:rFonts w:ascii="Times New Roman" w:hAnsi="Times New Roman" w:eastAsia="仿宋_GB2312" w:cs="Times New Roman"/>
          <w:sz w:val="32"/>
          <w:szCs w:val="32"/>
        </w:rPr>
        <w:t>全年预算数</w:t>
      </w:r>
      <w:r>
        <w:rPr>
          <w:rFonts w:hint="eastAsia" w:ascii="仿宋_GB2312" w:hAnsi="仿宋_GB2312" w:eastAsia="仿宋_GB2312" w:cs="仿宋_GB2312"/>
          <w:color w:val="auto"/>
          <w:sz w:val="32"/>
          <w:szCs w:val="32"/>
          <w:shd w:val="clear" w:color="auto" w:fill="FFFFFF"/>
          <w:lang w:val="en-US" w:eastAsia="zh-CN"/>
        </w:rPr>
        <w:t>1274.49</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1370.79</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107.56</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94.79</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优</w:t>
      </w:r>
      <w:r>
        <w:rPr>
          <w:rFonts w:ascii="Times New Roman" w:hAnsi="Times New Roman" w:eastAsia="仿宋_GB2312" w:cs="Times New Roman"/>
          <w:sz w:val="32"/>
          <w:szCs w:val="32"/>
        </w:rPr>
        <w:t>”。</w:t>
      </w: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spacing w:line="360" w:lineRule="auto"/>
        <w:jc w:val="center"/>
        <w:rPr>
          <w:rFonts w:ascii="Times New Roman" w:hAnsi="Times New Roman" w:eastAsia="方正小标宋_GBK" w:cs="Times New Roman"/>
          <w:sz w:val="52"/>
          <w:szCs w:val="52"/>
        </w:rPr>
      </w:pPr>
    </w:p>
    <w:p>
      <w:pPr>
        <w:pStyle w:val="14"/>
        <w:spacing w:line="360" w:lineRule="auto"/>
        <w:jc w:val="center"/>
        <w:rPr>
          <w:rFonts w:ascii="Times New Roman" w:hAnsi="Times New Roman" w:eastAsia="方正小标宋_GBK" w:cs="Times New Roman"/>
          <w:sz w:val="52"/>
          <w:szCs w:val="52"/>
        </w:rPr>
      </w:pPr>
    </w:p>
    <w:p>
      <w:pPr>
        <w:pStyle w:val="14"/>
        <w:spacing w:line="360" w:lineRule="auto"/>
        <w:jc w:val="center"/>
        <w:rPr>
          <w:rFonts w:ascii="Times New Roman" w:hAnsi="Times New Roman" w:eastAsia="方正小标宋_GBK" w:cs="Times New Roman"/>
          <w:sz w:val="52"/>
          <w:szCs w:val="52"/>
        </w:rPr>
      </w:pPr>
    </w:p>
    <w:p>
      <w:pPr>
        <w:pStyle w:val="14"/>
        <w:spacing w:line="360" w:lineRule="auto"/>
        <w:jc w:val="center"/>
        <w:rPr>
          <w:rFonts w:ascii="Times New Roman" w:hAnsi="Times New Roman" w:eastAsia="方正小标宋_GBK" w:cs="Times New Roman"/>
          <w:sz w:val="52"/>
          <w:szCs w:val="52"/>
        </w:rPr>
      </w:pPr>
    </w:p>
    <w:p>
      <w:pPr>
        <w:pStyle w:val="14"/>
        <w:spacing w:line="360" w:lineRule="auto"/>
        <w:jc w:val="center"/>
        <w:rPr>
          <w:rFonts w:ascii="Times New Roman" w:hAnsi="Times New Roman" w:eastAsia="方正小标宋_GBK" w:cs="Times New Roman"/>
          <w:sz w:val="52"/>
          <w:szCs w:val="52"/>
        </w:rPr>
      </w:pPr>
    </w:p>
    <w:p>
      <w:pPr>
        <w:pStyle w:val="14"/>
        <w:spacing w:line="360" w:lineRule="auto"/>
        <w:jc w:val="center"/>
        <w:rPr>
          <w:rFonts w:ascii="Times New Roman" w:hAnsi="Times New Roman" w:eastAsia="方正小标宋_GBK" w:cs="Times New Roman"/>
          <w:sz w:val="52"/>
          <w:szCs w:val="52"/>
        </w:rPr>
      </w:pPr>
    </w:p>
    <w:p>
      <w:pPr>
        <w:pStyle w:val="14"/>
        <w:spacing w:line="360" w:lineRule="auto"/>
        <w:jc w:val="center"/>
        <w:rPr>
          <w:rFonts w:ascii="Times New Roman" w:hAnsi="Times New Roman" w:eastAsia="方正小标宋_GBK" w:cs="Times New Roman"/>
          <w:sz w:val="52"/>
          <w:szCs w:val="52"/>
        </w:rPr>
      </w:pPr>
    </w:p>
    <w:p>
      <w:pPr>
        <w:pStyle w:val="14"/>
        <w:spacing w:line="360" w:lineRule="auto"/>
        <w:jc w:val="center"/>
        <w:rPr>
          <w:rFonts w:ascii="Times New Roman" w:hAnsi="Times New Roman" w:eastAsia="方正小标宋_GBK" w:cs="Times New Roman"/>
          <w:sz w:val="52"/>
          <w:szCs w:val="52"/>
        </w:rPr>
      </w:pPr>
    </w:p>
    <w:p>
      <w:pPr>
        <w:pStyle w:val="14"/>
        <w:spacing w:line="360" w:lineRule="auto"/>
        <w:jc w:val="both"/>
        <w:rPr>
          <w:rFonts w:ascii="Times New Roman" w:hAnsi="Times New Roman" w:eastAsia="方正小标宋_GBK" w:cs="Times New Roman"/>
          <w:sz w:val="52"/>
          <w:szCs w:val="52"/>
        </w:rPr>
      </w:pPr>
    </w:p>
    <w:p>
      <w:pPr>
        <w:pStyle w:val="14"/>
        <w:numPr>
          <w:ilvl w:val="0"/>
          <w:numId w:val="2"/>
        </w:numPr>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 xml:space="preserve">   名词解释</w:t>
      </w:r>
    </w:p>
    <w:p/>
    <w:p>
      <w:pPr>
        <w:keepNext w:val="0"/>
        <w:keepLines w:val="0"/>
        <w:widowControl/>
        <w:suppressLineNumbers w:val="0"/>
        <w:ind w:firstLine="640" w:firstLineChars="200"/>
        <w:jc w:val="left"/>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 xml:space="preserve">1．财政拨款收入：指单位本年度从同级财政部门取得的各类财政拨款。 </w:t>
      </w:r>
    </w:p>
    <w:p>
      <w:pPr>
        <w:keepNext w:val="0"/>
        <w:keepLines w:val="0"/>
        <w:widowControl/>
        <w:suppressLineNumbers w:val="0"/>
        <w:ind w:firstLine="640" w:firstLineChars="200"/>
        <w:jc w:val="left"/>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 xml:space="preserve">2．上级补助收入：指事业单位从主管部门和上级单位取得的非财政补助收入。 </w:t>
      </w:r>
    </w:p>
    <w:p>
      <w:pPr>
        <w:keepNext w:val="0"/>
        <w:keepLines w:val="0"/>
        <w:widowControl/>
        <w:suppressLineNumbers w:val="0"/>
        <w:ind w:firstLine="640" w:firstLineChars="200"/>
        <w:jc w:val="left"/>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 xml:space="preserve">3．机关运行经费：指行政单位（含参照公务员法管理的事业单位）使用一般公共预算安排的基本支出中的公用经费支出，包括办公及印刷费、邮电费、差旅费、会议费、福利费、日常维修费、专用材料及一般设备购置费、办公用房水电费、办公用房取暖费、办公用房物业管理费、公务用车运行维护费及其他费用。 </w:t>
      </w:r>
    </w:p>
    <w:p>
      <w:pPr>
        <w:keepNext w:val="0"/>
        <w:keepLines w:val="0"/>
        <w:widowControl/>
        <w:suppressLineNumbers w:val="0"/>
        <w:ind w:firstLine="640" w:firstLineChars="200"/>
        <w:jc w:val="left"/>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 xml:space="preserve">4．“三公”经费：指单位用一般公共预算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 </w:t>
      </w:r>
    </w:p>
    <w:p>
      <w:pPr>
        <w:keepNext w:val="0"/>
        <w:keepLines w:val="0"/>
        <w:widowControl/>
        <w:suppressLineNumbers w:val="0"/>
        <w:ind w:firstLine="640" w:firstLineChars="200"/>
        <w:jc w:val="left"/>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 xml:space="preserve">5．对附属单位补助支出：指事业单位用财政拨款收入之外的收入对附属单位补助发生的支出。 </w:t>
      </w:r>
    </w:p>
    <w:p>
      <w:pPr>
        <w:keepNext w:val="0"/>
        <w:keepLines w:val="0"/>
        <w:widowControl/>
        <w:suppressLineNumbers w:val="0"/>
        <w:ind w:firstLine="640" w:firstLineChars="200"/>
        <w:jc w:val="left"/>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 xml:space="preserve">6．经营支出：指事业单位在专业业务活动及其辅助活动之外开展非独立核算经营活动发生的支出。 </w:t>
      </w:r>
    </w:p>
    <w:p>
      <w:pPr>
        <w:keepNext w:val="0"/>
        <w:keepLines w:val="0"/>
        <w:widowControl/>
        <w:suppressLineNumbers w:val="0"/>
        <w:ind w:firstLine="640" w:firstLineChars="200"/>
        <w:jc w:val="left"/>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 xml:space="preserve">7．上缴上级支出：指事业单位按照财政部门和主管部门的规定上缴上级单位的支出。 </w:t>
      </w:r>
    </w:p>
    <w:p>
      <w:pPr>
        <w:keepNext w:val="0"/>
        <w:keepLines w:val="0"/>
        <w:widowControl/>
        <w:suppressLineNumbers w:val="0"/>
        <w:ind w:firstLine="640" w:firstLineChars="200"/>
        <w:jc w:val="left"/>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 xml:space="preserve">8．项目支出：指在为完成特定的工作任务和事业发展目标所发生的支出。 </w:t>
      </w:r>
    </w:p>
    <w:p>
      <w:pPr>
        <w:keepNext w:val="0"/>
        <w:keepLines w:val="0"/>
        <w:widowControl/>
        <w:suppressLineNumbers w:val="0"/>
        <w:ind w:firstLine="640" w:firstLineChars="200"/>
        <w:jc w:val="left"/>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 xml:space="preserve">9．基本支出：指为保障机构正常运转、完成日常工作任务而发生的支出，包括人员经费和公用经费。 </w:t>
      </w:r>
    </w:p>
    <w:p>
      <w:pPr>
        <w:keepNext w:val="0"/>
        <w:keepLines w:val="0"/>
        <w:widowControl/>
        <w:suppressLineNumbers w:val="0"/>
        <w:ind w:firstLine="640" w:firstLineChars="200"/>
        <w:jc w:val="left"/>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 xml:space="preserve">10．年末结转和结余资金：指本年度或以前年度预算安排、因客观条件发生变化无法按原计划实施，需要延迟到以后年度按有关规定继续使用的资金。 </w:t>
      </w:r>
    </w:p>
    <w:p>
      <w:pPr>
        <w:keepNext w:val="0"/>
        <w:keepLines w:val="0"/>
        <w:widowControl/>
        <w:suppressLineNumbers w:val="0"/>
        <w:ind w:firstLine="640" w:firstLineChars="200"/>
        <w:jc w:val="left"/>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 xml:space="preserve">11．结余分配：指事业单位按规定对非财政拨款结余资金提取的专用基金、缴纳的所得税和转入非财政拨款结余等。 </w:t>
      </w:r>
    </w:p>
    <w:p>
      <w:pPr>
        <w:keepNext w:val="0"/>
        <w:keepLines w:val="0"/>
        <w:widowControl/>
        <w:suppressLineNumbers w:val="0"/>
        <w:ind w:firstLine="640" w:firstLineChars="200"/>
        <w:jc w:val="left"/>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 xml:space="preserve">12．年初结转和结余：指单位上年结转本年使用的基本支出结转、项目支出结转和结余和经营结余。 </w:t>
      </w:r>
    </w:p>
    <w:p>
      <w:pPr>
        <w:keepNext w:val="0"/>
        <w:keepLines w:val="0"/>
        <w:widowControl/>
        <w:suppressLineNumbers w:val="0"/>
        <w:ind w:firstLine="640" w:firstLineChars="200"/>
        <w:jc w:val="left"/>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 xml:space="preserve">13．事业收入：指事业单位开展专业业务活动及其辅助活动取得的收入，事业单位收到的财政专户实际核拨的教育收费等资金在此反映。 </w:t>
      </w:r>
    </w:p>
    <w:p>
      <w:pPr>
        <w:keepNext w:val="0"/>
        <w:keepLines w:val="0"/>
        <w:widowControl/>
        <w:suppressLineNumbers w:val="0"/>
        <w:ind w:firstLine="640" w:firstLineChars="200"/>
        <w:jc w:val="left"/>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 xml:space="preserve">14．经营收入：指事业单位在专业业务活动及其辅助活动之外开展非独立核算经营活动取得的收入。 </w:t>
      </w:r>
    </w:p>
    <w:p>
      <w:pPr>
        <w:keepNext w:val="0"/>
        <w:keepLines w:val="0"/>
        <w:widowControl/>
        <w:suppressLineNumbers w:val="0"/>
        <w:ind w:firstLine="640" w:firstLineChars="200"/>
        <w:jc w:val="left"/>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 xml:space="preserve">15．附属单位上缴收入：指事业单位附属独立核算单位按照有关规定上缴的收入。 </w:t>
      </w:r>
    </w:p>
    <w:p>
      <w:pPr>
        <w:keepNext w:val="0"/>
        <w:keepLines w:val="0"/>
        <w:widowControl/>
        <w:suppressLineNumbers w:val="0"/>
        <w:ind w:firstLine="640" w:firstLineChars="200"/>
        <w:jc w:val="left"/>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 xml:space="preserve">16．其他收入：指单位取得的除上述“财政拨款收入”、“事业收入”、“经营收入”等以外的各项收入。 </w:t>
      </w:r>
    </w:p>
    <w:p>
      <w:pPr>
        <w:keepNext w:val="0"/>
        <w:keepLines w:val="0"/>
        <w:widowControl/>
        <w:suppressLineNumbers w:val="0"/>
        <w:ind w:firstLine="640" w:firstLineChars="200"/>
        <w:jc w:val="left"/>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17．使用非财政拨款结余：指事业单位使用非财政拨款结余（原事业基金）弥补当年收支差额的数额。</w:t>
      </w:r>
    </w:p>
    <w:p>
      <w:pPr>
        <w:keepNext w:val="0"/>
        <w:keepLines w:val="0"/>
        <w:widowControl/>
        <w:suppressLineNumbers w:val="0"/>
        <w:ind w:firstLine="640" w:firstLineChars="200"/>
        <w:jc w:val="left"/>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 xml:space="preserve">18．一般公共服务支出（类）政府办公厅（室）及相关机构事务（款）其他政府办公厅（室）及相关机构事务支出（项）：反映除上述项目以外的其他政府办公厅（室）及相关机构事务支出。 </w:t>
      </w:r>
    </w:p>
    <w:p>
      <w:pPr>
        <w:keepNext w:val="0"/>
        <w:keepLines w:val="0"/>
        <w:widowControl/>
        <w:suppressLineNumbers w:val="0"/>
        <w:ind w:firstLine="640" w:firstLineChars="200"/>
        <w:jc w:val="left"/>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 xml:space="preserve">19．社会保障和就业支出（类）行政事业单位养老支出（款）机关事业单位基本养老保险缴费支出（项）：反映机关事业单位实施养老保险制度由单位缴纳的基本养老保险费支出。 </w:t>
      </w:r>
    </w:p>
    <w:p>
      <w:pPr>
        <w:keepNext w:val="0"/>
        <w:keepLines w:val="0"/>
        <w:widowControl/>
        <w:suppressLineNumbers w:val="0"/>
        <w:ind w:firstLine="640" w:firstLineChars="200"/>
        <w:jc w:val="left"/>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 xml:space="preserve">20．卫生健康支出（类）行政事业单位医疗（款）行政单位医疗（项）：反映财政部门安排的行政单位（包括实行公务员管理的事业 单位，下同）基本医疗保险缴费经费，未参加医疗保险的行政单位的公费医疗经费，按国家规定享受离休人员、红军老战士待遇人员的医疗经费。 </w:t>
      </w:r>
    </w:p>
    <w:p>
      <w:pPr>
        <w:keepNext w:val="0"/>
        <w:keepLines w:val="0"/>
        <w:widowControl/>
        <w:suppressLineNumbers w:val="0"/>
        <w:ind w:firstLine="640" w:firstLineChars="200"/>
        <w:jc w:val="left"/>
      </w:pPr>
      <w:r>
        <w:rPr>
          <w:rFonts w:hint="eastAsia" w:ascii="Times New Roman" w:hAnsi="Times New Roman" w:eastAsia="仿宋_GB2312" w:cs="黑体"/>
          <w:color w:val="000000"/>
          <w:kern w:val="0"/>
          <w:sz w:val="32"/>
          <w:szCs w:val="32"/>
          <w:lang w:val="en-US" w:eastAsia="zh-CN" w:bidi="ar-SA"/>
        </w:rPr>
        <w:t>21．卫生健康支出（类）财政对基本医疗保险基金的补助（款）财政对城乡居民基本医疗保险基金的补助（项）：反映财政对城乡居民基本医疗保险基金的补助支出。</w:t>
      </w:r>
      <w:r>
        <w:rPr>
          <w:rFonts w:hint="eastAsia" w:ascii="仿宋" w:hAnsi="仿宋" w:eastAsia="仿宋" w:cs="仿宋"/>
          <w:color w:val="000000"/>
          <w:kern w:val="0"/>
          <w:sz w:val="32"/>
          <w:szCs w:val="32"/>
          <w:lang w:val="en-US" w:eastAsia="zh-CN" w:bidi="ar"/>
        </w:rPr>
        <w:t xml:space="preserve"> </w:t>
      </w:r>
    </w:p>
    <w:p>
      <w:pPr>
        <w:keepNext w:val="0"/>
        <w:keepLines w:val="0"/>
        <w:widowControl/>
        <w:suppressLineNumbers w:val="0"/>
        <w:ind w:firstLine="640" w:firstLineChars="200"/>
        <w:jc w:val="left"/>
      </w:pPr>
      <w:r>
        <w:rPr>
          <w:rFonts w:hint="eastAsia" w:ascii="Times New Roman" w:hAnsi="Times New Roman" w:eastAsia="仿宋_GB2312" w:cs="黑体"/>
          <w:color w:val="000000"/>
          <w:kern w:val="0"/>
          <w:sz w:val="32"/>
          <w:szCs w:val="32"/>
          <w:lang w:val="en-US" w:eastAsia="zh-CN" w:bidi="ar-SA"/>
        </w:rPr>
        <w:t>22．卫生健康支出（类）医疗救助（款）城乡医疗救助（项）：反映财政用于城乡困.难群众医疗救助的支出。</w:t>
      </w:r>
      <w:r>
        <w:rPr>
          <w:rFonts w:hint="eastAsia" w:ascii="仿宋" w:hAnsi="仿宋" w:eastAsia="仿宋" w:cs="仿宋"/>
          <w:color w:val="000000"/>
          <w:kern w:val="0"/>
          <w:sz w:val="32"/>
          <w:szCs w:val="32"/>
          <w:lang w:val="en-US" w:eastAsia="zh-CN" w:bidi="ar"/>
        </w:rPr>
        <w:t xml:space="preserve"> </w:t>
      </w:r>
    </w:p>
    <w:p>
      <w:pPr>
        <w:keepNext w:val="0"/>
        <w:keepLines w:val="0"/>
        <w:widowControl/>
        <w:suppressLineNumbers w:val="0"/>
        <w:ind w:firstLine="640" w:firstLineChars="200"/>
        <w:jc w:val="left"/>
      </w:pPr>
      <w:r>
        <w:rPr>
          <w:rFonts w:hint="eastAsia" w:ascii="Times New Roman" w:hAnsi="Times New Roman" w:eastAsia="仿宋_GB2312" w:cs="黑体"/>
          <w:color w:val="000000"/>
          <w:kern w:val="0"/>
          <w:sz w:val="32"/>
          <w:szCs w:val="32"/>
          <w:lang w:val="en-US" w:eastAsia="zh-CN" w:bidi="ar-SA"/>
        </w:rPr>
        <w:t>23．卫生健康支出（类）医疗救助（款）其他医疗救助支出（项）：反映除上述项目以外的其他用于医疗救助方面的支出。</w:t>
      </w:r>
      <w:r>
        <w:rPr>
          <w:rFonts w:hint="eastAsia" w:ascii="仿宋" w:hAnsi="仿宋" w:eastAsia="仿宋" w:cs="仿宋"/>
          <w:color w:val="000000"/>
          <w:kern w:val="0"/>
          <w:sz w:val="32"/>
          <w:szCs w:val="32"/>
          <w:lang w:val="en-US" w:eastAsia="zh-CN" w:bidi="ar"/>
        </w:rPr>
        <w:t xml:space="preserve"> </w:t>
      </w:r>
    </w:p>
    <w:p>
      <w:pPr>
        <w:keepNext w:val="0"/>
        <w:keepLines w:val="0"/>
        <w:widowControl/>
        <w:suppressLineNumbers w:val="0"/>
        <w:ind w:firstLine="640" w:firstLineChars="200"/>
        <w:jc w:val="left"/>
      </w:pPr>
      <w:r>
        <w:rPr>
          <w:rFonts w:hint="eastAsia" w:ascii="Times New Roman" w:hAnsi="Times New Roman" w:eastAsia="仿宋_GB2312" w:cs="黑体"/>
          <w:color w:val="000000"/>
          <w:kern w:val="0"/>
          <w:sz w:val="32"/>
          <w:szCs w:val="32"/>
          <w:lang w:val="en-US" w:eastAsia="zh-CN" w:bidi="ar-SA"/>
        </w:rPr>
        <w:t>24．卫生健康支出（类）医疗保障管理事务（款）行政运行（项）：反映行政单位（包括实行公务员管理的事业单位）的基本支出。</w:t>
      </w:r>
      <w:r>
        <w:rPr>
          <w:rFonts w:hint="eastAsia" w:ascii="仿宋" w:hAnsi="仿宋" w:eastAsia="仿宋" w:cs="仿宋"/>
          <w:color w:val="000000"/>
          <w:kern w:val="0"/>
          <w:sz w:val="32"/>
          <w:szCs w:val="32"/>
          <w:lang w:val="en-US" w:eastAsia="zh-CN" w:bidi="ar"/>
        </w:rPr>
        <w:t xml:space="preserve"> </w:t>
      </w:r>
    </w:p>
    <w:p>
      <w:pPr>
        <w:keepNext w:val="0"/>
        <w:keepLines w:val="0"/>
        <w:widowControl/>
        <w:suppressLineNumbers w:val="0"/>
        <w:ind w:firstLine="640" w:firstLineChars="200"/>
        <w:jc w:val="left"/>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 xml:space="preserve">25．卫生健康支出（类）医疗保障管理事务（款）信息化建设（项）：反映医疗保障部门用于信息化建设、开发、运行维护和数据分析等方面支出。 </w:t>
      </w:r>
    </w:p>
    <w:p>
      <w:pPr>
        <w:keepNext w:val="0"/>
        <w:keepLines w:val="0"/>
        <w:widowControl/>
        <w:suppressLineNumbers w:val="0"/>
        <w:ind w:firstLine="640" w:firstLineChars="200"/>
        <w:jc w:val="left"/>
      </w:pPr>
      <w:r>
        <w:rPr>
          <w:rFonts w:ascii="仿宋" w:hAnsi="仿宋" w:eastAsia="仿宋" w:cs="仿宋"/>
          <w:color w:val="000000"/>
          <w:kern w:val="0"/>
          <w:sz w:val="32"/>
          <w:szCs w:val="32"/>
          <w:lang w:val="en-US" w:eastAsia="zh-CN" w:bidi="ar"/>
        </w:rPr>
        <w:t>26．卫生健康支出（类）医疗保障管理事务（款）医疗保障经办事</w:t>
      </w:r>
      <w:r>
        <w:rPr>
          <w:rFonts w:hint="eastAsia" w:ascii="仿宋" w:hAnsi="仿宋" w:eastAsia="仿宋" w:cs="仿宋"/>
          <w:color w:val="000000"/>
          <w:kern w:val="0"/>
          <w:sz w:val="32"/>
          <w:szCs w:val="32"/>
          <w:lang w:val="en-US" w:eastAsia="zh-CN" w:bidi="ar"/>
        </w:rPr>
        <w:t xml:space="preserve">务（项）：反映医保基金核算、精算、参保登记、权益记录、转移接续等医疗保障经办支出。 </w:t>
      </w:r>
    </w:p>
    <w:p>
      <w:pPr>
        <w:keepNext w:val="0"/>
        <w:keepLines w:val="0"/>
        <w:widowControl/>
        <w:suppressLineNumbers w:val="0"/>
        <w:ind w:firstLine="640" w:firstLineChars="200"/>
        <w:jc w:val="left"/>
        <w:rPr>
          <w:rFonts w:ascii="Times New Roman" w:hAnsi="Times New Roman" w:cs="Times New Roman"/>
          <w:sz w:val="72"/>
          <w:szCs w:val="72"/>
        </w:rPr>
      </w:pPr>
      <w:r>
        <w:rPr>
          <w:rFonts w:hint="eastAsia" w:ascii="仿宋" w:hAnsi="仿宋" w:eastAsia="仿宋" w:cs="仿宋"/>
          <w:color w:val="000000"/>
          <w:kern w:val="0"/>
          <w:sz w:val="32"/>
          <w:szCs w:val="32"/>
          <w:lang w:val="en-US" w:eastAsia="zh-CN" w:bidi="ar"/>
        </w:rPr>
        <w:t xml:space="preserve">27．卫生健康支出（类）医疗保障管理事务（款）其他医疗保障管理事务支出（项）：反映除上述项目以外的其他用于医疗保障管理事务方面的支出。 </w:t>
      </w: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spacing w:line="360" w:lineRule="auto"/>
        <w:jc w:val="center"/>
        <w:rPr>
          <w:rFonts w:ascii="Times New Roman" w:hAnsi="Times New Roman" w:eastAsia="方正小标宋_GBK" w:cs="Times New Roman"/>
          <w:sz w:val="52"/>
          <w:szCs w:val="52"/>
        </w:rPr>
      </w:pPr>
    </w:p>
    <w:p>
      <w:pPr>
        <w:pStyle w:val="14"/>
        <w:spacing w:line="360" w:lineRule="auto"/>
        <w:jc w:val="center"/>
        <w:rPr>
          <w:rFonts w:ascii="Times New Roman" w:hAnsi="Times New Roman" w:eastAsia="方正小标宋_GBK" w:cs="Times New Roman"/>
          <w:sz w:val="52"/>
          <w:szCs w:val="52"/>
        </w:rPr>
      </w:pPr>
    </w:p>
    <w:p>
      <w:pPr>
        <w:pStyle w:val="14"/>
        <w:spacing w:line="360" w:lineRule="auto"/>
        <w:jc w:val="center"/>
        <w:rPr>
          <w:rFonts w:ascii="Times New Roman" w:hAnsi="Times New Roman" w:eastAsia="方正小标宋_GBK" w:cs="Times New Roman"/>
          <w:sz w:val="52"/>
          <w:szCs w:val="52"/>
        </w:rPr>
      </w:pPr>
    </w:p>
    <w:p>
      <w:pPr>
        <w:pStyle w:val="14"/>
        <w:spacing w:line="360" w:lineRule="auto"/>
        <w:jc w:val="center"/>
        <w:rPr>
          <w:rFonts w:ascii="Times New Roman" w:hAnsi="Times New Roman" w:eastAsia="方正小标宋_GBK" w:cs="Times New Roman"/>
          <w:sz w:val="52"/>
          <w:szCs w:val="52"/>
        </w:rPr>
      </w:pPr>
    </w:p>
    <w:p>
      <w:pPr>
        <w:pStyle w:val="14"/>
        <w:spacing w:line="360" w:lineRule="auto"/>
        <w:jc w:val="center"/>
        <w:rPr>
          <w:rFonts w:ascii="Times New Roman" w:hAnsi="Times New Roman" w:eastAsia="方正小标宋_GBK" w:cs="Times New Roman"/>
          <w:sz w:val="52"/>
          <w:szCs w:val="52"/>
        </w:rPr>
      </w:pPr>
    </w:p>
    <w:p>
      <w:pPr>
        <w:pStyle w:val="14"/>
        <w:spacing w:line="360" w:lineRule="auto"/>
        <w:jc w:val="center"/>
        <w:rPr>
          <w:rFonts w:ascii="Times New Roman" w:hAnsi="Times New Roman" w:eastAsia="方正小标宋_GBK" w:cs="Times New Roman"/>
          <w:sz w:val="52"/>
          <w:szCs w:val="52"/>
        </w:rPr>
      </w:pPr>
    </w:p>
    <w:p>
      <w:pPr>
        <w:pStyle w:val="14"/>
        <w:spacing w:line="360" w:lineRule="auto"/>
        <w:jc w:val="center"/>
        <w:rPr>
          <w:rFonts w:ascii="Times New Roman" w:hAnsi="Times New Roman" w:eastAsia="方正小标宋_GBK" w:cs="Times New Roman"/>
          <w:sz w:val="52"/>
          <w:szCs w:val="52"/>
        </w:rPr>
      </w:pPr>
    </w:p>
    <w:p>
      <w:pPr>
        <w:pStyle w:val="14"/>
        <w:spacing w:line="360" w:lineRule="auto"/>
        <w:jc w:val="center"/>
        <w:rPr>
          <w:rFonts w:ascii="Times New Roman" w:hAnsi="Times New Roman" w:eastAsia="方正小标宋_GBK" w:cs="Times New Roman"/>
          <w:sz w:val="52"/>
          <w:szCs w:val="52"/>
        </w:rPr>
      </w:pPr>
    </w:p>
    <w:p>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pPr>
        <w:rPr>
          <w:rFonts w:ascii="Times New Roman" w:hAnsi="Times New Roman" w:cs="Times New Roman"/>
          <w:sz w:val="72"/>
          <w:szCs w:val="72"/>
        </w:rPr>
      </w:pPr>
    </w:p>
    <w:p>
      <w:pPr>
        <w:pStyle w:val="14"/>
        <w:spacing w:line="600" w:lineRule="exact"/>
        <w:ind w:firstLine="640" w:firstLineChars="200"/>
        <w:rPr>
          <w:rFonts w:ascii="Times New Roman" w:hAnsi="Times New Roman" w:eastAsia="仿宋_GB2312" w:cs="Times New Roman"/>
          <w:sz w:val="32"/>
          <w:szCs w:val="32"/>
        </w:rPr>
      </w:pP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jc w:val="left"/>
        <w:rPr>
          <w:rFonts w:ascii="Times New Roman" w:hAnsi="Times New Roman" w:cs="Times New Roman"/>
          <w:color w:val="000000"/>
          <w:kern w:val="0"/>
          <w:sz w:val="32"/>
          <w:szCs w:val="32"/>
        </w:rPr>
      </w:pPr>
    </w:p>
    <w:p>
      <w:pPr>
        <w:pStyle w:val="8"/>
        <w:rPr>
          <w:rFonts w:ascii="Times New Roman" w:hAnsi="Times New Roman" w:cs="Times New Roman"/>
          <w:color w:val="000000"/>
          <w:kern w:val="0"/>
          <w:sz w:val="32"/>
          <w:szCs w:val="32"/>
        </w:rPr>
      </w:pPr>
    </w:p>
    <w:p>
      <w:pPr>
        <w:jc w:val="center"/>
        <w:rPr>
          <w:rFonts w:hint="eastAsia" w:asciiTheme="majorEastAsia" w:hAnsiTheme="majorEastAsia" w:eastAsiaTheme="majorEastAsia" w:cstheme="majorEastAsia"/>
          <w:b/>
          <w:bCs/>
          <w:sz w:val="44"/>
          <w:szCs w:val="44"/>
        </w:rPr>
      </w:pPr>
      <w:r>
        <w:rPr>
          <w:rFonts w:hint="eastAsia" w:asciiTheme="majorEastAsia" w:hAnsiTheme="majorEastAsia" w:eastAsiaTheme="majorEastAsia" w:cstheme="majorEastAsia"/>
          <w:b/>
          <w:bCs/>
          <w:sz w:val="44"/>
          <w:szCs w:val="44"/>
          <w:lang w:val="en-US" w:eastAsia="zh-CN"/>
        </w:rPr>
        <w:t>道县医保局2025年部门整体支出</w:t>
      </w:r>
      <w:r>
        <w:rPr>
          <w:rFonts w:hint="eastAsia" w:asciiTheme="majorEastAsia" w:hAnsiTheme="majorEastAsia" w:eastAsiaTheme="majorEastAsia" w:cstheme="majorEastAsia"/>
          <w:b/>
          <w:bCs/>
          <w:sz w:val="44"/>
          <w:szCs w:val="44"/>
        </w:rPr>
        <w:t>绩效</w:t>
      </w:r>
    </w:p>
    <w:p>
      <w:pPr>
        <w:jc w:val="center"/>
        <w:rPr>
          <w:rFonts w:hint="eastAsia" w:asciiTheme="majorEastAsia" w:hAnsiTheme="majorEastAsia" w:eastAsiaTheme="majorEastAsia" w:cstheme="majorEastAsia"/>
          <w:b/>
          <w:bCs/>
          <w:sz w:val="44"/>
          <w:szCs w:val="44"/>
        </w:rPr>
      </w:pPr>
      <w:r>
        <w:rPr>
          <w:rFonts w:hint="eastAsia" w:asciiTheme="majorEastAsia" w:hAnsiTheme="majorEastAsia" w:eastAsiaTheme="majorEastAsia" w:cstheme="majorEastAsia"/>
          <w:b/>
          <w:bCs/>
          <w:sz w:val="44"/>
          <w:szCs w:val="44"/>
        </w:rPr>
        <w:t>评</w:t>
      </w:r>
      <w:r>
        <w:rPr>
          <w:rFonts w:hint="eastAsia" w:asciiTheme="majorEastAsia" w:hAnsiTheme="majorEastAsia" w:eastAsiaTheme="majorEastAsia" w:cstheme="majorEastAsia"/>
          <w:b/>
          <w:bCs/>
          <w:sz w:val="44"/>
          <w:szCs w:val="44"/>
          <w:lang w:val="en-US" w:eastAsia="zh-CN"/>
        </w:rPr>
        <w:t>价</w:t>
      </w:r>
      <w:r>
        <w:rPr>
          <w:rFonts w:hint="eastAsia" w:asciiTheme="majorEastAsia" w:hAnsiTheme="majorEastAsia" w:eastAsiaTheme="majorEastAsia" w:cstheme="majorEastAsia"/>
          <w:b/>
          <w:bCs/>
          <w:sz w:val="44"/>
          <w:szCs w:val="44"/>
        </w:rPr>
        <w:t>报告</w:t>
      </w:r>
    </w:p>
    <w:p>
      <w:pPr>
        <w:rPr>
          <w:rFonts w:hint="eastAsia" w:ascii="宋体" w:hAnsi="宋体" w:eastAsia="宋体" w:cs="Times New Roman"/>
          <w:b/>
          <w:sz w:val="40"/>
          <w:szCs w:val="40"/>
        </w:rPr>
      </w:pPr>
    </w:p>
    <w:p>
      <w:pPr>
        <w:ind w:firstLine="800" w:firstLineChars="200"/>
        <w:rPr>
          <w:rFonts w:hint="eastAsia" w:ascii="黑体" w:hAnsi="黑体" w:eastAsia="黑体" w:cs="黑体"/>
          <w:b/>
          <w:sz w:val="40"/>
          <w:szCs w:val="40"/>
        </w:rPr>
      </w:pPr>
      <w:r>
        <w:rPr>
          <w:rFonts w:hint="eastAsia" w:ascii="黑体" w:hAnsi="黑体" w:eastAsia="黑体" w:cs="黑体"/>
          <w:b/>
          <w:sz w:val="40"/>
          <w:szCs w:val="40"/>
        </w:rPr>
        <w:t>一、基本情况</w:t>
      </w:r>
    </w:p>
    <w:p>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楷体_GB2312" w:hAnsi="楷体_GB2312" w:eastAsia="楷体_GB2312" w:cs="楷体_GB2312"/>
          <w:b/>
          <w:bCs/>
          <w:color w:val="auto"/>
          <w:kern w:val="0"/>
          <w:sz w:val="32"/>
          <w:szCs w:val="32"/>
          <w:lang w:val="en-US" w:eastAsia="zh-CN" w:bidi="ar-SA"/>
        </w:rPr>
      </w:pPr>
      <w:r>
        <w:rPr>
          <w:rFonts w:hint="eastAsia" w:ascii="楷体_GB2312" w:hAnsi="楷体_GB2312" w:eastAsia="楷体_GB2312" w:cs="楷体_GB2312"/>
          <w:b/>
          <w:bCs/>
          <w:color w:val="auto"/>
          <w:kern w:val="0"/>
          <w:sz w:val="32"/>
          <w:szCs w:val="32"/>
          <w:lang w:val="en-US" w:eastAsia="zh-CN" w:bidi="ar-SA"/>
        </w:rPr>
        <w:t>（一）部门基本情况</w:t>
      </w:r>
    </w:p>
    <w:p>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1.主要职能</w:t>
      </w:r>
    </w:p>
    <w:p>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（1）拟定全县医疗保险、生育保险、医疗救助等医疗保障制度的政策、规划和标准，并组织实施。</w:t>
      </w:r>
    </w:p>
    <w:p>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（2）组织制定并实施全县医疗保障基金监督管理办法，监督管理相关医疗保障基金。</w:t>
      </w:r>
      <w:r>
        <w:rPr>
          <w:rFonts w:hint="eastAsia" w:ascii="仿宋_GB2312" w:hAnsi="仿宋_GB2312" w:eastAsia="仿宋_GB2312" w:cs="仿宋_GB2312"/>
          <w:sz w:val="32"/>
          <w:szCs w:val="32"/>
          <w:lang w:val="en-US" w:eastAsia="zh-CN"/>
        </w:rPr>
        <w:t>建立健全医疗保障基金安全防控机制，推进医疗保障基金支付方式改革。</w:t>
      </w:r>
    </w:p>
    <w:p>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（3）组织制定全县医疗保障筹资和待遇政策，组织制定全县城乡居民大病保险政策，</w:t>
      </w:r>
      <w:r>
        <w:rPr>
          <w:rFonts w:hint="eastAsia" w:ascii="仿宋_GB2312" w:hAnsi="仿宋_GB2312" w:eastAsia="仿宋_GB2312" w:cs="仿宋_GB2312"/>
          <w:sz w:val="32"/>
          <w:szCs w:val="32"/>
          <w:lang w:val="en-US" w:eastAsia="zh-CN"/>
        </w:rPr>
        <w:t>完善动态调整和区域内调剂平衡机制，统筹城乡医疗保障待遇标准，建立健全与筹资水平相适应的待遇调整机制。</w:t>
      </w:r>
      <w:r>
        <w:rPr>
          <w:rFonts w:hint="eastAsia" w:ascii="仿宋_GB2312" w:hAnsi="仿宋_GB2312" w:eastAsia="仿宋_GB2312" w:cs="仿宋_GB2312"/>
          <w:sz w:val="32"/>
          <w:szCs w:val="32"/>
          <w:lang w:eastAsia="zh-CN"/>
        </w:rPr>
        <w:t>负责管理全县医疗救助资金的使用。</w:t>
      </w:r>
      <w:r>
        <w:rPr>
          <w:rFonts w:hint="eastAsia" w:ascii="仿宋_GB2312" w:hAnsi="仿宋_GB2312" w:eastAsia="仿宋_GB2312" w:cs="仿宋_GB2312"/>
          <w:sz w:val="32"/>
          <w:szCs w:val="32"/>
          <w:lang w:val="en-US" w:eastAsia="zh-CN"/>
        </w:rPr>
        <w:t>组织拟定并实施长期护理保险制度改革方案。</w:t>
      </w:r>
    </w:p>
    <w:p>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（4）贯彻落实国家、湖南省制定的药品、医用耗材、医疗服务项目、医疗服务设施等医保目录、支付标准。</w:t>
      </w:r>
      <w:r>
        <w:rPr>
          <w:rFonts w:hint="eastAsia" w:ascii="仿宋_GB2312" w:hAnsi="仿宋_GB2312" w:eastAsia="仿宋_GB2312" w:cs="仿宋_GB2312"/>
          <w:sz w:val="32"/>
          <w:szCs w:val="32"/>
          <w:lang w:val="en-US" w:eastAsia="zh-CN"/>
        </w:rPr>
        <w:t>贯彻执行医保目录准入谈判规则。</w:t>
      </w:r>
      <w:r>
        <w:rPr>
          <w:rFonts w:hint="eastAsia" w:ascii="仿宋_GB2312" w:hAnsi="仿宋_GB2312" w:eastAsia="仿宋_GB2312" w:cs="仿宋_GB2312"/>
          <w:sz w:val="32"/>
          <w:szCs w:val="32"/>
          <w:lang w:eastAsia="zh-CN"/>
        </w:rPr>
        <w:t xml:space="preserve"> </w:t>
      </w:r>
    </w:p>
    <w:p>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（5）组织制定全县药品、医用耗材价格和医疗服务项目、医疗服务设施收费等政策，</w:t>
      </w:r>
      <w:r>
        <w:rPr>
          <w:rFonts w:hint="eastAsia" w:ascii="仿宋_GB2312" w:hAnsi="仿宋_GB2312" w:eastAsia="仿宋_GB2312" w:cs="仿宋_GB2312"/>
          <w:sz w:val="32"/>
          <w:szCs w:val="32"/>
          <w:lang w:val="en-US" w:eastAsia="zh-CN"/>
        </w:rPr>
        <w:t>建立医保支付医药服务价格合理确定和动态调整机制，推动建立市场主导的社会医药服务价格形成机制，建立价格信息监测和信息发布制度。</w:t>
      </w:r>
    </w:p>
    <w:p>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（6）根据国家、省、市药品、医用耗材的招标采购政策，监督实施全县药品、医用耗材招标采购工作。</w:t>
      </w:r>
    </w:p>
    <w:p>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lang w:eastAsia="zh-CN"/>
        </w:rPr>
        <w:t>制定全县定点医药机构协议和支付管理办法并组织实施，</w:t>
      </w:r>
      <w:r>
        <w:rPr>
          <w:rFonts w:hint="eastAsia" w:ascii="仿宋_GB2312" w:hAnsi="仿宋_GB2312" w:eastAsia="仿宋_GB2312" w:cs="仿宋_GB2312"/>
          <w:sz w:val="32"/>
          <w:szCs w:val="32"/>
          <w:lang w:val="en-US" w:eastAsia="zh-CN"/>
        </w:rPr>
        <w:t>建立健全医疗保障信用评价体系和信息披露制度，</w:t>
      </w:r>
      <w:r>
        <w:rPr>
          <w:rFonts w:hint="eastAsia" w:ascii="仿宋_GB2312" w:hAnsi="仿宋_GB2312" w:eastAsia="仿宋_GB2312" w:cs="仿宋_GB2312"/>
          <w:sz w:val="32"/>
          <w:szCs w:val="32"/>
          <w:lang w:eastAsia="zh-CN"/>
        </w:rPr>
        <w:t>监督管理纳入医保范围内的医疗服务行为和医疗费用，依法查处医疗保障领域违法违规行为。</w:t>
      </w:r>
    </w:p>
    <w:p>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lang w:eastAsia="zh-CN"/>
        </w:rPr>
        <w:t>负责全县医疗保障经办管理、公共服务体系和信息化建设。</w:t>
      </w:r>
      <w:r>
        <w:rPr>
          <w:rFonts w:hint="eastAsia" w:ascii="仿宋_GB2312" w:hAnsi="仿宋_GB2312" w:eastAsia="仿宋_GB2312" w:cs="仿宋_GB2312"/>
          <w:sz w:val="32"/>
          <w:szCs w:val="32"/>
          <w:lang w:val="en-US" w:eastAsia="zh-CN"/>
        </w:rPr>
        <w:t>指导、监督全县医疗保险、生育保险、大病保险、医疗救助等医疗保障经办业务工作。负责</w:t>
      </w:r>
      <w:r>
        <w:rPr>
          <w:rFonts w:hint="eastAsia" w:ascii="仿宋_GB2312" w:hAnsi="仿宋_GB2312" w:eastAsia="仿宋_GB2312" w:cs="仿宋_GB2312"/>
          <w:sz w:val="32"/>
          <w:szCs w:val="32"/>
          <w:lang w:eastAsia="zh-CN"/>
        </w:rPr>
        <w:t>医疗保障行政审批事项。</w:t>
      </w:r>
      <w:r>
        <w:rPr>
          <w:rFonts w:hint="eastAsia" w:ascii="仿宋_GB2312" w:hAnsi="仿宋_GB2312" w:eastAsia="仿宋_GB2312" w:cs="仿宋_GB2312"/>
          <w:sz w:val="32"/>
          <w:szCs w:val="32"/>
          <w:lang w:val="en-US" w:eastAsia="zh-CN"/>
        </w:rPr>
        <w:t>组织制定和完善异地就医管理和费用结算政策。建立健全医疗保障关系转移接续制度。开展医疗保障领域合作交流。</w:t>
      </w:r>
    </w:p>
    <w:p>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（9）完成县委、县政府交办的其他工作。</w:t>
      </w:r>
    </w:p>
    <w:p>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10）职能转变。县医保局应完善统一的城乡居民基本医疗保险制度和大病保险制度，巩固完善城乡居民医疗救助制度，建立健全覆盖全民、城乡统筹的多层次医疗保障体系，不断提高医疗保障水平，确保医保资金合理使用、安全可控，推进医疗、医保、医药“三医联动”改革，更好保障人民群众就医需求、减轻医药费用负担。</w:t>
      </w:r>
    </w:p>
    <w:p>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（11）与县卫生健康局的有关职责分工。县卫生健康局、县医保局等部门在医疗、医保、医药等方面加强制度、政策衔接，建立沟通协商机制，协同推进改革，提高医疗资源使用效率和医疗保障水平。</w:t>
      </w:r>
    </w:p>
    <w:p>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 xml:space="preserve">机构设置 </w:t>
      </w:r>
    </w:p>
    <w:p>
      <w:pPr>
        <w:spacing w:line="570" w:lineRule="atLeast"/>
        <w:ind w:firstLine="640" w:firstLineChars="200"/>
        <w:rPr>
          <w:rFonts w:hint="eastAsia" w:ascii="仿宋_GB2312" w:hAnsi="仿宋_GB2312" w:eastAsia="仿宋_GB2312" w:cs="仿宋_GB2312"/>
          <w:color w:val="000000"/>
          <w:sz w:val="32"/>
          <w:szCs w:val="32"/>
          <w:shd w:val="clear" w:color="auto" w:fill="FFFFFF"/>
        </w:rPr>
      </w:pPr>
      <w:bookmarkStart w:id="3" w:name="ORG_SET"/>
      <w:r>
        <w:rPr>
          <w:rFonts w:hint="eastAsia" w:ascii="仿宋_GB2312" w:hAnsi="仿宋_GB2312" w:eastAsia="仿宋_GB2312" w:cs="仿宋_GB2312"/>
          <w:color w:val="000000"/>
          <w:sz w:val="32"/>
          <w:szCs w:val="32"/>
          <w:shd w:val="clear" w:color="auto" w:fill="FFFFFF"/>
        </w:rPr>
        <w:t>我单位是县政府工作部门，为正科级行政单位，下设副科级公益一类事业单位医疗保障事务中心。局机关内设办公室、规划财务和法规股、待遇保障股、医药服务管理股、基金监管股共</w:t>
      </w:r>
      <w:r>
        <w:rPr>
          <w:rFonts w:hint="eastAsia" w:ascii="仿宋_GB2312" w:hAnsi="仿宋_GB2312" w:eastAsia="仿宋_GB2312" w:cs="仿宋_GB2312"/>
          <w:color w:val="000000"/>
          <w:sz w:val="32"/>
          <w:szCs w:val="32"/>
          <w:shd w:val="clear" w:color="auto" w:fill="FFFFFF"/>
          <w:lang w:val="en-US" w:eastAsia="zh-CN"/>
        </w:rPr>
        <w:t>五</w:t>
      </w:r>
      <w:r>
        <w:rPr>
          <w:rFonts w:hint="eastAsia" w:ascii="仿宋_GB2312" w:hAnsi="仿宋_GB2312" w:eastAsia="仿宋_GB2312" w:cs="仿宋_GB2312"/>
          <w:color w:val="000000"/>
          <w:sz w:val="32"/>
          <w:szCs w:val="32"/>
          <w:shd w:val="clear" w:color="auto" w:fill="FFFFFF"/>
        </w:rPr>
        <w:t>个股室。全局核定编制59人，实有工作人员</w:t>
      </w:r>
      <w:r>
        <w:rPr>
          <w:rFonts w:hint="eastAsia" w:ascii="仿宋_GB2312" w:hAnsi="仿宋_GB2312" w:eastAsia="仿宋_GB2312" w:cs="仿宋_GB2312"/>
          <w:color w:val="000000"/>
          <w:sz w:val="32"/>
          <w:szCs w:val="32"/>
          <w:shd w:val="clear" w:color="auto" w:fill="FFFFFF"/>
          <w:lang w:val="en-US" w:eastAsia="zh-CN"/>
        </w:rPr>
        <w:t>47</w:t>
      </w:r>
      <w:r>
        <w:rPr>
          <w:rFonts w:hint="eastAsia" w:ascii="仿宋_GB2312" w:hAnsi="仿宋_GB2312" w:eastAsia="仿宋_GB2312" w:cs="仿宋_GB2312"/>
          <w:color w:val="000000"/>
          <w:sz w:val="32"/>
          <w:szCs w:val="32"/>
          <w:shd w:val="clear" w:color="auto" w:fill="FFFFFF"/>
        </w:rPr>
        <w:t>人。</w:t>
      </w:r>
      <w:bookmarkEnd w:id="3"/>
    </w:p>
    <w:p>
      <w:pPr>
        <w:keepNext w:val="0"/>
        <w:keepLines w:val="0"/>
        <w:pageBreakBefore w:val="0"/>
        <w:numPr>
          <w:ilvl w:val="0"/>
          <w:numId w:val="3"/>
        </w:numPr>
        <w:kinsoku/>
        <w:wordWrap/>
        <w:overflowPunct/>
        <w:topLinePunct w:val="0"/>
        <w:autoSpaceDE/>
        <w:autoSpaceDN/>
        <w:bidi w:val="0"/>
        <w:spacing w:line="560" w:lineRule="exact"/>
        <w:ind w:left="0" w:leftChars="0" w:firstLine="640" w:firstLineChars="200"/>
        <w:textAlignment w:val="auto"/>
        <w:rPr>
          <w:rFonts w:hint="eastAsia" w:ascii="楷体_GB2312" w:hAnsi="楷体_GB2312" w:eastAsia="楷体_GB2312" w:cs="楷体_GB2312"/>
          <w:b/>
          <w:bCs/>
          <w:color w:val="auto"/>
          <w:kern w:val="0"/>
          <w:sz w:val="32"/>
          <w:szCs w:val="32"/>
          <w:lang w:val="en-US" w:eastAsia="zh-CN" w:bidi="ar-SA"/>
        </w:rPr>
      </w:pPr>
      <w:r>
        <w:rPr>
          <w:rFonts w:hint="eastAsia" w:ascii="楷体_GB2312" w:hAnsi="楷体_GB2312" w:eastAsia="楷体_GB2312" w:cs="楷体_GB2312"/>
          <w:b/>
          <w:bCs/>
          <w:color w:val="auto"/>
          <w:kern w:val="0"/>
          <w:sz w:val="32"/>
          <w:szCs w:val="32"/>
          <w:lang w:val="en-US" w:eastAsia="zh-CN" w:bidi="ar-SA"/>
        </w:rPr>
        <w:t>部门年度整体支出绩效目标</w:t>
      </w:r>
    </w:p>
    <w:p>
      <w:pPr>
        <w:spacing w:line="570" w:lineRule="atLeast"/>
        <w:ind w:firstLine="640" w:firstLineChars="200"/>
        <w:rPr>
          <w:rFonts w:hint="eastAsia" w:ascii="仿宋_GB2312" w:hAnsi="仿宋_GB2312" w:eastAsia="仿宋_GB2312" w:cs="仿宋_GB2312"/>
          <w:color w:val="000000"/>
          <w:sz w:val="32"/>
          <w:szCs w:val="32"/>
          <w:shd w:val="clear" w:color="auto" w:fill="FFFFFF"/>
          <w:lang w:val="en-US" w:eastAsia="zh-CN"/>
        </w:rPr>
      </w:pPr>
      <w:r>
        <w:rPr>
          <w:rFonts w:hint="eastAsia" w:ascii="仿宋_GB2312" w:hAnsi="仿宋_GB2312" w:eastAsia="仿宋_GB2312" w:cs="仿宋_GB2312"/>
          <w:color w:val="000000"/>
          <w:sz w:val="32"/>
          <w:szCs w:val="32"/>
          <w:shd w:val="clear" w:color="auto" w:fill="FFFFFF"/>
          <w:lang w:val="en-US" w:eastAsia="zh-CN"/>
        </w:rPr>
        <w:t>加强基本医疗保险经办管理，重点抓巩固参保覆盖面、强化基金管理、维护基金安全、规范信息化建设、提升经办服务能力等工作，不断推进医保工作有效平稳运行。</w:t>
      </w:r>
    </w:p>
    <w:p>
      <w:pPr>
        <w:keepNext w:val="0"/>
        <w:keepLines w:val="0"/>
        <w:pageBreakBefore w:val="0"/>
        <w:widowControl/>
        <w:numPr>
          <w:ilvl w:val="0"/>
          <w:numId w:val="4"/>
        </w:numPr>
        <w:kinsoku/>
        <w:wordWrap/>
        <w:overflowPunct/>
        <w:topLinePunct w:val="0"/>
        <w:autoSpaceDE/>
        <w:autoSpaceDN/>
        <w:bidi w:val="0"/>
        <w:adjustRightInd/>
        <w:snapToGrid/>
        <w:spacing w:line="240" w:lineRule="auto"/>
        <w:ind w:firstLine="800" w:firstLineChars="200"/>
        <w:jc w:val="both"/>
        <w:textAlignment w:val="auto"/>
        <w:rPr>
          <w:rFonts w:hint="eastAsia" w:ascii="黑体" w:hAnsi="黑体" w:eastAsia="黑体" w:cs="黑体"/>
          <w:b/>
          <w:color w:val="auto"/>
          <w:sz w:val="40"/>
          <w:szCs w:val="40"/>
        </w:rPr>
      </w:pPr>
      <w:r>
        <w:rPr>
          <w:rFonts w:hint="eastAsia" w:ascii="黑体" w:hAnsi="黑体" w:eastAsia="黑体" w:cs="黑体"/>
          <w:b/>
          <w:color w:val="auto"/>
          <w:sz w:val="40"/>
          <w:szCs w:val="40"/>
        </w:rPr>
        <w:t>一般公共预算支出情况</w:t>
      </w:r>
    </w:p>
    <w:p>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2025年本部门一般公共预算财政拨款收入1370.79万元，一般公共预算财政拨款支出1370.79万元。</w:t>
      </w:r>
    </w:p>
    <w:p>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楷体_GB2312" w:hAnsi="楷体_GB2312" w:eastAsia="楷体_GB2312" w:cs="楷体_GB2312"/>
          <w:b/>
          <w:bCs/>
          <w:color w:val="auto"/>
          <w:kern w:val="0"/>
          <w:sz w:val="32"/>
          <w:szCs w:val="32"/>
          <w:lang w:val="en-US" w:eastAsia="zh-CN" w:bidi="ar-SA"/>
        </w:rPr>
      </w:pPr>
      <w:r>
        <w:rPr>
          <w:rFonts w:hint="eastAsia" w:ascii="楷体_GB2312" w:hAnsi="楷体_GB2312" w:eastAsia="楷体_GB2312" w:cs="楷体_GB2312"/>
          <w:b/>
          <w:bCs/>
          <w:color w:val="auto"/>
          <w:kern w:val="0"/>
          <w:sz w:val="32"/>
          <w:szCs w:val="32"/>
          <w:lang w:val="en-US" w:eastAsia="zh-CN" w:bidi="ar-SA"/>
        </w:rPr>
        <w:t>（一）基本支出情况</w:t>
      </w:r>
    </w:p>
    <w:p>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2025年基本支出1275.11万元，主要是为保障部门正常运转、完成日常工作任务而发生的各项支出，包括用于工资福利支出的人员经费以及办公费、印刷费、水电费、办公设备购置等公用经费。 </w:t>
      </w:r>
    </w:p>
    <w:p>
      <w:pPr>
        <w:keepNext w:val="0"/>
        <w:keepLines w:val="0"/>
        <w:pageBreakBefore w:val="0"/>
        <w:numPr>
          <w:ilvl w:val="0"/>
          <w:numId w:val="5"/>
        </w:numPr>
        <w:kinsoku/>
        <w:wordWrap/>
        <w:overflowPunct/>
        <w:topLinePunct w:val="0"/>
        <w:autoSpaceDE/>
        <w:autoSpaceDN/>
        <w:bidi w:val="0"/>
        <w:spacing w:line="560" w:lineRule="exact"/>
        <w:ind w:left="-13" w:leftChars="0" w:firstLine="643" w:firstLineChars="0"/>
        <w:textAlignment w:val="auto"/>
        <w:rPr>
          <w:rFonts w:hint="eastAsia" w:ascii="楷体_GB2312" w:hAnsi="楷体_GB2312" w:eastAsia="楷体_GB2312" w:cs="楷体_GB2312"/>
          <w:b/>
          <w:bCs/>
          <w:color w:val="auto"/>
          <w:kern w:val="0"/>
          <w:sz w:val="32"/>
          <w:szCs w:val="32"/>
          <w:lang w:val="en-US" w:eastAsia="zh-CN" w:bidi="ar-SA"/>
        </w:rPr>
      </w:pPr>
      <w:r>
        <w:rPr>
          <w:rFonts w:hint="eastAsia" w:ascii="楷体_GB2312" w:hAnsi="楷体_GB2312" w:eastAsia="楷体_GB2312" w:cs="楷体_GB2312"/>
          <w:b/>
          <w:bCs/>
          <w:color w:val="auto"/>
          <w:kern w:val="0"/>
          <w:sz w:val="32"/>
          <w:szCs w:val="32"/>
          <w:lang w:val="en-US" w:eastAsia="zh-CN" w:bidi="ar-SA"/>
        </w:rPr>
        <w:t>项目支出情况</w:t>
      </w:r>
    </w:p>
    <w:p>
      <w:pPr>
        <w:pStyle w:val="2"/>
        <w:numPr>
          <w:ilvl w:val="0"/>
          <w:numId w:val="0"/>
        </w:numPr>
        <w:ind w:firstLine="640" w:firstLineChars="200"/>
        <w:rPr>
          <w:rFonts w:hint="default"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2025年项目支出</w:t>
      </w:r>
      <w:r>
        <w:rPr>
          <w:rFonts w:hint="eastAsia" w:ascii="仿宋_GB2312" w:hAnsi="仿宋_GB2312" w:eastAsia="仿宋_GB2312" w:cs="仿宋_GB2312"/>
          <w:color w:val="auto"/>
          <w:sz w:val="32"/>
          <w:szCs w:val="32"/>
          <w:lang w:val="en-US" w:eastAsia="zh-CN"/>
        </w:rPr>
        <w:t>95.68</w:t>
      </w:r>
      <w:r>
        <w:rPr>
          <w:rFonts w:hint="eastAsia" w:ascii="仿宋_GB2312" w:hAnsi="仿宋_GB2312" w:eastAsia="仿宋_GB2312" w:cs="仿宋_GB2312"/>
          <w:color w:val="auto"/>
          <w:kern w:val="2"/>
          <w:sz w:val="32"/>
          <w:szCs w:val="32"/>
          <w:lang w:val="en-US" w:eastAsia="zh-CN" w:bidi="ar-SA"/>
        </w:rPr>
        <w:t>万元，各项专项资金的使用管理情况如下：</w:t>
      </w:r>
    </w:p>
    <w:p>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1.2025年度医疗保障与服务能力提升补助资金（医疗保障服务能力提升）分配安排和使用管理情况。</w:t>
      </w:r>
    </w:p>
    <w:p>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kern w:val="2"/>
          <w:sz w:val="32"/>
          <w:szCs w:val="32"/>
          <w:lang w:val="en-US" w:eastAsia="zh-CN" w:bidi="ar-SA"/>
        </w:rPr>
        <w:t>县财政局根据《湖南省财政厅关于提前下达2025年医疗服务与保障能力提升（医疗保障服务能力提升）中央财政补助资金的通知》（湘财预〔2024〕349号）和《湖南省财政厅关于下达2025年中央补助医疗服务与保障能力提升（医疗保障服务能力建设部分）项目经费的通知》（湘财预〔2025〕117号）等文件，分别于2025年1月、7月</w:t>
      </w:r>
      <w:r>
        <w:rPr>
          <w:rFonts w:hint="eastAsia" w:ascii="仿宋_GB2312" w:hAnsi="仿宋_GB2312" w:eastAsia="仿宋_GB2312" w:cs="仿宋_GB2312"/>
          <w:color w:val="auto"/>
          <w:sz w:val="32"/>
          <w:szCs w:val="32"/>
          <w:lang w:val="en-US" w:eastAsia="zh-CN"/>
        </w:rPr>
        <w:t>下达道县医保局2025年医疗服务与保障能力提升补助资金65万元，资金实际支出65万元，主要用于基金监管、医保政策宣传和经办服务能力提升等方面，预算执行率100%。</w:t>
      </w:r>
    </w:p>
    <w:p>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2.2025年度医保康复理疗大数据监管项目资金分配安排和使用管理情况。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0000FF"/>
          <w:sz w:val="32"/>
          <w:szCs w:val="32"/>
          <w:lang w:val="en-US" w:eastAsia="zh-CN"/>
        </w:rPr>
      </w:pPr>
      <w:r>
        <w:rPr>
          <w:rFonts w:hint="eastAsia" w:ascii="仿宋_GB2312" w:hAnsi="仿宋_GB2312" w:eastAsia="仿宋_GB2312" w:cs="仿宋_GB2312"/>
          <w:sz w:val="32"/>
          <w:szCs w:val="32"/>
          <w:lang w:val="en-US" w:eastAsia="zh-CN"/>
        </w:rPr>
        <w:t>为进一步加大道县医保基金监管力度，防范化解医保基金运行风险，规范康复理疗领域医保服务行为，我局启动医保康复理疗大数据监管项目建设</w:t>
      </w:r>
      <w:r>
        <w:rPr>
          <w:rFonts w:hint="eastAsia" w:ascii="仿宋_GB2312" w:hAnsi="仿宋_GB2312" w:eastAsia="仿宋_GB2312" w:cs="仿宋_GB2312"/>
          <w:color w:val="auto"/>
          <w:sz w:val="32"/>
          <w:szCs w:val="32"/>
          <w:lang w:val="en-US" w:eastAsia="zh-CN"/>
        </w:rPr>
        <w:t>。2025年财政预算安排项目资金30.68万元，</w:t>
      </w:r>
      <w:r>
        <w:rPr>
          <w:rFonts w:hint="eastAsia" w:ascii="仿宋_GB2312" w:hAnsi="仿宋_GB2312" w:eastAsia="仿宋_GB2312" w:cs="仿宋_GB2312"/>
          <w:sz w:val="32"/>
          <w:szCs w:val="32"/>
          <w:lang w:val="en-US" w:eastAsia="zh-CN"/>
        </w:rPr>
        <w:t>全部预算资金按项目建设进度足额拨付使用。</w:t>
      </w:r>
    </w:p>
    <w:p>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800" w:firstLineChars="200"/>
        <w:jc w:val="both"/>
        <w:textAlignment w:val="auto"/>
        <w:rPr>
          <w:rFonts w:hint="eastAsia" w:ascii="黑体" w:hAnsi="黑体" w:eastAsia="黑体" w:cs="黑体"/>
          <w:color w:val="auto"/>
          <w:kern w:val="2"/>
          <w:sz w:val="40"/>
          <w:szCs w:val="40"/>
          <w:lang w:val="en-US" w:eastAsia="zh-CN" w:bidi="ar-SA"/>
        </w:rPr>
      </w:pPr>
      <w:r>
        <w:rPr>
          <w:rFonts w:hint="eastAsia" w:ascii="黑体" w:hAnsi="黑体" w:eastAsia="黑体" w:cs="黑体"/>
          <w:color w:val="auto"/>
          <w:kern w:val="2"/>
          <w:sz w:val="40"/>
          <w:szCs w:val="40"/>
          <w:lang w:val="en-US" w:eastAsia="zh-CN" w:bidi="ar-SA"/>
        </w:rPr>
        <w:t>三、政府性基金预算支出情况</w:t>
      </w:r>
    </w:p>
    <w:p>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2025年度无政府性基金收支。</w:t>
      </w:r>
    </w:p>
    <w:p>
      <w:pPr>
        <w:ind w:firstLine="800" w:firstLineChars="200"/>
        <w:rPr>
          <w:rFonts w:hint="eastAsia" w:ascii="黑体" w:hAnsi="黑体" w:eastAsia="黑体" w:cs="黑体"/>
          <w:color w:val="auto"/>
          <w:sz w:val="40"/>
          <w:szCs w:val="40"/>
          <w:lang w:val="en-US" w:eastAsia="zh-CN"/>
        </w:rPr>
      </w:pPr>
      <w:r>
        <w:rPr>
          <w:rFonts w:hint="eastAsia" w:ascii="黑体" w:hAnsi="黑体" w:eastAsia="黑体" w:cs="黑体"/>
          <w:color w:val="auto"/>
          <w:sz w:val="40"/>
          <w:szCs w:val="40"/>
          <w:lang w:val="en-US" w:eastAsia="zh-CN"/>
        </w:rPr>
        <w:t>四、国有资本经营预算支出情况</w:t>
      </w:r>
    </w:p>
    <w:p>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本单位无国有资本经营预算的收支。</w:t>
      </w:r>
    </w:p>
    <w:p>
      <w:pPr>
        <w:ind w:firstLine="800" w:firstLineChars="200"/>
        <w:rPr>
          <w:rFonts w:hint="eastAsia" w:ascii="黑体" w:hAnsi="黑体" w:eastAsia="黑体" w:cs="黑体"/>
          <w:color w:val="auto"/>
          <w:kern w:val="2"/>
          <w:sz w:val="40"/>
          <w:szCs w:val="40"/>
          <w:lang w:val="en-US" w:eastAsia="zh-CN" w:bidi="ar-SA"/>
        </w:rPr>
      </w:pPr>
      <w:r>
        <w:rPr>
          <w:rFonts w:hint="eastAsia" w:ascii="黑体" w:hAnsi="黑体" w:eastAsia="黑体" w:cs="黑体"/>
          <w:color w:val="auto"/>
          <w:kern w:val="2"/>
          <w:sz w:val="40"/>
          <w:szCs w:val="40"/>
          <w:lang w:val="en-US" w:eastAsia="zh-CN" w:bidi="ar-SA"/>
        </w:rPr>
        <w:t>五、社会保险基金预算支出情况</w:t>
      </w:r>
    </w:p>
    <w:p>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default" w:ascii="楷体_GB2312" w:hAnsi="楷体_GB2312" w:eastAsia="楷体_GB2312" w:cs="楷体_GB2312"/>
          <w:b/>
          <w:bCs/>
          <w:color w:val="auto"/>
          <w:kern w:val="0"/>
          <w:sz w:val="32"/>
          <w:szCs w:val="32"/>
          <w:lang w:val="en-US" w:eastAsia="zh-CN" w:bidi="ar-SA"/>
        </w:rPr>
      </w:pPr>
      <w:r>
        <w:rPr>
          <w:rFonts w:hint="eastAsia" w:ascii="楷体_GB2312" w:hAnsi="楷体_GB2312" w:eastAsia="楷体_GB2312" w:cs="楷体_GB2312"/>
          <w:b/>
          <w:bCs/>
          <w:color w:val="auto"/>
          <w:kern w:val="0"/>
          <w:sz w:val="32"/>
          <w:szCs w:val="32"/>
          <w:lang w:val="en-US" w:eastAsia="zh-CN" w:bidi="ar-SA"/>
        </w:rPr>
        <w:t>（一）</w:t>
      </w:r>
      <w:r>
        <w:rPr>
          <w:rFonts w:hint="default" w:ascii="楷体_GB2312" w:hAnsi="楷体_GB2312" w:eastAsia="楷体_GB2312" w:cs="楷体_GB2312"/>
          <w:b/>
          <w:bCs/>
          <w:color w:val="auto"/>
          <w:kern w:val="0"/>
          <w:sz w:val="32"/>
          <w:szCs w:val="32"/>
          <w:lang w:val="en-US" w:eastAsia="zh-CN" w:bidi="ar-SA"/>
        </w:rPr>
        <w:t>城镇职工医疗保险</w:t>
      </w:r>
      <w:r>
        <w:rPr>
          <w:rFonts w:hint="eastAsia" w:ascii="楷体_GB2312" w:hAnsi="楷体_GB2312" w:eastAsia="楷体_GB2312" w:cs="楷体_GB2312"/>
          <w:b/>
          <w:bCs/>
          <w:color w:val="auto"/>
          <w:kern w:val="0"/>
          <w:sz w:val="32"/>
          <w:szCs w:val="32"/>
          <w:lang w:val="en-US" w:eastAsia="zh-CN" w:bidi="ar-SA"/>
        </w:rPr>
        <w:t>基金预算执行情况</w:t>
      </w:r>
    </w:p>
    <w:p>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2025年城镇职工医保预计参保人数32405人，基本医疗保险费收入15336.31万元、财政补贴收入40万元、利息收入158.5万元、转移收入27万元，本年预算收入合计15561.81万元，预计基本医疗保险基金支出15091.77万元，当年基金预算收支结余470.04万元。</w:t>
      </w:r>
    </w:p>
    <w:p>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2025年度城镇职工医保参保单位计591家，实际参保人数33717人（其中，在职21009人，退休12708人），参保人数较上年末增加1403人，同比增长4.34%，完成年度预算的104.05%。</w:t>
      </w:r>
    </w:p>
    <w:p>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2025年度城职基本医疗保险费收入15902.93万元、财政补贴收入0.36万元、利息收入97.57万元、其他收入1.62万元、转移收入22.77万元，本年基金收入合计16025.25万元，与去年同期比较增加1230.82万元，增长8.32%；比年初预算数增加463.44万元，完成年度预算的102.98%。</w:t>
      </w:r>
    </w:p>
    <w:p>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2025年城职基本医疗保险基金享受待遇47.78万人次，实际补偿支出16454.94万元，同比增加872.89万元，增长5.60%，比年初预算数增加1363.17万元，增长9.03%。当年基金结余-429.69万元，年末滚存结余11723.35万元。</w:t>
      </w:r>
    </w:p>
    <w:p>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640" w:firstLineChars="200"/>
        <w:jc w:val="both"/>
        <w:textAlignment w:val="auto"/>
        <w:rPr>
          <w:rFonts w:hint="default" w:ascii="楷体_GB2312" w:hAnsi="楷体_GB2312" w:eastAsia="楷体_GB2312" w:cs="楷体_GB2312"/>
          <w:b/>
          <w:bCs/>
          <w:color w:val="auto"/>
          <w:kern w:val="0"/>
          <w:sz w:val="32"/>
          <w:szCs w:val="32"/>
          <w:lang w:val="en-US" w:eastAsia="zh-CN" w:bidi="ar-SA"/>
        </w:rPr>
      </w:pPr>
      <w:r>
        <w:rPr>
          <w:rFonts w:hint="eastAsia" w:ascii="楷体_GB2312" w:hAnsi="楷体_GB2312" w:eastAsia="楷体_GB2312" w:cs="楷体_GB2312"/>
          <w:b/>
          <w:bCs/>
          <w:color w:val="auto"/>
          <w:kern w:val="0"/>
          <w:sz w:val="32"/>
          <w:szCs w:val="32"/>
          <w:lang w:val="en-US" w:eastAsia="zh-CN" w:bidi="ar-SA"/>
        </w:rPr>
        <w:t>（二）</w:t>
      </w:r>
      <w:r>
        <w:rPr>
          <w:rFonts w:hint="default" w:ascii="楷体_GB2312" w:hAnsi="楷体_GB2312" w:eastAsia="楷体_GB2312" w:cs="楷体_GB2312"/>
          <w:b/>
          <w:bCs/>
          <w:color w:val="auto"/>
          <w:kern w:val="0"/>
          <w:sz w:val="32"/>
          <w:szCs w:val="32"/>
          <w:lang w:val="en-US" w:eastAsia="zh-CN" w:bidi="ar-SA"/>
        </w:rPr>
        <w:t>城</w:t>
      </w:r>
      <w:r>
        <w:rPr>
          <w:rFonts w:hint="eastAsia" w:ascii="楷体_GB2312" w:hAnsi="楷体_GB2312" w:eastAsia="楷体_GB2312" w:cs="楷体_GB2312"/>
          <w:b/>
          <w:bCs/>
          <w:color w:val="auto"/>
          <w:kern w:val="0"/>
          <w:sz w:val="32"/>
          <w:szCs w:val="32"/>
          <w:lang w:val="en-US" w:eastAsia="zh-CN" w:bidi="ar-SA"/>
        </w:rPr>
        <w:t>乡居民</w:t>
      </w:r>
      <w:r>
        <w:rPr>
          <w:rFonts w:hint="default" w:ascii="楷体_GB2312" w:hAnsi="楷体_GB2312" w:eastAsia="楷体_GB2312" w:cs="楷体_GB2312"/>
          <w:b/>
          <w:bCs/>
          <w:color w:val="auto"/>
          <w:kern w:val="0"/>
          <w:sz w:val="32"/>
          <w:szCs w:val="32"/>
          <w:lang w:val="en-US" w:eastAsia="zh-CN" w:bidi="ar-SA"/>
        </w:rPr>
        <w:t>医疗保险</w:t>
      </w:r>
      <w:r>
        <w:rPr>
          <w:rFonts w:hint="eastAsia" w:ascii="楷体_GB2312" w:hAnsi="楷体_GB2312" w:eastAsia="楷体_GB2312" w:cs="楷体_GB2312"/>
          <w:b/>
          <w:bCs/>
          <w:color w:val="auto"/>
          <w:kern w:val="0"/>
          <w:sz w:val="32"/>
          <w:szCs w:val="32"/>
          <w:lang w:val="en-US" w:eastAsia="zh-CN" w:bidi="ar-SA"/>
        </w:rPr>
        <w:t>基金预算执行情况</w:t>
      </w:r>
    </w:p>
    <w:p>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2025年城乡居民医保预计参保人数59.1万人，基本医疗保险费收入23640万元、财政补贴收入41370万元、利息收入330万元、其他收入220万元，本年基金预算收入65560万元，预计基本医疗保险基金支出63262万元，当年基金预算收支结余2298万元。</w:t>
      </w:r>
    </w:p>
    <w:p>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2025年度城乡居民医保实际参保人数580677人（集中征缴期内参保人数为578656人），参保人数较上年末减少11645人，同比下降1.96%，完成年度预算的98.25%。</w:t>
      </w:r>
    </w:p>
    <w:p>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2025年度城乡居民基本医疗保险费收入23309.76万元、财政补贴收入39985.01万元、利息收入146.09万元、其他收入543.85万元，新冠疫苗及接种费用的补助收入7.16万元，本年基金收入合计63991.87万元，与去年同期比较增加1602.02万元，增长2.57%；比年初预算数减少1568.13万元，完成年度预算的97.61%。</w:t>
      </w:r>
    </w:p>
    <w:p>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2025年城乡居民基本医疗保险基金享受待遇104.41万人次，实际补偿支出69471.63万元，同比增加7254.41万元，增长11.66%，比年初预算数增加6209.63万元，完成预算110.47%。当年基金结余-5479.77万元，年末滚存结余14982.08万元。</w:t>
      </w:r>
    </w:p>
    <w:p>
      <w:pPr>
        <w:ind w:firstLine="800" w:firstLineChars="200"/>
        <w:rPr>
          <w:rFonts w:hint="eastAsia" w:ascii="黑体" w:hAnsi="黑体" w:eastAsia="黑体" w:cs="黑体"/>
          <w:color w:val="auto"/>
          <w:kern w:val="2"/>
          <w:sz w:val="40"/>
          <w:szCs w:val="40"/>
          <w:lang w:val="en-US" w:eastAsia="zh-CN" w:bidi="ar-SA"/>
        </w:rPr>
      </w:pPr>
      <w:r>
        <w:rPr>
          <w:rFonts w:hint="eastAsia" w:ascii="黑体" w:hAnsi="黑体" w:eastAsia="黑体" w:cs="黑体"/>
          <w:color w:val="auto"/>
          <w:kern w:val="2"/>
          <w:sz w:val="40"/>
          <w:szCs w:val="40"/>
          <w:lang w:val="en-US" w:eastAsia="zh-CN" w:bidi="ar-SA"/>
        </w:rPr>
        <w:t>六、部门整体支出绩效情况</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sz w:val="32"/>
          <w:szCs w:val="32"/>
          <w:shd w:val="clear" w:fill="FFFFFF"/>
        </w:rPr>
        <w:t>2025年，道县医疗保障局在县委、县政府的坚强领导和市医保局的精心指导下，坚持以习近平新时代中国特色社会主义思想为指导，紧紧围绕医疗保障事业高质量发展目标，以“惠民生、深改革、优服务、强监管”为主线，扎实推进各项工作，全力打造“幸福医保”，取得了显著成效。</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楷体_GB2312" w:hAnsi="楷体_GB2312" w:eastAsia="楷体_GB2312" w:cs="楷体_GB2312"/>
          <w:b/>
          <w:bCs/>
          <w:i w:val="0"/>
          <w:iCs w:val="0"/>
          <w:caps w:val="0"/>
          <w:color w:val="auto"/>
          <w:spacing w:val="0"/>
          <w:sz w:val="32"/>
          <w:szCs w:val="32"/>
          <w:shd w:val="clear" w:fill="FFFFFF"/>
          <w:lang w:eastAsia="zh-CN"/>
        </w:rPr>
        <w:t>（</w:t>
      </w:r>
      <w:r>
        <w:rPr>
          <w:rFonts w:hint="eastAsia" w:ascii="楷体_GB2312" w:hAnsi="楷体_GB2312" w:eastAsia="楷体_GB2312" w:cs="楷体_GB2312"/>
          <w:b/>
          <w:bCs/>
          <w:i w:val="0"/>
          <w:iCs w:val="0"/>
          <w:caps w:val="0"/>
          <w:color w:val="auto"/>
          <w:spacing w:val="0"/>
          <w:sz w:val="32"/>
          <w:szCs w:val="32"/>
          <w:shd w:val="clear" w:fill="FFFFFF"/>
          <w:lang w:val="en-US" w:eastAsia="zh-CN"/>
        </w:rPr>
        <w:t>一）</w:t>
      </w:r>
      <w:r>
        <w:rPr>
          <w:rFonts w:hint="eastAsia" w:ascii="楷体_GB2312" w:hAnsi="楷体_GB2312" w:eastAsia="楷体_GB2312" w:cs="楷体_GB2312"/>
          <w:b/>
          <w:bCs/>
          <w:i w:val="0"/>
          <w:iCs w:val="0"/>
          <w:caps w:val="0"/>
          <w:color w:val="auto"/>
          <w:spacing w:val="0"/>
          <w:sz w:val="32"/>
          <w:szCs w:val="32"/>
          <w:shd w:val="clear" w:fill="FFFFFF"/>
        </w:rPr>
        <w:t>精准施策，参保覆盖持续扩大</w:t>
      </w:r>
      <w:r>
        <w:rPr>
          <w:rFonts w:hint="eastAsia" w:ascii="楷体_GB2312" w:hAnsi="楷体_GB2312" w:eastAsia="楷体_GB2312" w:cs="楷体_GB2312"/>
          <w:b/>
          <w:bCs/>
          <w:i w:val="0"/>
          <w:iCs w:val="0"/>
          <w:caps w:val="0"/>
          <w:color w:val="auto"/>
          <w:spacing w:val="0"/>
          <w:sz w:val="32"/>
          <w:szCs w:val="32"/>
          <w:shd w:val="clear" w:fill="FFFFFF"/>
          <w:lang w:eastAsia="zh-CN"/>
        </w:rPr>
        <w:t>。</w:t>
      </w:r>
      <w:r>
        <w:rPr>
          <w:rFonts w:hint="eastAsia" w:ascii="仿宋_GB2312" w:hAnsi="仿宋_GB2312" w:eastAsia="仿宋_GB2312" w:cs="仿宋_GB2312"/>
          <w:i w:val="0"/>
          <w:iCs w:val="0"/>
          <w:caps w:val="0"/>
          <w:color w:val="auto"/>
          <w:spacing w:val="0"/>
          <w:sz w:val="32"/>
          <w:szCs w:val="32"/>
          <w:shd w:val="clear" w:fill="FFFFFF"/>
        </w:rPr>
        <w:t>始终将参保扩面作为医疗保障工作的基础，精准发力，确保应保尽保。</w:t>
      </w:r>
      <w:r>
        <w:rPr>
          <w:rFonts w:hint="eastAsia" w:ascii="仿宋_GB2312" w:hAnsi="仿宋_GB2312" w:eastAsia="仿宋_GB2312" w:cs="仿宋_GB2312"/>
          <w:b/>
          <w:bCs/>
          <w:i w:val="0"/>
          <w:iCs w:val="0"/>
          <w:caps w:val="0"/>
          <w:color w:val="auto"/>
          <w:spacing w:val="0"/>
          <w:sz w:val="32"/>
          <w:szCs w:val="32"/>
          <w:shd w:val="clear" w:fill="FFFFFF"/>
        </w:rPr>
        <w:t>一是城乡居民参保任务超额完成。</w:t>
      </w:r>
      <w:r>
        <w:rPr>
          <w:rFonts w:hint="eastAsia" w:ascii="仿宋_GB2312" w:hAnsi="仿宋_GB2312" w:eastAsia="仿宋_GB2312" w:cs="仿宋_GB2312"/>
          <w:i w:val="0"/>
          <w:iCs w:val="0"/>
          <w:caps w:val="0"/>
          <w:color w:val="auto"/>
          <w:spacing w:val="0"/>
          <w:sz w:val="32"/>
          <w:szCs w:val="32"/>
          <w:shd w:val="clear" w:fill="FFFFFF"/>
        </w:rPr>
        <w:t>全县基本医疗保险参保总人数达614394人，常住人口参保率达107.41%，参保覆盖率稳居全市第二。</w:t>
      </w:r>
      <w:r>
        <w:rPr>
          <w:rFonts w:hint="eastAsia" w:ascii="仿宋_GB2312" w:hAnsi="仿宋_GB2312" w:eastAsia="仿宋_GB2312" w:cs="仿宋_GB2312"/>
          <w:b/>
          <w:bCs/>
          <w:i w:val="0"/>
          <w:iCs w:val="0"/>
          <w:caps w:val="0"/>
          <w:color w:val="auto"/>
          <w:spacing w:val="0"/>
          <w:sz w:val="32"/>
          <w:szCs w:val="32"/>
          <w:shd w:val="clear" w:fill="FFFFFF"/>
        </w:rPr>
        <w:t>二是困难群体实现动态全覆盖。</w:t>
      </w:r>
      <w:r>
        <w:rPr>
          <w:rFonts w:hint="eastAsia" w:ascii="仿宋_GB2312" w:hAnsi="仿宋_GB2312" w:eastAsia="仿宋_GB2312" w:cs="仿宋_GB2312"/>
          <w:i w:val="0"/>
          <w:iCs w:val="0"/>
          <w:caps w:val="0"/>
          <w:color w:val="auto"/>
          <w:spacing w:val="0"/>
          <w:sz w:val="32"/>
          <w:szCs w:val="32"/>
          <w:shd w:val="clear" w:fill="FFFFFF"/>
        </w:rPr>
        <w:t>紧密对接乡村振兴、民政、残联等部门，动态掌握困难人员信息。截至2025年12月，全县困难人员89286人，已参保89286人（其中县内参保82412人，六类人员6874人），动态参保率稳定在100%，筑牢了民生保障底线。</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楷体_GB2312" w:hAnsi="楷体_GB2312" w:eastAsia="楷体_GB2312" w:cs="楷体_GB2312"/>
          <w:b/>
          <w:bCs/>
          <w:i w:val="0"/>
          <w:iCs w:val="0"/>
          <w:caps w:val="0"/>
          <w:color w:val="auto"/>
          <w:spacing w:val="0"/>
          <w:sz w:val="32"/>
          <w:szCs w:val="32"/>
          <w:shd w:val="clear" w:fill="FFFFFF"/>
          <w:lang w:eastAsia="zh-CN"/>
        </w:rPr>
        <w:t>（</w:t>
      </w:r>
      <w:r>
        <w:rPr>
          <w:rFonts w:hint="eastAsia" w:ascii="楷体_GB2312" w:hAnsi="楷体_GB2312" w:eastAsia="楷体_GB2312" w:cs="楷体_GB2312"/>
          <w:b/>
          <w:bCs/>
          <w:i w:val="0"/>
          <w:iCs w:val="0"/>
          <w:caps w:val="0"/>
          <w:color w:val="auto"/>
          <w:spacing w:val="0"/>
          <w:sz w:val="32"/>
          <w:szCs w:val="32"/>
          <w:shd w:val="clear" w:fill="FFFFFF"/>
          <w:lang w:val="en-US" w:eastAsia="zh-CN"/>
        </w:rPr>
        <w:t>二）</w:t>
      </w:r>
      <w:r>
        <w:rPr>
          <w:rFonts w:hint="eastAsia" w:ascii="楷体_GB2312" w:hAnsi="楷体_GB2312" w:eastAsia="楷体_GB2312" w:cs="楷体_GB2312"/>
          <w:b/>
          <w:bCs/>
          <w:i w:val="0"/>
          <w:iCs w:val="0"/>
          <w:caps w:val="0"/>
          <w:color w:val="auto"/>
          <w:spacing w:val="0"/>
          <w:sz w:val="32"/>
          <w:szCs w:val="32"/>
          <w:shd w:val="clear" w:fill="FFFFFF"/>
          <w:lang w:eastAsia="zh-CN"/>
        </w:rPr>
        <w:t>优化保障，待遇水平稳步提升。</w:t>
      </w:r>
      <w:r>
        <w:rPr>
          <w:rFonts w:hint="eastAsia" w:ascii="仿宋_GB2312" w:hAnsi="仿宋_GB2312" w:eastAsia="仿宋_GB2312" w:cs="仿宋_GB2312"/>
          <w:i w:val="0"/>
          <w:iCs w:val="0"/>
          <w:caps w:val="0"/>
          <w:color w:val="auto"/>
          <w:spacing w:val="0"/>
          <w:sz w:val="32"/>
          <w:szCs w:val="32"/>
          <w:shd w:val="clear" w:fill="FFFFFF"/>
        </w:rPr>
        <w:t>聚焦群众医疗保障需求，不断完善政策体系，提升保障效能。</w:t>
      </w:r>
      <w:r>
        <w:rPr>
          <w:rFonts w:hint="eastAsia" w:ascii="仿宋_GB2312" w:hAnsi="仿宋_GB2312" w:eastAsia="仿宋_GB2312" w:cs="仿宋_GB2312"/>
          <w:b/>
          <w:bCs/>
          <w:i w:val="0"/>
          <w:iCs w:val="0"/>
          <w:caps w:val="0"/>
          <w:color w:val="auto"/>
          <w:spacing w:val="0"/>
          <w:sz w:val="32"/>
          <w:szCs w:val="32"/>
          <w:shd w:val="clear" w:fill="FFFFFF"/>
        </w:rPr>
        <w:t>一是“一人一档”建设扎实推进。</w:t>
      </w:r>
      <w:r>
        <w:rPr>
          <w:rFonts w:hint="eastAsia" w:ascii="仿宋_GB2312" w:hAnsi="仿宋_GB2312" w:eastAsia="仿宋_GB2312" w:cs="仿宋_GB2312"/>
          <w:i w:val="0"/>
          <w:iCs w:val="0"/>
          <w:caps w:val="0"/>
          <w:color w:val="auto"/>
          <w:spacing w:val="0"/>
          <w:sz w:val="32"/>
          <w:szCs w:val="32"/>
          <w:shd w:val="clear" w:fill="FFFFFF"/>
        </w:rPr>
        <w:t>持续优化参保缴费服务机制，减轻基层负担，推动医疗保障基金可持续发展。截至2025年6月，全民参保“一人一档”数据库已覆盖71.51万人，常住人口覆盖面达124.56%，为实现精准管理和服务奠定了基础。</w:t>
      </w:r>
      <w:r>
        <w:rPr>
          <w:rFonts w:hint="eastAsia" w:ascii="仿宋_GB2312" w:hAnsi="仿宋_GB2312" w:eastAsia="仿宋_GB2312" w:cs="仿宋_GB2312"/>
          <w:b/>
          <w:bCs/>
          <w:i w:val="0"/>
          <w:iCs w:val="0"/>
          <w:caps w:val="0"/>
          <w:color w:val="auto"/>
          <w:spacing w:val="0"/>
          <w:sz w:val="32"/>
          <w:szCs w:val="32"/>
          <w:shd w:val="clear" w:fill="FFFFFF"/>
        </w:rPr>
        <w:t>二是基层门诊统筹改革试点初见成效。</w:t>
      </w:r>
      <w:r>
        <w:rPr>
          <w:rFonts w:hint="eastAsia" w:ascii="仿宋_GB2312" w:hAnsi="仿宋_GB2312" w:eastAsia="仿宋_GB2312" w:cs="仿宋_GB2312"/>
          <w:i w:val="0"/>
          <w:iCs w:val="0"/>
          <w:caps w:val="0"/>
          <w:color w:val="auto"/>
          <w:spacing w:val="0"/>
          <w:sz w:val="32"/>
          <w:szCs w:val="32"/>
          <w:shd w:val="clear" w:fill="FFFFFF"/>
        </w:rPr>
        <w:t>在</w:t>
      </w:r>
      <w:r>
        <w:rPr>
          <w:rFonts w:hint="eastAsia" w:ascii="仿宋_GB2312" w:hAnsi="仿宋_GB2312" w:eastAsia="仿宋_GB2312" w:cs="仿宋_GB2312"/>
          <w:i w:val="0"/>
          <w:iCs w:val="0"/>
          <w:caps w:val="0"/>
          <w:color w:val="auto"/>
          <w:spacing w:val="0"/>
          <w:sz w:val="32"/>
          <w:szCs w:val="32"/>
          <w:shd w:val="clear" w:fill="FFFFFF"/>
          <w:lang w:val="en-US" w:eastAsia="zh-CN"/>
        </w:rPr>
        <w:t>仙子脚</w:t>
      </w:r>
      <w:r>
        <w:rPr>
          <w:rFonts w:hint="eastAsia" w:ascii="仿宋_GB2312" w:hAnsi="仿宋_GB2312" w:eastAsia="仿宋_GB2312" w:cs="仿宋_GB2312"/>
          <w:i w:val="0"/>
          <w:iCs w:val="0"/>
          <w:caps w:val="0"/>
          <w:color w:val="auto"/>
          <w:spacing w:val="0"/>
          <w:sz w:val="32"/>
          <w:szCs w:val="32"/>
          <w:shd w:val="clear" w:fill="FFFFFF"/>
        </w:rPr>
        <w:t>镇探索整合医保基金与公共卫生服务资金，打包政策与服务，通过家庭医生签约形式开展按人头付费试点。目前已完成签约2000</w:t>
      </w:r>
      <w:r>
        <w:rPr>
          <w:rFonts w:hint="eastAsia" w:ascii="仿宋_GB2312" w:hAnsi="仿宋_GB2312" w:eastAsia="仿宋_GB2312" w:cs="仿宋_GB2312"/>
          <w:i w:val="0"/>
          <w:iCs w:val="0"/>
          <w:caps w:val="0"/>
          <w:color w:val="auto"/>
          <w:spacing w:val="0"/>
          <w:sz w:val="32"/>
          <w:szCs w:val="32"/>
          <w:shd w:val="clear" w:fill="FFFFFF"/>
          <w:lang w:val="en-US" w:eastAsia="zh-CN"/>
        </w:rPr>
        <w:t>余</w:t>
      </w:r>
      <w:r>
        <w:rPr>
          <w:rFonts w:hint="eastAsia" w:ascii="仿宋_GB2312" w:hAnsi="仿宋_GB2312" w:eastAsia="仿宋_GB2312" w:cs="仿宋_GB2312"/>
          <w:i w:val="0"/>
          <w:iCs w:val="0"/>
          <w:caps w:val="0"/>
          <w:color w:val="auto"/>
          <w:spacing w:val="0"/>
          <w:sz w:val="32"/>
          <w:szCs w:val="32"/>
          <w:shd w:val="clear" w:fill="FFFFFF"/>
        </w:rPr>
        <w:t>人次，促进了基层医疗服务能力提升和资源合理利用。</w:t>
      </w:r>
      <w:r>
        <w:rPr>
          <w:rFonts w:hint="eastAsia" w:ascii="仿宋_GB2312" w:hAnsi="仿宋_GB2312" w:eastAsia="仿宋_GB2312" w:cs="仿宋_GB2312"/>
          <w:b/>
          <w:bCs/>
          <w:i w:val="0"/>
          <w:iCs w:val="0"/>
          <w:caps w:val="0"/>
          <w:color w:val="auto"/>
          <w:spacing w:val="0"/>
          <w:sz w:val="32"/>
          <w:szCs w:val="32"/>
          <w:shd w:val="clear" w:fill="FFFFFF"/>
        </w:rPr>
        <w:t>三是医保待遇水平稳步提高。</w:t>
      </w:r>
      <w:r>
        <w:rPr>
          <w:rFonts w:hint="eastAsia" w:ascii="仿宋_GB2312" w:hAnsi="仿宋_GB2312" w:eastAsia="仿宋_GB2312" w:cs="仿宋_GB2312"/>
          <w:i w:val="0"/>
          <w:iCs w:val="0"/>
          <w:caps w:val="0"/>
          <w:color w:val="auto"/>
          <w:spacing w:val="0"/>
          <w:sz w:val="32"/>
          <w:szCs w:val="32"/>
          <w:shd w:val="clear" w:fill="FFFFFF"/>
        </w:rPr>
        <w:t>截至</w:t>
      </w:r>
      <w:r>
        <w:rPr>
          <w:rFonts w:hint="eastAsia" w:ascii="仿宋_GB2312" w:hAnsi="仿宋_GB2312" w:eastAsia="仿宋_GB2312" w:cs="仿宋_GB2312"/>
          <w:i w:val="0"/>
          <w:iCs w:val="0"/>
          <w:caps w:val="0"/>
          <w:color w:val="auto"/>
          <w:spacing w:val="0"/>
          <w:sz w:val="32"/>
          <w:szCs w:val="32"/>
          <w:shd w:val="clear" w:fill="FFFFFF"/>
          <w:lang w:val="en-US" w:eastAsia="zh-CN"/>
        </w:rPr>
        <w:t>2025年12月</w:t>
      </w:r>
      <w:r>
        <w:rPr>
          <w:rFonts w:hint="eastAsia" w:ascii="仿宋_GB2312" w:hAnsi="仿宋_GB2312" w:eastAsia="仿宋_GB2312" w:cs="仿宋_GB2312"/>
          <w:i w:val="0"/>
          <w:iCs w:val="0"/>
          <w:caps w:val="0"/>
          <w:color w:val="auto"/>
          <w:spacing w:val="0"/>
          <w:sz w:val="32"/>
          <w:szCs w:val="32"/>
          <w:shd w:val="clear" w:fill="FFFFFF"/>
        </w:rPr>
        <w:t>，县内住院城镇职工医保政策范围内报销比例达82.99%，城乡居民医保达76.23%；目录外费用占比控制在3.37%，有效减轻了群众就医负担。</w:t>
      </w:r>
      <w:r>
        <w:rPr>
          <w:rFonts w:hint="eastAsia" w:ascii="仿宋_GB2312" w:hAnsi="仿宋_GB2312" w:eastAsia="仿宋_GB2312" w:cs="仿宋_GB2312"/>
          <w:b/>
          <w:bCs/>
          <w:i w:val="0"/>
          <w:iCs w:val="0"/>
          <w:caps w:val="0"/>
          <w:color w:val="auto"/>
          <w:spacing w:val="0"/>
          <w:sz w:val="32"/>
          <w:szCs w:val="32"/>
          <w:shd w:val="clear" w:fill="FFFFFF"/>
        </w:rPr>
        <w:t>四是紧密衔接乡村振兴战略。</w:t>
      </w:r>
      <w:r>
        <w:rPr>
          <w:rFonts w:hint="eastAsia" w:ascii="仿宋_GB2312" w:hAnsi="仿宋_GB2312" w:eastAsia="仿宋_GB2312" w:cs="仿宋_GB2312"/>
          <w:i w:val="0"/>
          <w:iCs w:val="0"/>
          <w:caps w:val="0"/>
          <w:color w:val="auto"/>
          <w:spacing w:val="0"/>
          <w:sz w:val="32"/>
          <w:szCs w:val="32"/>
          <w:shd w:val="clear" w:fill="FFFFFF"/>
        </w:rPr>
        <w:t>严格落实困难群众参保资助政策，全年资助参保34672人，金额943.53万元，资助政策100%落实。截至</w:t>
      </w:r>
      <w:r>
        <w:rPr>
          <w:rFonts w:hint="eastAsia" w:ascii="仿宋_GB2312" w:hAnsi="仿宋_GB2312" w:eastAsia="仿宋_GB2312" w:cs="仿宋_GB2312"/>
          <w:i w:val="0"/>
          <w:iCs w:val="0"/>
          <w:caps w:val="0"/>
          <w:color w:val="auto"/>
          <w:spacing w:val="0"/>
          <w:sz w:val="32"/>
          <w:szCs w:val="32"/>
          <w:shd w:val="clear" w:fill="FFFFFF"/>
          <w:lang w:val="en-US" w:eastAsia="zh-CN"/>
        </w:rPr>
        <w:t>2025年12</w:t>
      </w:r>
      <w:r>
        <w:rPr>
          <w:rFonts w:hint="eastAsia" w:ascii="仿宋_GB2312" w:hAnsi="仿宋_GB2312" w:eastAsia="仿宋_GB2312" w:cs="仿宋_GB2312"/>
          <w:i w:val="0"/>
          <w:iCs w:val="0"/>
          <w:caps w:val="0"/>
          <w:color w:val="auto"/>
          <w:spacing w:val="0"/>
          <w:sz w:val="32"/>
          <w:szCs w:val="32"/>
          <w:shd w:val="clear" w:fill="FFFFFF"/>
        </w:rPr>
        <w:t>月，累计实施医疗救助</w:t>
      </w:r>
      <w:r>
        <w:rPr>
          <w:rFonts w:hint="eastAsia" w:ascii="仿宋_GB2312" w:hAnsi="仿宋_GB2312" w:eastAsia="仿宋_GB2312" w:cs="仿宋_GB2312"/>
          <w:i w:val="0"/>
          <w:iCs w:val="0"/>
          <w:caps w:val="0"/>
          <w:color w:val="auto"/>
          <w:spacing w:val="0"/>
          <w:sz w:val="32"/>
          <w:szCs w:val="32"/>
          <w:shd w:val="clear" w:fill="FFFFFF"/>
          <w:lang w:val="en-US" w:eastAsia="zh-CN"/>
        </w:rPr>
        <w:t>4.30</w:t>
      </w:r>
      <w:r>
        <w:rPr>
          <w:rFonts w:hint="eastAsia" w:ascii="仿宋_GB2312" w:hAnsi="仿宋_GB2312" w:eastAsia="仿宋_GB2312" w:cs="仿宋_GB2312"/>
          <w:i w:val="0"/>
          <w:iCs w:val="0"/>
          <w:caps w:val="0"/>
          <w:color w:val="auto"/>
          <w:spacing w:val="0"/>
          <w:sz w:val="32"/>
          <w:szCs w:val="32"/>
          <w:shd w:val="clear" w:fill="FFFFFF"/>
        </w:rPr>
        <w:t>万人次，救助金额</w:t>
      </w:r>
      <w:r>
        <w:rPr>
          <w:rFonts w:hint="eastAsia" w:ascii="仿宋_GB2312" w:hAnsi="仿宋_GB2312" w:eastAsia="仿宋_GB2312" w:cs="仿宋_GB2312"/>
          <w:i w:val="0"/>
          <w:iCs w:val="0"/>
          <w:caps w:val="0"/>
          <w:color w:val="auto"/>
          <w:spacing w:val="0"/>
          <w:sz w:val="32"/>
          <w:szCs w:val="32"/>
          <w:shd w:val="clear" w:fill="FFFFFF"/>
          <w:lang w:val="en-US" w:eastAsia="zh-CN"/>
        </w:rPr>
        <w:t>3896.40</w:t>
      </w:r>
      <w:r>
        <w:rPr>
          <w:rFonts w:hint="eastAsia" w:ascii="仿宋_GB2312" w:hAnsi="仿宋_GB2312" w:eastAsia="仿宋_GB2312" w:cs="仿宋_GB2312"/>
          <w:i w:val="0"/>
          <w:iCs w:val="0"/>
          <w:caps w:val="0"/>
          <w:color w:val="auto"/>
          <w:spacing w:val="0"/>
          <w:sz w:val="32"/>
          <w:szCs w:val="32"/>
          <w:shd w:val="clear" w:fill="FFFFFF"/>
        </w:rPr>
        <w:t>万元，有力防止了因病</w:t>
      </w:r>
      <w:r>
        <w:rPr>
          <w:rFonts w:hint="eastAsia" w:ascii="仿宋_GB2312" w:hAnsi="仿宋_GB2312" w:eastAsia="仿宋_GB2312" w:cs="仿宋_GB2312"/>
          <w:i w:val="0"/>
          <w:iCs w:val="0"/>
          <w:caps w:val="0"/>
          <w:color w:val="auto"/>
          <w:spacing w:val="0"/>
          <w:sz w:val="32"/>
          <w:szCs w:val="32"/>
          <w:shd w:val="clear" w:fill="FFFFFF"/>
          <w:lang w:eastAsia="zh-CN"/>
        </w:rPr>
        <w:t>致贫、因病返贫</w:t>
      </w:r>
      <w:r>
        <w:rPr>
          <w:rFonts w:hint="eastAsia" w:ascii="仿宋_GB2312" w:hAnsi="仿宋_GB2312" w:eastAsia="仿宋_GB2312" w:cs="仿宋_GB2312"/>
          <w:i w:val="0"/>
          <w:iCs w:val="0"/>
          <w:caps w:val="0"/>
          <w:color w:val="auto"/>
          <w:spacing w:val="0"/>
          <w:sz w:val="32"/>
          <w:szCs w:val="32"/>
          <w:shd w:val="clear" w:fill="FFFFFF"/>
        </w:rPr>
        <w:t>。</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楷体_GB2312" w:hAnsi="楷体_GB2312" w:eastAsia="楷体_GB2312" w:cs="楷体_GB2312"/>
          <w:b/>
          <w:bCs/>
          <w:i w:val="0"/>
          <w:iCs w:val="0"/>
          <w:caps w:val="0"/>
          <w:color w:val="auto"/>
          <w:spacing w:val="0"/>
          <w:sz w:val="32"/>
          <w:szCs w:val="32"/>
          <w:shd w:val="clear" w:fill="FFFFFF"/>
          <w:lang w:eastAsia="zh-CN"/>
        </w:rPr>
        <w:t>（</w:t>
      </w:r>
      <w:r>
        <w:rPr>
          <w:rFonts w:hint="eastAsia" w:ascii="楷体_GB2312" w:hAnsi="楷体_GB2312" w:eastAsia="楷体_GB2312" w:cs="楷体_GB2312"/>
          <w:b/>
          <w:bCs/>
          <w:i w:val="0"/>
          <w:iCs w:val="0"/>
          <w:caps w:val="0"/>
          <w:color w:val="auto"/>
          <w:spacing w:val="0"/>
          <w:sz w:val="32"/>
          <w:szCs w:val="32"/>
          <w:shd w:val="clear" w:fill="FFFFFF"/>
          <w:lang w:val="en-US" w:eastAsia="zh-CN"/>
        </w:rPr>
        <w:t>三）</w:t>
      </w:r>
      <w:r>
        <w:rPr>
          <w:rFonts w:hint="eastAsia" w:ascii="楷体_GB2312" w:hAnsi="楷体_GB2312" w:eastAsia="楷体_GB2312" w:cs="楷体_GB2312"/>
          <w:b/>
          <w:bCs/>
          <w:i w:val="0"/>
          <w:iCs w:val="0"/>
          <w:caps w:val="0"/>
          <w:color w:val="auto"/>
          <w:spacing w:val="0"/>
          <w:sz w:val="32"/>
          <w:szCs w:val="32"/>
          <w:shd w:val="clear" w:fill="FFFFFF"/>
          <w:lang w:eastAsia="zh-CN"/>
        </w:rPr>
        <w:t>深化改革，支付方式实现突破。</w:t>
      </w:r>
      <w:r>
        <w:rPr>
          <w:rFonts w:hint="eastAsia" w:ascii="仿宋_GB2312" w:hAnsi="仿宋_GB2312" w:eastAsia="仿宋_GB2312" w:cs="仿宋_GB2312"/>
          <w:i w:val="0"/>
          <w:iCs w:val="0"/>
          <w:caps w:val="0"/>
          <w:color w:val="auto"/>
          <w:spacing w:val="0"/>
          <w:sz w:val="32"/>
          <w:szCs w:val="32"/>
          <w:shd w:val="clear" w:fill="FFFFFF"/>
        </w:rPr>
        <w:t>以改革为动力，优化医保支付机制，提升基金使用效率。</w:t>
      </w:r>
      <w:r>
        <w:rPr>
          <w:rFonts w:hint="eastAsia" w:ascii="仿宋_GB2312" w:hAnsi="仿宋_GB2312" w:eastAsia="仿宋_GB2312" w:cs="仿宋_GB2312"/>
          <w:b/>
          <w:bCs/>
          <w:i w:val="0"/>
          <w:iCs w:val="0"/>
          <w:caps w:val="0"/>
          <w:color w:val="auto"/>
          <w:spacing w:val="0"/>
          <w:sz w:val="32"/>
          <w:szCs w:val="32"/>
          <w:shd w:val="clear" w:fill="FFFFFF"/>
        </w:rPr>
        <w:t>一是药品耗材集采常态化制度化。</w:t>
      </w:r>
      <w:r>
        <w:rPr>
          <w:rFonts w:hint="eastAsia" w:ascii="仿宋_GB2312" w:hAnsi="仿宋_GB2312" w:eastAsia="仿宋_GB2312" w:cs="仿宋_GB2312"/>
          <w:i w:val="0"/>
          <w:iCs w:val="0"/>
          <w:caps w:val="0"/>
          <w:color w:val="auto"/>
          <w:spacing w:val="0"/>
          <w:sz w:val="32"/>
          <w:szCs w:val="32"/>
          <w:shd w:val="clear" w:fill="FFFFFF"/>
        </w:rPr>
        <w:t>严格执行国家及省际联盟集采政策，全年完成国家组织药品、省际联盟药品共1085个品种（30批次）采购，总金额5922.72万元，平均降幅40%；完成高值医用耗材（冠脉支架、人工晶体、人工关节、骨科创伤）4个品种采购，金额254.7万元，平均降幅70%，显著降低药品耗材虚高价格。</w:t>
      </w:r>
      <w:r>
        <w:rPr>
          <w:rFonts w:hint="eastAsia" w:ascii="仿宋_GB2312" w:hAnsi="仿宋_GB2312" w:eastAsia="仿宋_GB2312" w:cs="仿宋_GB2312"/>
          <w:b/>
          <w:bCs/>
          <w:i w:val="0"/>
          <w:iCs w:val="0"/>
          <w:caps w:val="0"/>
          <w:color w:val="auto"/>
          <w:spacing w:val="0"/>
          <w:sz w:val="32"/>
          <w:szCs w:val="32"/>
          <w:shd w:val="clear" w:fill="FFFFFF"/>
        </w:rPr>
        <w:t>二是DIP支付方式改革全面覆盖。</w:t>
      </w:r>
      <w:r>
        <w:rPr>
          <w:rFonts w:hint="eastAsia" w:ascii="仿宋_GB2312" w:hAnsi="仿宋_GB2312" w:eastAsia="仿宋_GB2312" w:cs="仿宋_GB2312"/>
          <w:i w:val="0"/>
          <w:iCs w:val="0"/>
          <w:caps w:val="0"/>
          <w:color w:val="auto"/>
          <w:spacing w:val="0"/>
          <w:sz w:val="32"/>
          <w:szCs w:val="32"/>
          <w:shd w:val="clear" w:fill="FFFFFF"/>
        </w:rPr>
        <w:t>截至</w:t>
      </w:r>
      <w:r>
        <w:rPr>
          <w:rFonts w:hint="eastAsia" w:ascii="仿宋_GB2312" w:hAnsi="仿宋_GB2312" w:eastAsia="仿宋_GB2312" w:cs="仿宋_GB2312"/>
          <w:i w:val="0"/>
          <w:iCs w:val="0"/>
          <w:caps w:val="0"/>
          <w:color w:val="auto"/>
          <w:spacing w:val="0"/>
          <w:sz w:val="32"/>
          <w:szCs w:val="32"/>
          <w:shd w:val="clear" w:fill="FFFFFF"/>
          <w:lang w:val="en-US" w:eastAsia="zh-CN"/>
        </w:rPr>
        <w:t>2025年12月</w:t>
      </w:r>
      <w:r>
        <w:rPr>
          <w:rFonts w:hint="eastAsia" w:ascii="仿宋_GB2312" w:hAnsi="仿宋_GB2312" w:eastAsia="仿宋_GB2312" w:cs="仿宋_GB2312"/>
          <w:i w:val="0"/>
          <w:iCs w:val="0"/>
          <w:caps w:val="0"/>
          <w:color w:val="auto"/>
          <w:spacing w:val="0"/>
          <w:sz w:val="32"/>
          <w:szCs w:val="32"/>
          <w:shd w:val="clear" w:fill="FFFFFF"/>
        </w:rPr>
        <w:t>，DIP付费改革覆盖全县42家符合条件的医疗机构（含乡镇卫生院），覆盖率达100%。除生育保险病种外，其他病种覆盖率达99.21%。DIP付费基金占城乡医保住院基金支出的72.9%，占城镇职工医保住院基金支出的64.57%，医保支付杠杆作用有效发挥。</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楷体_GB2312" w:hAnsi="楷体_GB2312" w:eastAsia="楷体_GB2312" w:cs="楷体_GB2312"/>
          <w:b/>
          <w:bCs/>
          <w:i w:val="0"/>
          <w:iCs w:val="0"/>
          <w:caps w:val="0"/>
          <w:color w:val="auto"/>
          <w:spacing w:val="0"/>
          <w:sz w:val="32"/>
          <w:szCs w:val="32"/>
          <w:shd w:val="clear" w:fill="FFFFFF"/>
          <w:lang w:eastAsia="zh-CN"/>
        </w:rPr>
        <w:t>（</w:t>
      </w:r>
      <w:r>
        <w:rPr>
          <w:rFonts w:hint="eastAsia" w:ascii="楷体_GB2312" w:hAnsi="楷体_GB2312" w:eastAsia="楷体_GB2312" w:cs="楷体_GB2312"/>
          <w:b/>
          <w:bCs/>
          <w:i w:val="0"/>
          <w:iCs w:val="0"/>
          <w:caps w:val="0"/>
          <w:color w:val="auto"/>
          <w:spacing w:val="0"/>
          <w:sz w:val="32"/>
          <w:szCs w:val="32"/>
          <w:shd w:val="clear" w:fill="FFFFFF"/>
          <w:lang w:val="en-US" w:eastAsia="zh-CN"/>
        </w:rPr>
        <w:t>四）</w:t>
      </w:r>
      <w:r>
        <w:rPr>
          <w:rFonts w:hint="eastAsia" w:ascii="楷体_GB2312" w:hAnsi="楷体_GB2312" w:eastAsia="楷体_GB2312" w:cs="楷体_GB2312"/>
          <w:b/>
          <w:bCs/>
          <w:i w:val="0"/>
          <w:iCs w:val="0"/>
          <w:caps w:val="0"/>
          <w:color w:val="auto"/>
          <w:spacing w:val="0"/>
          <w:sz w:val="32"/>
          <w:szCs w:val="32"/>
          <w:shd w:val="clear" w:fill="FFFFFF"/>
          <w:lang w:eastAsia="zh-CN"/>
        </w:rPr>
        <w:t>数字赋能，服务体验便捷高效。</w:t>
      </w:r>
      <w:r>
        <w:rPr>
          <w:rFonts w:hint="eastAsia" w:ascii="仿宋_GB2312" w:hAnsi="仿宋_GB2312" w:eastAsia="仿宋_GB2312" w:cs="仿宋_GB2312"/>
          <w:i w:val="0"/>
          <w:iCs w:val="0"/>
          <w:caps w:val="0"/>
          <w:color w:val="auto"/>
          <w:spacing w:val="0"/>
          <w:sz w:val="32"/>
          <w:szCs w:val="32"/>
          <w:shd w:val="clear" w:fill="FFFFFF"/>
        </w:rPr>
        <w:t>加快医保信息化、标准化建设，推动服务模式创新。</w:t>
      </w:r>
      <w:r>
        <w:rPr>
          <w:rFonts w:hint="eastAsia" w:ascii="仿宋_GB2312" w:hAnsi="仿宋_GB2312" w:eastAsia="仿宋_GB2312" w:cs="仿宋_GB2312"/>
          <w:b/>
          <w:bCs/>
          <w:i w:val="0"/>
          <w:iCs w:val="0"/>
          <w:caps w:val="0"/>
          <w:color w:val="auto"/>
          <w:spacing w:val="0"/>
          <w:sz w:val="32"/>
          <w:szCs w:val="32"/>
          <w:shd w:val="clear" w:fill="FFFFFF"/>
        </w:rPr>
        <w:t>一是“三电子两支付”应用深化拓展。</w:t>
      </w:r>
      <w:r>
        <w:rPr>
          <w:rFonts w:hint="eastAsia" w:ascii="仿宋_GB2312" w:hAnsi="仿宋_GB2312" w:eastAsia="仿宋_GB2312" w:cs="仿宋_GB2312"/>
          <w:i w:val="0"/>
          <w:iCs w:val="0"/>
          <w:caps w:val="0"/>
          <w:color w:val="auto"/>
          <w:spacing w:val="0"/>
          <w:sz w:val="32"/>
          <w:szCs w:val="32"/>
          <w:shd w:val="clear" w:fill="FFFFFF"/>
        </w:rPr>
        <w:t>大力推广医保电子凭证和移动支付，截至2025年12月，医保电子凭证结算77.38万人次，占医保结算总量的54.99%；移动支付笔数达15370笔，占比6.07%。推进医保电子处方流转，县人民医院、县中医医院、县康恩医院已完成“双通道”处方流转平台对接。落实信用支付试点，县人民医院、县中医医院已完成接口开发并与合作方联调，致力于实现“少跑腿、不排队”的无感支付体验。信息化应用的推进，有效促进了就医秩序优化，2025年1-1</w:t>
      </w:r>
      <w:r>
        <w:rPr>
          <w:rFonts w:hint="eastAsia" w:ascii="仿宋_GB2312" w:hAnsi="仿宋_GB2312" w:eastAsia="仿宋_GB2312" w:cs="仿宋_GB2312"/>
          <w:i w:val="0"/>
          <w:iCs w:val="0"/>
          <w:caps w:val="0"/>
          <w:color w:val="auto"/>
          <w:spacing w:val="0"/>
          <w:sz w:val="32"/>
          <w:szCs w:val="32"/>
          <w:shd w:val="clear" w:fill="FFFFFF"/>
          <w:lang w:val="en-US" w:eastAsia="zh-CN"/>
        </w:rPr>
        <w:t>2</w:t>
      </w:r>
      <w:r>
        <w:rPr>
          <w:rFonts w:hint="eastAsia" w:ascii="仿宋_GB2312" w:hAnsi="仿宋_GB2312" w:eastAsia="仿宋_GB2312" w:cs="仿宋_GB2312"/>
          <w:i w:val="0"/>
          <w:iCs w:val="0"/>
          <w:caps w:val="0"/>
          <w:color w:val="auto"/>
          <w:spacing w:val="0"/>
          <w:sz w:val="32"/>
          <w:szCs w:val="32"/>
          <w:shd w:val="clear" w:fill="FFFFFF"/>
        </w:rPr>
        <w:t>月，全县城乡居民和城镇职工住院人次同比分别下降7.31%和3.29%。</w:t>
      </w:r>
      <w:r>
        <w:rPr>
          <w:rFonts w:hint="eastAsia" w:ascii="仿宋_GB2312" w:hAnsi="仿宋_GB2312" w:eastAsia="仿宋_GB2312" w:cs="仿宋_GB2312"/>
          <w:b/>
          <w:bCs/>
          <w:i w:val="0"/>
          <w:iCs w:val="0"/>
          <w:caps w:val="0"/>
          <w:color w:val="auto"/>
          <w:spacing w:val="0"/>
          <w:sz w:val="32"/>
          <w:szCs w:val="32"/>
          <w:shd w:val="clear" w:fill="FFFFFF"/>
        </w:rPr>
        <w:t>二是药品追溯码应用扎实推进。</w:t>
      </w:r>
      <w:r>
        <w:rPr>
          <w:rFonts w:hint="eastAsia" w:ascii="仿宋_GB2312" w:hAnsi="仿宋_GB2312" w:eastAsia="仿宋_GB2312" w:cs="仿宋_GB2312"/>
          <w:i w:val="0"/>
          <w:iCs w:val="0"/>
          <w:caps w:val="0"/>
          <w:color w:val="auto"/>
          <w:spacing w:val="0"/>
          <w:sz w:val="32"/>
          <w:szCs w:val="32"/>
          <w:shd w:val="clear" w:fill="FFFFFF"/>
        </w:rPr>
        <w:t>强化药品全流程监管，定点医药机构追溯码上传率达100%。</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楷体_GB2312" w:hAnsi="楷体_GB2312" w:eastAsia="楷体_GB2312" w:cs="楷体_GB2312"/>
          <w:b/>
          <w:bCs/>
          <w:i w:val="0"/>
          <w:iCs w:val="0"/>
          <w:caps w:val="0"/>
          <w:color w:val="auto"/>
          <w:spacing w:val="0"/>
          <w:sz w:val="32"/>
          <w:szCs w:val="32"/>
          <w:shd w:val="clear" w:fill="FFFFFF"/>
          <w:lang w:eastAsia="zh-CN"/>
        </w:rPr>
        <w:t>（</w:t>
      </w:r>
      <w:r>
        <w:rPr>
          <w:rFonts w:hint="eastAsia" w:ascii="楷体_GB2312" w:hAnsi="楷体_GB2312" w:eastAsia="楷体_GB2312" w:cs="楷体_GB2312"/>
          <w:b/>
          <w:bCs/>
          <w:i w:val="0"/>
          <w:iCs w:val="0"/>
          <w:caps w:val="0"/>
          <w:color w:val="auto"/>
          <w:spacing w:val="0"/>
          <w:sz w:val="32"/>
          <w:szCs w:val="32"/>
          <w:shd w:val="clear" w:fill="FFFFFF"/>
          <w:lang w:val="en-US" w:eastAsia="zh-CN"/>
        </w:rPr>
        <w:t>五）</w:t>
      </w:r>
      <w:r>
        <w:rPr>
          <w:rFonts w:hint="eastAsia" w:ascii="楷体_GB2312" w:hAnsi="楷体_GB2312" w:eastAsia="楷体_GB2312" w:cs="楷体_GB2312"/>
          <w:b/>
          <w:bCs/>
          <w:i w:val="0"/>
          <w:iCs w:val="0"/>
          <w:caps w:val="0"/>
          <w:color w:val="auto"/>
          <w:spacing w:val="0"/>
          <w:sz w:val="32"/>
          <w:szCs w:val="32"/>
          <w:shd w:val="clear" w:fill="FFFFFF"/>
          <w:lang w:eastAsia="zh-CN"/>
        </w:rPr>
        <w:t>严字当头，基金监管效能凸显。</w:t>
      </w:r>
      <w:r>
        <w:rPr>
          <w:rFonts w:hint="eastAsia" w:ascii="仿宋_GB2312" w:hAnsi="仿宋_GB2312" w:eastAsia="仿宋_GB2312" w:cs="仿宋_GB2312"/>
          <w:i w:val="0"/>
          <w:iCs w:val="0"/>
          <w:caps w:val="0"/>
          <w:color w:val="auto"/>
          <w:spacing w:val="0"/>
          <w:sz w:val="32"/>
          <w:szCs w:val="32"/>
          <w:shd w:val="clear" w:fill="FFFFFF"/>
        </w:rPr>
        <w:t>始终保持基金监管高压态势，守护好人民群众的“救命钱”。</w:t>
      </w:r>
      <w:r>
        <w:rPr>
          <w:rFonts w:hint="eastAsia" w:ascii="仿宋_GB2312" w:hAnsi="仿宋_GB2312" w:eastAsia="仿宋_GB2312" w:cs="仿宋_GB2312"/>
          <w:b/>
          <w:bCs/>
          <w:i w:val="0"/>
          <w:iCs w:val="0"/>
          <w:caps w:val="0"/>
          <w:color w:val="auto"/>
          <w:spacing w:val="0"/>
          <w:sz w:val="32"/>
          <w:szCs w:val="32"/>
          <w:shd w:val="clear" w:fill="FFFFFF"/>
        </w:rPr>
        <w:t>一是专项整治行动成效显著。</w:t>
      </w:r>
      <w:r>
        <w:rPr>
          <w:rFonts w:hint="eastAsia" w:ascii="仿宋_GB2312" w:hAnsi="仿宋_GB2312" w:eastAsia="仿宋_GB2312" w:cs="仿宋_GB2312"/>
          <w:i w:val="0"/>
          <w:iCs w:val="0"/>
          <w:caps w:val="0"/>
          <w:color w:val="auto"/>
          <w:spacing w:val="0"/>
          <w:sz w:val="32"/>
          <w:szCs w:val="32"/>
          <w:shd w:val="clear" w:fill="FFFFFF"/>
        </w:rPr>
        <w:t>通过机构自查、日常巡查、专项检查、智能审核等方式，严厉打击欺诈骗保行为。全年检查定点医药机构78家次，发现并整改违规问题246个，涉及机构28家。共查处违规费用804.2</w:t>
      </w:r>
      <w:r>
        <w:rPr>
          <w:rFonts w:hint="eastAsia" w:ascii="仿宋_GB2312" w:hAnsi="仿宋_GB2312" w:eastAsia="仿宋_GB2312" w:cs="仿宋_GB2312"/>
          <w:i w:val="0"/>
          <w:iCs w:val="0"/>
          <w:caps w:val="0"/>
          <w:color w:val="auto"/>
          <w:spacing w:val="0"/>
          <w:sz w:val="32"/>
          <w:szCs w:val="32"/>
          <w:shd w:val="clear" w:fill="FFFFFF"/>
          <w:lang w:val="en-US" w:eastAsia="zh-CN"/>
        </w:rPr>
        <w:t>3</w:t>
      </w:r>
      <w:r>
        <w:rPr>
          <w:rFonts w:hint="eastAsia" w:ascii="仿宋_GB2312" w:hAnsi="仿宋_GB2312" w:eastAsia="仿宋_GB2312" w:cs="仿宋_GB2312"/>
          <w:i w:val="0"/>
          <w:iCs w:val="0"/>
          <w:caps w:val="0"/>
          <w:color w:val="auto"/>
          <w:spacing w:val="0"/>
          <w:sz w:val="32"/>
          <w:szCs w:val="32"/>
          <w:shd w:val="clear" w:fill="FFFFFF"/>
        </w:rPr>
        <w:t>万元，其中追回医保基金600.35万元，罚款203.88万元，形成了有效震慑。</w:t>
      </w:r>
      <w:r>
        <w:rPr>
          <w:rFonts w:hint="eastAsia" w:ascii="仿宋_GB2312" w:hAnsi="仿宋_GB2312" w:eastAsia="仿宋_GB2312" w:cs="仿宋_GB2312"/>
          <w:b/>
          <w:bCs/>
          <w:i w:val="0"/>
          <w:iCs w:val="0"/>
          <w:caps w:val="0"/>
          <w:color w:val="auto"/>
          <w:spacing w:val="0"/>
          <w:sz w:val="32"/>
          <w:szCs w:val="32"/>
          <w:shd w:val="clear" w:fill="FFFFFF"/>
        </w:rPr>
        <w:t>二是智能监管能力持续提升。</w:t>
      </w:r>
      <w:r>
        <w:rPr>
          <w:rFonts w:hint="eastAsia" w:ascii="仿宋_GB2312" w:hAnsi="仿宋_GB2312" w:eastAsia="仿宋_GB2312" w:cs="仿宋_GB2312"/>
          <w:i w:val="0"/>
          <w:iCs w:val="0"/>
          <w:caps w:val="0"/>
          <w:color w:val="auto"/>
          <w:spacing w:val="0"/>
          <w:sz w:val="32"/>
          <w:szCs w:val="32"/>
          <w:shd w:val="clear" w:fill="FFFFFF"/>
        </w:rPr>
        <w:t>承接并顺利完成国家医保反欺诈大数据应用监管试点（康复理疗项目）验收。试点知识库、规则库优化扩展至158种，2025年1-10月测试期间智能预警1.39万人次，预警金额122.5万元，核查阳性率达60%，为精准监管提供了有力支撑，形成了可推广的“道县经验”。</w:t>
      </w:r>
      <w:r>
        <w:rPr>
          <w:rFonts w:hint="eastAsia" w:ascii="仿宋_GB2312" w:hAnsi="仿宋_GB2312" w:eastAsia="仿宋_GB2312" w:cs="仿宋_GB2312"/>
          <w:b/>
          <w:bCs/>
          <w:i w:val="0"/>
          <w:iCs w:val="0"/>
          <w:caps w:val="0"/>
          <w:color w:val="auto"/>
          <w:spacing w:val="0"/>
          <w:sz w:val="32"/>
          <w:szCs w:val="32"/>
          <w:shd w:val="clear" w:fill="FFFFFF"/>
        </w:rPr>
        <w:t>三是常态化监管屏障不断筑牢。</w:t>
      </w:r>
      <w:r>
        <w:rPr>
          <w:rFonts w:hint="eastAsia" w:ascii="仿宋_GB2312" w:hAnsi="仿宋_GB2312" w:eastAsia="仿宋_GB2312" w:cs="仿宋_GB2312"/>
          <w:i w:val="0"/>
          <w:iCs w:val="0"/>
          <w:caps w:val="0"/>
          <w:color w:val="auto"/>
          <w:spacing w:val="0"/>
          <w:sz w:val="32"/>
          <w:szCs w:val="32"/>
          <w:shd w:val="clear" w:fill="FFFFFF"/>
        </w:rPr>
        <w:t>对问题突出、整改不力的机构负责人进行约谈，年内召开3次控降不合理住院率调度会，集中约谈12家住院人数增长较快机构负责人，有效遏制了不合理医疗费用增长势头。</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仿宋"/>
          <w:i w:val="0"/>
          <w:iCs w:val="0"/>
          <w:caps w:val="0"/>
          <w:color w:val="auto"/>
          <w:spacing w:val="0"/>
          <w:sz w:val="32"/>
          <w:szCs w:val="32"/>
          <w:shd w:val="clear" w:fill="FFFFFF"/>
        </w:rPr>
      </w:pPr>
      <w:r>
        <w:rPr>
          <w:rFonts w:hint="eastAsia" w:ascii="楷体_GB2312" w:hAnsi="楷体_GB2312" w:eastAsia="楷体_GB2312" w:cs="楷体_GB2312"/>
          <w:b/>
          <w:bCs/>
          <w:i w:val="0"/>
          <w:iCs w:val="0"/>
          <w:caps w:val="0"/>
          <w:color w:val="auto"/>
          <w:spacing w:val="0"/>
          <w:sz w:val="32"/>
          <w:szCs w:val="32"/>
          <w:shd w:val="clear" w:fill="FFFFFF"/>
          <w:lang w:eastAsia="zh-CN"/>
        </w:rPr>
        <w:t>（</w:t>
      </w:r>
      <w:r>
        <w:rPr>
          <w:rFonts w:hint="eastAsia" w:ascii="楷体_GB2312" w:hAnsi="楷体_GB2312" w:eastAsia="楷体_GB2312" w:cs="楷体_GB2312"/>
          <w:b/>
          <w:bCs/>
          <w:i w:val="0"/>
          <w:iCs w:val="0"/>
          <w:caps w:val="0"/>
          <w:color w:val="auto"/>
          <w:spacing w:val="0"/>
          <w:sz w:val="32"/>
          <w:szCs w:val="32"/>
          <w:shd w:val="clear" w:fill="FFFFFF"/>
          <w:lang w:val="en-US" w:eastAsia="zh-CN"/>
        </w:rPr>
        <w:t>六）</w:t>
      </w:r>
      <w:r>
        <w:rPr>
          <w:rFonts w:hint="eastAsia" w:ascii="楷体_GB2312" w:hAnsi="楷体_GB2312" w:eastAsia="楷体_GB2312" w:cs="楷体_GB2312"/>
          <w:b/>
          <w:bCs/>
          <w:i w:val="0"/>
          <w:iCs w:val="0"/>
          <w:caps w:val="0"/>
          <w:color w:val="auto"/>
          <w:spacing w:val="0"/>
          <w:sz w:val="32"/>
          <w:szCs w:val="32"/>
          <w:shd w:val="clear" w:fill="FFFFFF"/>
          <w:lang w:eastAsia="zh-CN"/>
        </w:rPr>
        <w:t>优化经办，群众满意度不断提升。</w:t>
      </w:r>
      <w:r>
        <w:rPr>
          <w:rFonts w:hint="eastAsia" w:ascii="仿宋_GB2312" w:hAnsi="仿宋_GB2312" w:eastAsia="仿宋_GB2312" w:cs="仿宋_GB2312"/>
          <w:i w:val="0"/>
          <w:iCs w:val="0"/>
          <w:caps w:val="0"/>
          <w:color w:val="auto"/>
          <w:spacing w:val="0"/>
          <w:sz w:val="32"/>
          <w:szCs w:val="32"/>
          <w:shd w:val="clear" w:fill="FFFFFF"/>
        </w:rPr>
        <w:t>聚焦群众办事便捷度，持续优化医保经办服务。</w:t>
      </w:r>
      <w:r>
        <w:rPr>
          <w:rFonts w:hint="eastAsia" w:ascii="仿宋_GB2312" w:hAnsi="仿宋_GB2312" w:eastAsia="仿宋_GB2312" w:cs="仿宋_GB2312"/>
          <w:b/>
          <w:bCs/>
          <w:i w:val="0"/>
          <w:iCs w:val="0"/>
          <w:caps w:val="0"/>
          <w:color w:val="auto"/>
          <w:spacing w:val="0"/>
          <w:sz w:val="32"/>
          <w:szCs w:val="32"/>
          <w:shd w:val="clear" w:fill="FFFFFF"/>
        </w:rPr>
        <w:t>一是服务流程规范化。</w:t>
      </w:r>
      <w:r>
        <w:rPr>
          <w:rFonts w:hint="eastAsia" w:ascii="仿宋_GB2312" w:hAnsi="仿宋_GB2312" w:eastAsia="仿宋_GB2312" w:cs="仿宋_GB2312"/>
          <w:i w:val="0"/>
          <w:iCs w:val="0"/>
          <w:caps w:val="0"/>
          <w:color w:val="auto"/>
          <w:spacing w:val="0"/>
          <w:sz w:val="32"/>
          <w:szCs w:val="32"/>
          <w:shd w:val="clear" w:fill="FFFFFF"/>
        </w:rPr>
        <w:t>严格执行省级统筹经办规程，加强人员培训，确保业务办理准确高效。</w:t>
      </w:r>
      <w:r>
        <w:rPr>
          <w:rFonts w:hint="eastAsia" w:ascii="仿宋_GB2312" w:hAnsi="仿宋_GB2312" w:eastAsia="仿宋_GB2312" w:cs="仿宋_GB2312"/>
          <w:b/>
          <w:bCs/>
          <w:i w:val="0"/>
          <w:iCs w:val="0"/>
          <w:caps w:val="0"/>
          <w:color w:val="auto"/>
          <w:spacing w:val="0"/>
          <w:sz w:val="32"/>
          <w:szCs w:val="32"/>
          <w:shd w:val="clear" w:fill="FFFFFF"/>
        </w:rPr>
        <w:t>二是服务模式数字化。</w:t>
      </w:r>
      <w:r>
        <w:rPr>
          <w:rFonts w:hint="eastAsia" w:ascii="仿宋_GB2312" w:hAnsi="仿宋_GB2312" w:eastAsia="仿宋_GB2312" w:cs="仿宋_GB2312"/>
          <w:i w:val="0"/>
          <w:iCs w:val="0"/>
          <w:caps w:val="0"/>
          <w:color w:val="auto"/>
          <w:spacing w:val="0"/>
          <w:sz w:val="32"/>
          <w:szCs w:val="32"/>
          <w:shd w:val="clear" w:fill="FFFFFF"/>
        </w:rPr>
        <w:t>大力推行“线上办”，全年线上办理门诊慢特病资格申请6875人，延期手续2440人，办理“双通道”药品备案3067人。实现生育保险省内异地直接结算，已结算</w:t>
      </w:r>
      <w:r>
        <w:rPr>
          <w:rFonts w:hint="eastAsia" w:ascii="仿宋_GB2312" w:hAnsi="仿宋_GB2312" w:eastAsia="仿宋_GB2312" w:cs="仿宋_GB2312"/>
          <w:i w:val="0"/>
          <w:iCs w:val="0"/>
          <w:caps w:val="0"/>
          <w:color w:val="auto"/>
          <w:spacing w:val="0"/>
          <w:sz w:val="32"/>
          <w:szCs w:val="32"/>
          <w:shd w:val="clear" w:fill="FFFFFF"/>
          <w:lang w:val="en-US" w:eastAsia="zh-CN"/>
        </w:rPr>
        <w:t>31</w:t>
      </w:r>
      <w:r>
        <w:rPr>
          <w:rFonts w:hint="eastAsia" w:ascii="仿宋_GB2312" w:hAnsi="仿宋_GB2312" w:eastAsia="仿宋_GB2312" w:cs="仿宋_GB2312"/>
          <w:i w:val="0"/>
          <w:iCs w:val="0"/>
          <w:caps w:val="0"/>
          <w:color w:val="auto"/>
          <w:spacing w:val="0"/>
          <w:sz w:val="32"/>
          <w:szCs w:val="32"/>
          <w:shd w:val="clear" w:fill="FFFFFF"/>
        </w:rPr>
        <w:t>人次。</w:t>
      </w:r>
      <w:r>
        <w:rPr>
          <w:rFonts w:hint="eastAsia" w:ascii="仿宋_GB2312" w:hAnsi="仿宋_GB2312" w:eastAsia="仿宋_GB2312" w:cs="仿宋_GB2312"/>
          <w:b/>
          <w:bCs/>
          <w:i w:val="0"/>
          <w:iCs w:val="0"/>
          <w:caps w:val="0"/>
          <w:color w:val="auto"/>
          <w:spacing w:val="0"/>
          <w:sz w:val="32"/>
          <w:szCs w:val="32"/>
          <w:shd w:val="clear" w:fill="FFFFFF"/>
        </w:rPr>
        <w:t>三是异地就医结算更便捷。</w:t>
      </w:r>
      <w:r>
        <w:rPr>
          <w:rFonts w:hint="eastAsia" w:ascii="仿宋_GB2312" w:hAnsi="仿宋_GB2312" w:eastAsia="仿宋_GB2312" w:cs="仿宋_GB2312"/>
          <w:i w:val="0"/>
          <w:iCs w:val="0"/>
          <w:caps w:val="0"/>
          <w:color w:val="auto"/>
          <w:spacing w:val="0"/>
          <w:sz w:val="32"/>
          <w:szCs w:val="32"/>
          <w:shd w:val="clear" w:fill="FFFFFF"/>
        </w:rPr>
        <w:t>依托“湘医保”APP、国家医保服务平台等，实现异地就医备案“掌上办”“跨省通办”。截至</w:t>
      </w:r>
      <w:r>
        <w:rPr>
          <w:rFonts w:hint="eastAsia" w:ascii="仿宋_GB2312" w:hAnsi="仿宋_GB2312" w:eastAsia="仿宋_GB2312" w:cs="仿宋_GB2312"/>
          <w:i w:val="0"/>
          <w:iCs w:val="0"/>
          <w:caps w:val="0"/>
          <w:color w:val="auto"/>
          <w:spacing w:val="0"/>
          <w:sz w:val="32"/>
          <w:szCs w:val="32"/>
          <w:shd w:val="clear" w:fill="FFFFFF"/>
          <w:lang w:val="en-US" w:eastAsia="zh-CN"/>
        </w:rPr>
        <w:t>2025年12月</w:t>
      </w:r>
      <w:r>
        <w:rPr>
          <w:rFonts w:hint="eastAsia" w:ascii="仿宋_GB2312" w:hAnsi="仿宋_GB2312" w:eastAsia="仿宋_GB2312" w:cs="仿宋_GB2312"/>
          <w:i w:val="0"/>
          <w:iCs w:val="0"/>
          <w:caps w:val="0"/>
          <w:color w:val="auto"/>
          <w:spacing w:val="0"/>
          <w:sz w:val="32"/>
          <w:szCs w:val="32"/>
          <w:shd w:val="clear" w:fill="FFFFFF"/>
        </w:rPr>
        <w:t>，审核通过异地就医备案人员11163人，服务可及性大幅提升。</w:t>
      </w:r>
    </w:p>
    <w:p>
      <w:pPr>
        <w:ind w:firstLine="800" w:firstLineChars="200"/>
        <w:rPr>
          <w:rFonts w:hint="eastAsia" w:ascii="黑体" w:hAnsi="黑体" w:eastAsia="黑体" w:cs="黑体"/>
          <w:color w:val="auto"/>
          <w:kern w:val="2"/>
          <w:sz w:val="40"/>
          <w:szCs w:val="40"/>
          <w:lang w:val="en-US" w:eastAsia="zh-CN" w:bidi="ar-SA"/>
        </w:rPr>
      </w:pPr>
      <w:r>
        <w:rPr>
          <w:rFonts w:hint="eastAsia" w:ascii="黑体" w:hAnsi="黑体" w:eastAsia="黑体" w:cs="黑体"/>
          <w:color w:val="auto"/>
          <w:kern w:val="2"/>
          <w:sz w:val="40"/>
          <w:szCs w:val="40"/>
          <w:lang w:val="en-US" w:eastAsia="zh-CN" w:bidi="ar-SA"/>
        </w:rPr>
        <w:t>七、绩效自评结果拟应用和公开情况</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600" w:lineRule="atLeast"/>
        <w:ind w:left="0" w:right="0" w:firstLine="640"/>
        <w:rPr>
          <w:rFonts w:hint="eastAsia"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kern w:val="2"/>
          <w:sz w:val="32"/>
          <w:szCs w:val="32"/>
          <w:lang w:val="en-US" w:eastAsia="zh-CN" w:bidi="ar-SA"/>
        </w:rPr>
        <w:t>总体来说，我局20</w:t>
      </w:r>
      <w:r>
        <w:rPr>
          <w:rFonts w:hint="eastAsia" w:ascii="仿宋_GB2312" w:hAnsi="仿宋_GB2312" w:eastAsia="仿宋_GB2312" w:cs="仿宋_GB2312"/>
          <w:color w:val="auto"/>
          <w:kern w:val="2"/>
          <w:sz w:val="32"/>
          <w:szCs w:val="32"/>
          <w:lang w:val="en-US" w:eastAsia="zh-CN" w:bidi="ar-SA"/>
        </w:rPr>
        <w:t>25</w:t>
      </w:r>
      <w:r>
        <w:rPr>
          <w:rFonts w:hint="default" w:ascii="仿宋_GB2312" w:hAnsi="仿宋_GB2312" w:eastAsia="仿宋_GB2312" w:cs="仿宋_GB2312"/>
          <w:color w:val="auto"/>
          <w:kern w:val="2"/>
          <w:sz w:val="32"/>
          <w:szCs w:val="32"/>
          <w:lang w:val="en-US" w:eastAsia="zh-CN" w:bidi="ar-SA"/>
        </w:rPr>
        <w:t>年部门整体支出情况良好，财政资金预算配置合理合规，预算执行严格有序，预算管理规范可控，资金效益合乎预期。从预算到执行和收入、支出、资产管理及信息公开，都严格按相关制度要求进行，全年收支平衡，有效保证了机构运转，圆满完成了上级下达的目标任务，取得了较好的社会效益。</w:t>
      </w:r>
      <w:r>
        <w:rPr>
          <w:rFonts w:hint="eastAsia" w:ascii="仿宋_GB2312" w:hAnsi="仿宋_GB2312" w:eastAsia="仿宋_GB2312" w:cs="仿宋_GB2312"/>
          <w:color w:val="auto"/>
          <w:sz w:val="32"/>
          <w:szCs w:val="32"/>
          <w:lang w:val="en-US" w:eastAsia="zh-CN"/>
        </w:rPr>
        <w:t>综合评分为94.79分，自评结果为“优”。</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600" w:lineRule="atLeast"/>
        <w:ind w:left="0" w:right="0" w:firstLine="640"/>
        <w:rPr>
          <w:rFonts w:hint="default" w:ascii="仿宋_GB2312" w:hAnsi="仿宋_GB2312" w:eastAsia="仿宋_GB2312" w:cs="仿宋_GB2312"/>
          <w:color w:val="auto"/>
          <w:kern w:val="2"/>
          <w:sz w:val="32"/>
          <w:szCs w:val="32"/>
          <w:lang w:val="en-US" w:eastAsia="zh-CN" w:bidi="ar-SA"/>
        </w:rPr>
      </w:pPr>
      <w:r>
        <w:rPr>
          <w:rFonts w:hint="default" w:ascii="仿宋_GB2312" w:hAnsi="仿宋_GB2312" w:eastAsia="仿宋_GB2312" w:cs="仿宋_GB2312"/>
          <w:color w:val="auto"/>
          <w:kern w:val="2"/>
          <w:sz w:val="32"/>
          <w:szCs w:val="32"/>
          <w:lang w:val="en-US" w:eastAsia="zh-CN" w:bidi="ar-SA"/>
        </w:rPr>
        <w:t>绩效自评对全年工作目标起到积极的促进作用，为明年的工作开展及实施奠定坚实的基础。我单位将绩效自评结果运用到下一年工作的统筹安排、项目资金划拨</w:t>
      </w:r>
      <w:r>
        <w:rPr>
          <w:rFonts w:hint="eastAsia" w:ascii="仿宋_GB2312" w:hAnsi="仿宋_GB2312" w:eastAsia="仿宋_GB2312" w:cs="仿宋_GB2312"/>
          <w:color w:val="auto"/>
          <w:kern w:val="2"/>
          <w:sz w:val="32"/>
          <w:szCs w:val="32"/>
          <w:lang w:val="en-US" w:eastAsia="zh-CN" w:bidi="ar-SA"/>
        </w:rPr>
        <w:t>以及</w:t>
      </w:r>
      <w:r>
        <w:rPr>
          <w:rFonts w:hint="default" w:ascii="仿宋_GB2312" w:hAnsi="仿宋_GB2312" w:eastAsia="仿宋_GB2312" w:cs="仿宋_GB2312"/>
          <w:color w:val="auto"/>
          <w:kern w:val="2"/>
          <w:sz w:val="32"/>
          <w:szCs w:val="32"/>
          <w:lang w:val="en-US" w:eastAsia="zh-CN" w:bidi="ar-SA"/>
        </w:rPr>
        <w:t>按照工作任务的重要性来明确资金使用上，以提高工作效率，保质保量完成各项工作任务。本次自评按相关要求</w:t>
      </w:r>
      <w:r>
        <w:rPr>
          <w:rFonts w:hint="eastAsia" w:ascii="仿宋_GB2312" w:hAnsi="仿宋_GB2312" w:eastAsia="仿宋_GB2312" w:cs="仿宋_GB2312"/>
          <w:color w:val="auto"/>
          <w:kern w:val="2"/>
          <w:sz w:val="32"/>
          <w:szCs w:val="32"/>
          <w:lang w:val="en-US" w:eastAsia="zh-CN" w:bidi="ar-SA"/>
        </w:rPr>
        <w:t>及时</w:t>
      </w:r>
      <w:r>
        <w:rPr>
          <w:rFonts w:hint="default" w:ascii="仿宋_GB2312" w:hAnsi="仿宋_GB2312" w:eastAsia="仿宋_GB2312" w:cs="仿宋_GB2312"/>
          <w:color w:val="auto"/>
          <w:kern w:val="2"/>
          <w:sz w:val="32"/>
          <w:szCs w:val="32"/>
          <w:lang w:val="en-US" w:eastAsia="zh-CN" w:bidi="ar-SA"/>
        </w:rPr>
        <w:t>上报</w:t>
      </w:r>
      <w:r>
        <w:rPr>
          <w:rFonts w:hint="eastAsia" w:ascii="仿宋_GB2312" w:hAnsi="仿宋_GB2312" w:eastAsia="仿宋_GB2312" w:cs="仿宋_GB2312"/>
          <w:color w:val="auto"/>
          <w:kern w:val="2"/>
          <w:sz w:val="32"/>
          <w:szCs w:val="32"/>
          <w:lang w:val="en-US" w:eastAsia="zh-CN" w:bidi="ar-SA"/>
        </w:rPr>
        <w:t>、</w:t>
      </w:r>
      <w:r>
        <w:rPr>
          <w:rFonts w:hint="default" w:ascii="仿宋_GB2312" w:hAnsi="仿宋_GB2312" w:eastAsia="仿宋_GB2312" w:cs="仿宋_GB2312"/>
          <w:color w:val="auto"/>
          <w:kern w:val="2"/>
          <w:sz w:val="32"/>
          <w:szCs w:val="32"/>
          <w:lang w:val="en-US" w:eastAsia="zh-CN" w:bidi="ar-SA"/>
        </w:rPr>
        <w:t>公开。绩效评价结果的公开不仅</w:t>
      </w:r>
      <w:r>
        <w:rPr>
          <w:rFonts w:hint="eastAsia" w:ascii="仿宋_GB2312" w:hAnsi="仿宋_GB2312" w:eastAsia="仿宋_GB2312" w:cs="仿宋_GB2312"/>
          <w:color w:val="auto"/>
          <w:kern w:val="2"/>
          <w:sz w:val="32"/>
          <w:szCs w:val="32"/>
          <w:lang w:val="en-US" w:eastAsia="zh-CN" w:bidi="ar-SA"/>
        </w:rPr>
        <w:t>提高了</w:t>
      </w:r>
      <w:r>
        <w:rPr>
          <w:rFonts w:hint="default" w:ascii="仿宋_GB2312" w:hAnsi="仿宋_GB2312" w:eastAsia="仿宋_GB2312" w:cs="仿宋_GB2312"/>
          <w:color w:val="auto"/>
          <w:kern w:val="2"/>
          <w:sz w:val="32"/>
          <w:szCs w:val="32"/>
          <w:lang w:val="en-US" w:eastAsia="zh-CN" w:bidi="ar-SA"/>
        </w:rPr>
        <w:t>资金使用的透明度，而且强</w:t>
      </w:r>
      <w:r>
        <w:rPr>
          <w:rFonts w:hint="eastAsia" w:ascii="仿宋_GB2312" w:hAnsi="仿宋_GB2312" w:eastAsia="仿宋_GB2312" w:cs="仿宋_GB2312"/>
          <w:color w:val="auto"/>
          <w:kern w:val="2"/>
          <w:sz w:val="32"/>
          <w:szCs w:val="32"/>
          <w:lang w:val="en-US" w:eastAsia="zh-CN" w:bidi="ar-SA"/>
        </w:rPr>
        <w:t>化了</w:t>
      </w:r>
      <w:r>
        <w:rPr>
          <w:rFonts w:hint="default" w:ascii="仿宋_GB2312" w:hAnsi="仿宋_GB2312" w:eastAsia="仿宋_GB2312" w:cs="仿宋_GB2312"/>
          <w:color w:val="auto"/>
          <w:kern w:val="2"/>
          <w:sz w:val="32"/>
          <w:szCs w:val="32"/>
          <w:lang w:val="en-US" w:eastAsia="zh-CN" w:bidi="ar-SA"/>
        </w:rPr>
        <w:t>政府行为的合理性和合法性，取得</w:t>
      </w:r>
      <w:r>
        <w:rPr>
          <w:rFonts w:hint="eastAsia" w:ascii="仿宋_GB2312" w:hAnsi="仿宋_GB2312" w:eastAsia="仿宋_GB2312" w:cs="仿宋_GB2312"/>
          <w:color w:val="auto"/>
          <w:kern w:val="2"/>
          <w:sz w:val="32"/>
          <w:szCs w:val="32"/>
          <w:lang w:val="en-US" w:eastAsia="zh-CN" w:bidi="ar-SA"/>
        </w:rPr>
        <w:t>了公众</w:t>
      </w:r>
      <w:r>
        <w:rPr>
          <w:rFonts w:hint="default" w:ascii="仿宋_GB2312" w:hAnsi="仿宋_GB2312" w:eastAsia="仿宋_GB2312" w:cs="仿宋_GB2312"/>
          <w:color w:val="auto"/>
          <w:kern w:val="2"/>
          <w:sz w:val="32"/>
          <w:szCs w:val="32"/>
          <w:lang w:val="en-US" w:eastAsia="zh-CN" w:bidi="ar-SA"/>
        </w:rPr>
        <w:t>对医保工作的肯定。</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600" w:lineRule="atLeast"/>
        <w:ind w:left="0" w:right="0" w:firstLine="640"/>
        <w:rPr>
          <w:rFonts w:hint="default" w:ascii="仿宋_GB2312" w:hAnsi="仿宋_GB2312" w:eastAsia="仿宋_GB2312" w:cs="仿宋_GB2312"/>
          <w:color w:val="0000FF"/>
          <w:kern w:val="2"/>
          <w:sz w:val="32"/>
          <w:szCs w:val="32"/>
          <w:lang w:val="en-US" w:eastAsia="zh-CN" w:bidi="ar-SA"/>
        </w:rPr>
      </w:pP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600" w:lineRule="atLeast"/>
        <w:ind w:right="0"/>
        <w:rPr>
          <w:rFonts w:hint="default" w:ascii="仿宋_GB2312" w:hAnsi="仿宋_GB2312" w:eastAsia="仿宋_GB2312" w:cs="仿宋_GB2312"/>
          <w:color w:val="0000FF"/>
          <w:kern w:val="2"/>
          <w:sz w:val="32"/>
          <w:szCs w:val="32"/>
          <w:lang w:val="en-US" w:eastAsia="zh-CN" w:bidi="ar-SA"/>
        </w:rPr>
      </w:pPr>
    </w:p>
    <w:p>
      <w:pPr>
        <w:pStyle w:val="5"/>
      </w:pPr>
      <w:bookmarkStart w:id="4" w:name="_GoBack"/>
      <w:bookmarkEnd w:id="4"/>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9D3646"/>
    <w:multiLevelType w:val="singleLevel"/>
    <w:tmpl w:val="8B9D3646"/>
    <w:lvl w:ilvl="0" w:tentative="0">
      <w:start w:val="7"/>
      <w:numFmt w:val="chineseCounting"/>
      <w:suff w:val="nothing"/>
      <w:lvlText w:val="%1、"/>
      <w:lvlJc w:val="left"/>
      <w:rPr>
        <w:rFonts w:hint="eastAsia"/>
      </w:rPr>
    </w:lvl>
  </w:abstractNum>
  <w:abstractNum w:abstractNumId="1">
    <w:nsid w:val="DAC55082"/>
    <w:multiLevelType w:val="singleLevel"/>
    <w:tmpl w:val="DAC55082"/>
    <w:lvl w:ilvl="0" w:tentative="0">
      <w:start w:val="2"/>
      <w:numFmt w:val="chineseCounting"/>
      <w:suff w:val="nothing"/>
      <w:lvlText w:val="%1、"/>
      <w:lvlJc w:val="left"/>
      <w:rPr>
        <w:rFonts w:hint="eastAsia"/>
      </w:rPr>
    </w:lvl>
  </w:abstractNum>
  <w:abstractNum w:abstractNumId="2">
    <w:nsid w:val="40515BFF"/>
    <w:multiLevelType w:val="singleLevel"/>
    <w:tmpl w:val="40515BFF"/>
    <w:lvl w:ilvl="0" w:tentative="0">
      <w:start w:val="4"/>
      <w:numFmt w:val="chineseCounting"/>
      <w:suff w:val="space"/>
      <w:lvlText w:val="第%1部分"/>
      <w:lvlJc w:val="left"/>
      <w:rPr>
        <w:rFonts w:hint="eastAsia"/>
      </w:rPr>
    </w:lvl>
  </w:abstractNum>
  <w:abstractNum w:abstractNumId="3">
    <w:nsid w:val="4CBCB66A"/>
    <w:multiLevelType w:val="singleLevel"/>
    <w:tmpl w:val="4CBCB66A"/>
    <w:lvl w:ilvl="0" w:tentative="0">
      <w:start w:val="2"/>
      <w:numFmt w:val="chineseCounting"/>
      <w:suff w:val="nothing"/>
      <w:lvlText w:val="（%1）"/>
      <w:lvlJc w:val="left"/>
      <w:pPr>
        <w:ind w:left="-13"/>
      </w:pPr>
      <w:rPr>
        <w:rFonts w:hint="eastAsia"/>
      </w:rPr>
    </w:lvl>
  </w:abstractNum>
  <w:abstractNum w:abstractNumId="4">
    <w:nsid w:val="7461BDBD"/>
    <w:multiLevelType w:val="singleLevel"/>
    <w:tmpl w:val="7461BDBD"/>
    <w:lvl w:ilvl="0" w:tentative="0">
      <w:start w:val="2"/>
      <w:numFmt w:val="chineseCounting"/>
      <w:suff w:val="nothing"/>
      <w:lvlText w:val="（%1）"/>
      <w:lvlJc w:val="left"/>
      <w:rPr>
        <w:rFonts w:hint="eastAsia"/>
      </w:rPr>
    </w:lvl>
  </w:abstractNum>
  <w:num w:numId="1">
    <w:abstractNumId w:val="0"/>
  </w:num>
  <w:num w:numId="2">
    <w:abstractNumId w:val="2"/>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U5ZWU0YzczYzJkMDE3YjZmMDc5NDdmMGMyNzhjNDYifQ=="/>
  </w:docVars>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1DD7C2A"/>
    <w:rsid w:val="023D0B8F"/>
    <w:rsid w:val="024617F2"/>
    <w:rsid w:val="02975A2F"/>
    <w:rsid w:val="02A05C6C"/>
    <w:rsid w:val="02A93B2F"/>
    <w:rsid w:val="02E84657"/>
    <w:rsid w:val="0344744B"/>
    <w:rsid w:val="03BE185C"/>
    <w:rsid w:val="03D33559"/>
    <w:rsid w:val="03DA48E8"/>
    <w:rsid w:val="04293179"/>
    <w:rsid w:val="04877251"/>
    <w:rsid w:val="04993118"/>
    <w:rsid w:val="04CE2A73"/>
    <w:rsid w:val="058D7738"/>
    <w:rsid w:val="061A29D1"/>
    <w:rsid w:val="062E4A77"/>
    <w:rsid w:val="074B67C4"/>
    <w:rsid w:val="07BC60B3"/>
    <w:rsid w:val="0A2543E3"/>
    <w:rsid w:val="0A3D797F"/>
    <w:rsid w:val="0A522CFE"/>
    <w:rsid w:val="0AD2364E"/>
    <w:rsid w:val="0B187AA4"/>
    <w:rsid w:val="0B370D50"/>
    <w:rsid w:val="0D10137A"/>
    <w:rsid w:val="0D946F68"/>
    <w:rsid w:val="0F6D3399"/>
    <w:rsid w:val="0F772B5B"/>
    <w:rsid w:val="108F6A5A"/>
    <w:rsid w:val="10D50163"/>
    <w:rsid w:val="10EF574B"/>
    <w:rsid w:val="111331E7"/>
    <w:rsid w:val="120E1C01"/>
    <w:rsid w:val="12906B8C"/>
    <w:rsid w:val="12A6008B"/>
    <w:rsid w:val="135E44C2"/>
    <w:rsid w:val="13C92283"/>
    <w:rsid w:val="14B22D17"/>
    <w:rsid w:val="15605210"/>
    <w:rsid w:val="158D108E"/>
    <w:rsid w:val="15B14D7D"/>
    <w:rsid w:val="16A40FB8"/>
    <w:rsid w:val="16BD4245"/>
    <w:rsid w:val="170B4961"/>
    <w:rsid w:val="17EB44A9"/>
    <w:rsid w:val="19037FE5"/>
    <w:rsid w:val="199C7AF2"/>
    <w:rsid w:val="19A000ED"/>
    <w:rsid w:val="1B8151F1"/>
    <w:rsid w:val="1BA86C22"/>
    <w:rsid w:val="1C4F67E6"/>
    <w:rsid w:val="1CC22144"/>
    <w:rsid w:val="1D97DEFF"/>
    <w:rsid w:val="1DAF6557"/>
    <w:rsid w:val="1DFF72E5"/>
    <w:rsid w:val="1E2E0954"/>
    <w:rsid w:val="1EFC6F07"/>
    <w:rsid w:val="1F127D69"/>
    <w:rsid w:val="1F5965E5"/>
    <w:rsid w:val="1F5D5C0B"/>
    <w:rsid w:val="1FBE4660"/>
    <w:rsid w:val="1FDF698A"/>
    <w:rsid w:val="21556F04"/>
    <w:rsid w:val="21A67760"/>
    <w:rsid w:val="21B53E47"/>
    <w:rsid w:val="21D02A2F"/>
    <w:rsid w:val="22433200"/>
    <w:rsid w:val="22561186"/>
    <w:rsid w:val="225E44DE"/>
    <w:rsid w:val="22B343E1"/>
    <w:rsid w:val="237613B4"/>
    <w:rsid w:val="23E76EA7"/>
    <w:rsid w:val="24CA7739"/>
    <w:rsid w:val="24EB73C3"/>
    <w:rsid w:val="25CE3729"/>
    <w:rsid w:val="25D6268F"/>
    <w:rsid w:val="268A58A2"/>
    <w:rsid w:val="27AD6D69"/>
    <w:rsid w:val="28A6098D"/>
    <w:rsid w:val="29736AC1"/>
    <w:rsid w:val="29A31188"/>
    <w:rsid w:val="2A9D36CA"/>
    <w:rsid w:val="2AD215C5"/>
    <w:rsid w:val="2B4104F9"/>
    <w:rsid w:val="2B724B56"/>
    <w:rsid w:val="2B85488A"/>
    <w:rsid w:val="2B8E1816"/>
    <w:rsid w:val="2C3466A3"/>
    <w:rsid w:val="2CDF6992"/>
    <w:rsid w:val="2D2B1461"/>
    <w:rsid w:val="2F4B1946"/>
    <w:rsid w:val="2F522D60"/>
    <w:rsid w:val="2FCD4A51"/>
    <w:rsid w:val="2FDF85B8"/>
    <w:rsid w:val="2FFFEE04"/>
    <w:rsid w:val="30A05CC2"/>
    <w:rsid w:val="31434FCB"/>
    <w:rsid w:val="314B20D2"/>
    <w:rsid w:val="3156582F"/>
    <w:rsid w:val="33806A8D"/>
    <w:rsid w:val="33835B53"/>
    <w:rsid w:val="33E41668"/>
    <w:rsid w:val="348A661E"/>
    <w:rsid w:val="34BA2581"/>
    <w:rsid w:val="34DF85B0"/>
    <w:rsid w:val="34EC7728"/>
    <w:rsid w:val="35480B11"/>
    <w:rsid w:val="35BB1081"/>
    <w:rsid w:val="35C81F43"/>
    <w:rsid w:val="368F43ED"/>
    <w:rsid w:val="374768C0"/>
    <w:rsid w:val="374824F7"/>
    <w:rsid w:val="37A54A03"/>
    <w:rsid w:val="384B29B7"/>
    <w:rsid w:val="386D6DD1"/>
    <w:rsid w:val="38832151"/>
    <w:rsid w:val="38AA3B82"/>
    <w:rsid w:val="392576AC"/>
    <w:rsid w:val="39DF4537"/>
    <w:rsid w:val="3A20172A"/>
    <w:rsid w:val="3A2E6CFE"/>
    <w:rsid w:val="3A464351"/>
    <w:rsid w:val="3B345984"/>
    <w:rsid w:val="3B371D84"/>
    <w:rsid w:val="3B7D732B"/>
    <w:rsid w:val="3B8F36BC"/>
    <w:rsid w:val="3B915597"/>
    <w:rsid w:val="3C5F4200"/>
    <w:rsid w:val="3C6278E4"/>
    <w:rsid w:val="3D4501F5"/>
    <w:rsid w:val="3D687B67"/>
    <w:rsid w:val="3E532480"/>
    <w:rsid w:val="3F5E57BC"/>
    <w:rsid w:val="3F7B3C9E"/>
    <w:rsid w:val="3FC4377B"/>
    <w:rsid w:val="401A50C7"/>
    <w:rsid w:val="405A2AD0"/>
    <w:rsid w:val="41F540C0"/>
    <w:rsid w:val="420A296D"/>
    <w:rsid w:val="422449A5"/>
    <w:rsid w:val="424B3CDF"/>
    <w:rsid w:val="439416B6"/>
    <w:rsid w:val="43E95E5E"/>
    <w:rsid w:val="44E6331A"/>
    <w:rsid w:val="462002E9"/>
    <w:rsid w:val="466E4440"/>
    <w:rsid w:val="47160D44"/>
    <w:rsid w:val="478B54FA"/>
    <w:rsid w:val="482A0151"/>
    <w:rsid w:val="487E2EFD"/>
    <w:rsid w:val="48861F15"/>
    <w:rsid w:val="488A12DA"/>
    <w:rsid w:val="489035D0"/>
    <w:rsid w:val="491FF225"/>
    <w:rsid w:val="49940662"/>
    <w:rsid w:val="49ED38CE"/>
    <w:rsid w:val="4A080708"/>
    <w:rsid w:val="4A111487"/>
    <w:rsid w:val="4AAB009E"/>
    <w:rsid w:val="4AEE78FE"/>
    <w:rsid w:val="4B29302C"/>
    <w:rsid w:val="4BB962D8"/>
    <w:rsid w:val="4BE041DA"/>
    <w:rsid w:val="4C06511B"/>
    <w:rsid w:val="4C0B39C0"/>
    <w:rsid w:val="4C63282F"/>
    <w:rsid w:val="4C72630D"/>
    <w:rsid w:val="4D20220D"/>
    <w:rsid w:val="4DA84FE5"/>
    <w:rsid w:val="4E630603"/>
    <w:rsid w:val="4ED41007"/>
    <w:rsid w:val="4F402B33"/>
    <w:rsid w:val="4F4C7C49"/>
    <w:rsid w:val="4F5F526E"/>
    <w:rsid w:val="4FBC0DBE"/>
    <w:rsid w:val="4FFD214C"/>
    <w:rsid w:val="50B0138F"/>
    <w:rsid w:val="514364CA"/>
    <w:rsid w:val="51CC4711"/>
    <w:rsid w:val="522208FD"/>
    <w:rsid w:val="53A96AB8"/>
    <w:rsid w:val="53B060D0"/>
    <w:rsid w:val="53BB67EB"/>
    <w:rsid w:val="53C14D9C"/>
    <w:rsid w:val="549B4B77"/>
    <w:rsid w:val="55020B76"/>
    <w:rsid w:val="55294C21"/>
    <w:rsid w:val="55306D65"/>
    <w:rsid w:val="561F2DC7"/>
    <w:rsid w:val="5777D4F5"/>
    <w:rsid w:val="57945CD1"/>
    <w:rsid w:val="57A2219C"/>
    <w:rsid w:val="57BC1AEE"/>
    <w:rsid w:val="58304B7B"/>
    <w:rsid w:val="585E654E"/>
    <w:rsid w:val="595E6596"/>
    <w:rsid w:val="596E4282"/>
    <w:rsid w:val="59DD8326"/>
    <w:rsid w:val="5A017E0F"/>
    <w:rsid w:val="5AA4447D"/>
    <w:rsid w:val="5AF33E31"/>
    <w:rsid w:val="5AF7793E"/>
    <w:rsid w:val="5DC7295C"/>
    <w:rsid w:val="5DEF592A"/>
    <w:rsid w:val="5E302822"/>
    <w:rsid w:val="5E4775F9"/>
    <w:rsid w:val="5EDA221B"/>
    <w:rsid w:val="5F775A63"/>
    <w:rsid w:val="5FC6BB1E"/>
    <w:rsid w:val="5FF720F1"/>
    <w:rsid w:val="61FA4982"/>
    <w:rsid w:val="62F51D1A"/>
    <w:rsid w:val="63251ED3"/>
    <w:rsid w:val="635A7DCF"/>
    <w:rsid w:val="643C1282"/>
    <w:rsid w:val="6488096B"/>
    <w:rsid w:val="64C704DE"/>
    <w:rsid w:val="64FD1E28"/>
    <w:rsid w:val="65271032"/>
    <w:rsid w:val="653528A1"/>
    <w:rsid w:val="654640F6"/>
    <w:rsid w:val="658E1FB1"/>
    <w:rsid w:val="65D57AF9"/>
    <w:rsid w:val="66A01F9C"/>
    <w:rsid w:val="66B96A33"/>
    <w:rsid w:val="672030DD"/>
    <w:rsid w:val="67FF5C0B"/>
    <w:rsid w:val="68A21830"/>
    <w:rsid w:val="696C26FE"/>
    <w:rsid w:val="69DB32EB"/>
    <w:rsid w:val="6A933BC6"/>
    <w:rsid w:val="6AF320BA"/>
    <w:rsid w:val="6B5477F9"/>
    <w:rsid w:val="6CA51E3D"/>
    <w:rsid w:val="6D7E290C"/>
    <w:rsid w:val="6DA57E98"/>
    <w:rsid w:val="6E0F7D6E"/>
    <w:rsid w:val="6E4771A1"/>
    <w:rsid w:val="6E5A5287"/>
    <w:rsid w:val="6E6164B5"/>
    <w:rsid w:val="6ED053E9"/>
    <w:rsid w:val="6ED317D6"/>
    <w:rsid w:val="6EFC0924"/>
    <w:rsid w:val="6F975F07"/>
    <w:rsid w:val="6FB74722"/>
    <w:rsid w:val="6FEF8B7E"/>
    <w:rsid w:val="700F64AD"/>
    <w:rsid w:val="713E3CB9"/>
    <w:rsid w:val="71804EA4"/>
    <w:rsid w:val="71A6591B"/>
    <w:rsid w:val="7205184D"/>
    <w:rsid w:val="727B1B10"/>
    <w:rsid w:val="72B172DF"/>
    <w:rsid w:val="72F35B4A"/>
    <w:rsid w:val="737D59BA"/>
    <w:rsid w:val="74687E72"/>
    <w:rsid w:val="756B19C7"/>
    <w:rsid w:val="75DC4673"/>
    <w:rsid w:val="761C0F14"/>
    <w:rsid w:val="762A53DF"/>
    <w:rsid w:val="76341FE4"/>
    <w:rsid w:val="77260E63"/>
    <w:rsid w:val="775F61FF"/>
    <w:rsid w:val="77851372"/>
    <w:rsid w:val="77C37683"/>
    <w:rsid w:val="78B813C8"/>
    <w:rsid w:val="79273E57"/>
    <w:rsid w:val="79935991"/>
    <w:rsid w:val="79A14320"/>
    <w:rsid w:val="79D10B6F"/>
    <w:rsid w:val="79D19834"/>
    <w:rsid w:val="79FF515B"/>
    <w:rsid w:val="7A4A0CD6"/>
    <w:rsid w:val="7AA03EC1"/>
    <w:rsid w:val="7AD87AFF"/>
    <w:rsid w:val="7B114DBF"/>
    <w:rsid w:val="7B1D5512"/>
    <w:rsid w:val="7BAF7320"/>
    <w:rsid w:val="7BF549BF"/>
    <w:rsid w:val="7C765821"/>
    <w:rsid w:val="7D7E4262"/>
    <w:rsid w:val="7D991C19"/>
    <w:rsid w:val="7DC600E3"/>
    <w:rsid w:val="7E447410"/>
    <w:rsid w:val="7E906943"/>
    <w:rsid w:val="7E9E1962"/>
    <w:rsid w:val="7E9F11B4"/>
    <w:rsid w:val="7EF667A6"/>
    <w:rsid w:val="7EFE1AFE"/>
    <w:rsid w:val="7F37EC1E"/>
    <w:rsid w:val="7F7DCD9D"/>
    <w:rsid w:val="7F970A6F"/>
    <w:rsid w:val="7FA04963"/>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qFormat="1" w:unhideWhenUsed="0" w:uiPriority="0" w:semiHidden="0"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3"/>
    <w:unhideWhenUsed/>
    <w:qFormat/>
    <w:uiPriority w:val="99"/>
    <w:pPr>
      <w:tabs>
        <w:tab w:val="center" w:pos="4153"/>
        <w:tab w:val="right" w:pos="8306"/>
      </w:tabs>
      <w:snapToGrid w:val="0"/>
      <w:jc w:val="left"/>
    </w:pPr>
    <w:rPr>
      <w:sz w:val="18"/>
      <w:szCs w:val="18"/>
    </w:rPr>
  </w:style>
  <w:style w:type="paragraph" w:styleId="3">
    <w:name w:val="index 5"/>
    <w:basedOn w:val="1"/>
    <w:next w:val="1"/>
    <w:qFormat/>
    <w:uiPriority w:val="0"/>
    <w:pPr>
      <w:ind w:left="1680"/>
    </w:pPr>
  </w:style>
  <w:style w:type="paragraph" w:styleId="4">
    <w:name w:val="Body Text Indent"/>
    <w:basedOn w:val="1"/>
    <w:next w:val="5"/>
    <w:unhideWhenUsed/>
    <w:qFormat/>
    <w:uiPriority w:val="99"/>
    <w:pPr>
      <w:widowControl/>
      <w:spacing w:after="120"/>
      <w:ind w:left="420" w:leftChars="200"/>
      <w:jc w:val="left"/>
    </w:pPr>
    <w:rPr>
      <w:rFonts w:ascii="宋体" w:hAnsi="宋体" w:eastAsia="宋体" w:cs="宋体"/>
      <w:kern w:val="0"/>
      <w:sz w:val="24"/>
    </w:rPr>
  </w:style>
  <w:style w:type="paragraph" w:styleId="5">
    <w:name w:val="Body Text First Indent 2"/>
    <w:basedOn w:val="4"/>
    <w:next w:val="1"/>
    <w:unhideWhenUsed/>
    <w:qFormat/>
    <w:uiPriority w:val="99"/>
    <w:pPr>
      <w:ind w:firstLine="420" w:firstLineChars="200"/>
    </w:pPr>
  </w:style>
  <w:style w:type="paragraph" w:styleId="6">
    <w:name w:val="Balloon Text"/>
    <w:basedOn w:val="1"/>
    <w:link w:val="16"/>
    <w:semiHidden/>
    <w:unhideWhenUsed/>
    <w:qFormat/>
    <w:uiPriority w:val="99"/>
    <w:rPr>
      <w:sz w:val="18"/>
      <w:szCs w:val="18"/>
    </w:rPr>
  </w:style>
  <w:style w:type="paragraph" w:styleId="7">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next w:val="5"/>
    <w:semiHidden/>
    <w:qFormat/>
    <w:uiPriority w:val="0"/>
    <w:pPr>
      <w:snapToGrid w:val="0"/>
      <w:jc w:val="left"/>
    </w:pPr>
    <w:rPr>
      <w:sz w:val="18"/>
      <w:szCs w:val="18"/>
    </w:rPr>
  </w:style>
  <w:style w:type="paragraph" w:styleId="9">
    <w:name w:val="Normal (Web)"/>
    <w:basedOn w:val="1"/>
    <w:qFormat/>
    <w:uiPriority w:val="0"/>
    <w:pPr>
      <w:spacing w:before="100" w:beforeAutospacing="1" w:after="100" w:afterAutospacing="1"/>
      <w:ind w:left="0" w:right="0"/>
      <w:jc w:val="left"/>
    </w:pPr>
    <w:rPr>
      <w:kern w:val="0"/>
      <w:sz w:val="24"/>
      <w:lang w:val="en-US" w:eastAsia="zh-CN" w:bidi="ar"/>
    </w:rPr>
  </w:style>
  <w:style w:type="character" w:customStyle="1" w:styleId="12">
    <w:name w:val="页眉 Char"/>
    <w:basedOn w:val="11"/>
    <w:link w:val="7"/>
    <w:qFormat/>
    <w:uiPriority w:val="99"/>
    <w:rPr>
      <w:sz w:val="18"/>
      <w:szCs w:val="18"/>
    </w:rPr>
  </w:style>
  <w:style w:type="character" w:customStyle="1" w:styleId="13">
    <w:name w:val="页脚 Char"/>
    <w:basedOn w:val="11"/>
    <w:link w:val="2"/>
    <w:qFormat/>
    <w:uiPriority w:val="99"/>
    <w:rPr>
      <w:sz w:val="18"/>
      <w:szCs w:val="18"/>
    </w:rPr>
  </w:style>
  <w:style w:type="paragraph" w:customStyle="1" w:styleId="14">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5">
    <w:name w:val="List Paragraph"/>
    <w:basedOn w:val="1"/>
    <w:qFormat/>
    <w:uiPriority w:val="34"/>
    <w:pPr>
      <w:ind w:firstLine="420" w:firstLineChars="200"/>
    </w:pPr>
  </w:style>
  <w:style w:type="character" w:customStyle="1" w:styleId="16">
    <w:name w:val="批注框文本 Char"/>
    <w:basedOn w:val="11"/>
    <w:link w:val="6"/>
    <w:semiHidden/>
    <w:qFormat/>
    <w:uiPriority w:val="99"/>
    <w:rPr>
      <w:sz w:val="18"/>
      <w:szCs w:val="18"/>
    </w:rPr>
  </w:style>
  <w:style w:type="character" w:customStyle="1" w:styleId="17">
    <w:name w:val="font01"/>
    <w:basedOn w:val="11"/>
    <w:qFormat/>
    <w:uiPriority w:val="0"/>
    <w:rPr>
      <w:rFonts w:hint="eastAsia" w:ascii="宋体" w:hAnsi="宋体" w:eastAsia="宋体" w:cs="宋体"/>
      <w:color w:val="000000"/>
      <w:sz w:val="22"/>
      <w:szCs w:val="22"/>
      <w:u w:val="none"/>
    </w:rPr>
  </w:style>
  <w:style w:type="character" w:customStyle="1" w:styleId="18">
    <w:name w:val="font21"/>
    <w:basedOn w:val="11"/>
    <w:qFormat/>
    <w:uiPriority w:val="0"/>
    <w:rPr>
      <w:rFonts w:hint="eastAsia" w:ascii="宋体" w:hAnsi="宋体" w:eastAsia="宋体" w:cs="宋体"/>
      <w:color w:val="000000"/>
      <w:sz w:val="24"/>
      <w:szCs w:val="24"/>
      <w:u w:val="none"/>
    </w:rPr>
  </w:style>
  <w:style w:type="character" w:customStyle="1" w:styleId="19">
    <w:name w:val="font11"/>
    <w:basedOn w:val="11"/>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42</Pages>
  <Words>13785</Words>
  <Characters>16078</Characters>
  <Lines>69</Lines>
  <Paragraphs>19</Paragraphs>
  <TotalTime>33</TotalTime>
  <ScaleCrop>false</ScaleCrop>
  <LinksUpToDate>false</LinksUpToDate>
  <CharactersWithSpaces>17331</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水蜜桃</cp:lastModifiedBy>
  <cp:lastPrinted>2026-09-08T03:36:00Z</cp:lastPrinted>
  <dcterms:modified xsi:type="dcterms:W3CDTF">2026-09-14T02:10:17Z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B2F57AE50CD94CD5847BCE18C5D82DC4_13</vt:lpwstr>
  </property>
  <property fmtid="{D5CDD505-2E9C-101B-9397-08002B2CF9AE}" pid="4" name="KSOTemplateDocerSaveRecord">
    <vt:lpwstr>eyJoZGlkIjoiN2JiNWJmMGU3ODk3ZWViMzRlZjVlMzEyM2NmYmYzMGMiLCJ1c2VySWQiOiI0NDE3MDYxMDAifQ==</vt:lpwstr>
  </property>
</Properties>
</file>