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DC86EF">
      <w:pPr>
        <w:jc w:val="center"/>
        <w:rPr>
          <w:rFonts w:ascii="仿宋" w:hAnsi="仿宋" w:eastAsia="仿宋" w:cs="仿宋"/>
          <w:b/>
          <w:bCs/>
          <w:sz w:val="44"/>
          <w:szCs w:val="44"/>
        </w:rPr>
      </w:pPr>
      <w:r>
        <w:rPr>
          <w:rFonts w:hint="eastAsia" w:ascii="仿宋" w:hAnsi="仿宋" w:eastAsia="仿宋" w:cs="仿宋"/>
          <w:b/>
          <w:bCs/>
          <w:sz w:val="44"/>
          <w:szCs w:val="44"/>
          <w:lang w:eastAsia="zh-CN"/>
        </w:rPr>
        <w:t>2025年</w:t>
      </w:r>
      <w:r>
        <w:rPr>
          <w:rFonts w:hint="eastAsia" w:ascii="仿宋" w:hAnsi="仿宋" w:eastAsia="仿宋" w:cs="仿宋"/>
          <w:b/>
          <w:bCs/>
          <w:sz w:val="44"/>
          <w:szCs w:val="44"/>
        </w:rPr>
        <w:t>道县文旅广电体育局绩效自评报告</w:t>
      </w:r>
    </w:p>
    <w:p w14:paraId="34C23BA7">
      <w:pPr>
        <w:ind w:firstLine="602" w:firstLineChars="200"/>
        <w:rPr>
          <w:rFonts w:ascii="仿宋" w:hAnsi="仿宋" w:eastAsia="仿宋" w:cs="仿宋"/>
          <w:b/>
          <w:bCs/>
          <w:sz w:val="30"/>
          <w:szCs w:val="30"/>
        </w:rPr>
      </w:pPr>
      <w:r>
        <w:rPr>
          <w:rFonts w:hint="eastAsia" w:ascii="仿宋" w:hAnsi="仿宋" w:eastAsia="仿宋" w:cs="仿宋"/>
          <w:b/>
          <w:bCs/>
          <w:sz w:val="30"/>
          <w:szCs w:val="30"/>
        </w:rPr>
        <w:t>一、基本情况</w:t>
      </w:r>
    </w:p>
    <w:p w14:paraId="21185FA4">
      <w:pPr>
        <w:ind w:firstLine="560" w:firstLineChars="200"/>
        <w:rPr>
          <w:rFonts w:ascii="仿宋" w:hAnsi="仿宋" w:eastAsia="仿宋" w:cs="仿宋"/>
          <w:sz w:val="28"/>
          <w:szCs w:val="28"/>
        </w:rPr>
      </w:pPr>
      <w:r>
        <w:rPr>
          <w:rFonts w:hint="eastAsia" w:ascii="仿宋" w:hAnsi="仿宋" w:eastAsia="仿宋" w:cs="仿宋"/>
          <w:sz w:val="28"/>
          <w:szCs w:val="28"/>
        </w:rPr>
        <w:t>(一）部门（单位）基本情况</w:t>
      </w:r>
    </w:p>
    <w:p w14:paraId="417ED049">
      <w:pPr>
        <w:ind w:firstLine="560" w:firstLineChars="200"/>
        <w:rPr>
          <w:rFonts w:ascii="仿宋" w:hAnsi="仿宋" w:eastAsia="仿宋" w:cs="仿宋"/>
          <w:sz w:val="28"/>
          <w:szCs w:val="28"/>
        </w:rPr>
      </w:pPr>
      <w:r>
        <w:rPr>
          <w:rFonts w:hint="eastAsia" w:ascii="仿宋" w:hAnsi="仿宋" w:eastAsia="仿宋" w:cs="仿宋"/>
          <w:sz w:val="28"/>
          <w:szCs w:val="28"/>
        </w:rPr>
        <w:t>文化旅游广电体育局内设10个职能部室，办公室、政工股、财务股、文艺股、广电股、文化执法大队、体育股、产业发展股、行政审批股、文物管理股，下有3个直属事业单位：文化馆、图书馆、祁剧工作室。</w:t>
      </w:r>
    </w:p>
    <w:p w14:paraId="4CBA45F7">
      <w:pPr>
        <w:ind w:firstLine="560" w:firstLineChars="200"/>
        <w:rPr>
          <w:rFonts w:ascii="仿宋" w:hAnsi="仿宋" w:eastAsia="仿宋" w:cs="仿宋"/>
          <w:sz w:val="28"/>
          <w:szCs w:val="28"/>
        </w:rPr>
      </w:pPr>
      <w:r>
        <w:rPr>
          <w:rFonts w:hint="eastAsia" w:ascii="仿宋" w:hAnsi="仿宋" w:eastAsia="仿宋" w:cs="仿宋"/>
          <w:sz w:val="28"/>
          <w:szCs w:val="28"/>
        </w:rPr>
        <w:t>行政编制20人，机关后勤服务编制10人，事业编制10人，工勤编制5人。实有在编人数31人。</w:t>
      </w:r>
    </w:p>
    <w:p w14:paraId="2EF1B4D1">
      <w:pPr>
        <w:ind w:firstLine="600"/>
        <w:rPr>
          <w:rFonts w:ascii="仿宋" w:hAnsi="仿宋" w:eastAsia="仿宋" w:cs="仿宋"/>
          <w:sz w:val="28"/>
          <w:szCs w:val="28"/>
        </w:rPr>
      </w:pPr>
      <w:r>
        <w:rPr>
          <w:rFonts w:hint="eastAsia" w:ascii="仿宋" w:hAnsi="仿宋" w:eastAsia="仿宋" w:cs="仿宋"/>
          <w:sz w:val="28"/>
          <w:szCs w:val="28"/>
        </w:rPr>
        <w:t>主要职能 ：</w:t>
      </w:r>
    </w:p>
    <w:p w14:paraId="301B4C3D">
      <w:pPr>
        <w:ind w:firstLine="560" w:firstLineChars="200"/>
        <w:rPr>
          <w:rFonts w:ascii="仿宋" w:hAnsi="仿宋" w:eastAsia="仿宋" w:cs="仿宋"/>
          <w:sz w:val="28"/>
          <w:szCs w:val="28"/>
        </w:rPr>
      </w:pPr>
      <w:r>
        <w:rPr>
          <w:rFonts w:hint="eastAsia" w:ascii="仿宋" w:hAnsi="仿宋" w:eastAsia="仿宋" w:cs="仿宋"/>
          <w:sz w:val="28"/>
          <w:szCs w:val="28"/>
        </w:rPr>
        <w:t>根据道县人民政府办公室道政办发(2013)30号文件,和永州市文化局的规定，本单位主要工作职责是：</w:t>
      </w:r>
    </w:p>
    <w:p w14:paraId="596F363E">
      <w:pPr>
        <w:ind w:firstLine="560" w:firstLineChars="200"/>
        <w:rPr>
          <w:rFonts w:ascii="仿宋" w:hAnsi="仿宋" w:eastAsia="仿宋" w:cs="仿宋"/>
          <w:sz w:val="28"/>
          <w:szCs w:val="28"/>
        </w:rPr>
      </w:pPr>
      <w:r>
        <w:rPr>
          <w:rFonts w:hint="eastAsia" w:ascii="仿宋" w:hAnsi="仿宋" w:eastAsia="仿宋" w:cs="仿宋"/>
          <w:sz w:val="28"/>
          <w:szCs w:val="28"/>
        </w:rPr>
        <w:t>（1）、贯彻执行党和国家有关文化、旅游、广电、体育法律法规和方针政策；拟订全县文化、旅游、广电、体育事业发展规划并具体组织实施；起草有关地方规范性文件。</w:t>
      </w:r>
    </w:p>
    <w:p w14:paraId="59D68393">
      <w:pPr>
        <w:ind w:firstLine="560" w:firstLineChars="200"/>
        <w:rPr>
          <w:rFonts w:ascii="仿宋" w:hAnsi="仿宋" w:eastAsia="仿宋" w:cs="仿宋"/>
          <w:sz w:val="28"/>
          <w:szCs w:val="28"/>
        </w:rPr>
      </w:pPr>
      <w:r>
        <w:rPr>
          <w:rFonts w:hint="eastAsia" w:ascii="仿宋" w:hAnsi="仿宋" w:eastAsia="仿宋" w:cs="仿宋"/>
          <w:sz w:val="28"/>
          <w:szCs w:val="28"/>
        </w:rPr>
        <w:t>（2）、指导、管理全县文学艺术事业；指导艺术创作与生产，重点扶植代表性、示范性、实验性文艺品种，推动各门类艺术的发展；管理全县性重大文化活动。</w:t>
      </w:r>
    </w:p>
    <w:p w14:paraId="4C3184BE">
      <w:pPr>
        <w:ind w:firstLine="560" w:firstLineChars="200"/>
        <w:rPr>
          <w:rFonts w:ascii="仿宋" w:hAnsi="仿宋" w:eastAsia="仿宋" w:cs="仿宋"/>
          <w:sz w:val="28"/>
          <w:szCs w:val="28"/>
        </w:rPr>
      </w:pPr>
      <w:r>
        <w:rPr>
          <w:rFonts w:hint="eastAsia" w:ascii="仿宋" w:hAnsi="仿宋" w:eastAsia="仿宋" w:cs="仿宋"/>
          <w:sz w:val="28"/>
          <w:szCs w:val="28"/>
        </w:rPr>
        <w:t>(3)、拟定全县文化市场发展规划，负责对县中心城市规划区内网吧等上网服务营业场所及娱乐场所实行经营许可证管理，指导和监督全县文化市场综合执法工作；负责对全县文化艺术经营活动、文化类产品网上传播进行监管；负责对从事演艺活动的机构进行监管；负责对网络游戏服务进行监管（不含网络游戏的网上出版发行前置审批）。</w:t>
      </w:r>
    </w:p>
    <w:p w14:paraId="22DA82BC">
      <w:pPr>
        <w:ind w:firstLine="560" w:firstLineChars="200"/>
        <w:rPr>
          <w:rFonts w:ascii="仿宋" w:hAnsi="仿宋" w:eastAsia="仿宋" w:cs="仿宋"/>
          <w:sz w:val="28"/>
          <w:szCs w:val="28"/>
        </w:rPr>
      </w:pPr>
      <w:r>
        <w:rPr>
          <w:rFonts w:hint="eastAsia" w:ascii="仿宋" w:hAnsi="仿宋" w:eastAsia="仿宋" w:cs="仿宋"/>
          <w:sz w:val="28"/>
          <w:szCs w:val="28"/>
        </w:rPr>
        <w:t>(4)、按权限负责全县文化艺术、广播电视领域的行政许可和监督；指导全县文化艺术、旅游发展、广播电视、网络领域的行业学会和协会工作。</w:t>
      </w:r>
    </w:p>
    <w:p w14:paraId="197FC648">
      <w:pPr>
        <w:ind w:firstLine="560" w:firstLineChars="200"/>
        <w:rPr>
          <w:rFonts w:ascii="仿宋" w:hAnsi="仿宋" w:eastAsia="仿宋" w:cs="仿宋"/>
          <w:sz w:val="28"/>
          <w:szCs w:val="28"/>
        </w:rPr>
      </w:pPr>
      <w:r>
        <w:rPr>
          <w:rFonts w:hint="eastAsia" w:ascii="仿宋" w:hAnsi="仿宋" w:eastAsia="仿宋" w:cs="仿宋"/>
          <w:sz w:val="28"/>
          <w:szCs w:val="28"/>
        </w:rPr>
        <w:t>(5)、负责全县公共文化服务体系建设；规划、指导、管理社会文化事业；规划、引导公共文化产品生产；统筹安排全县重点文化设施和文化文物、广播电视新闻出版专项文化经费；</w:t>
      </w:r>
    </w:p>
    <w:p w14:paraId="2BE5CF28">
      <w:pPr>
        <w:ind w:firstLine="560" w:firstLineChars="200"/>
        <w:rPr>
          <w:rFonts w:ascii="仿宋" w:hAnsi="仿宋" w:eastAsia="仿宋" w:cs="仿宋"/>
          <w:sz w:val="28"/>
          <w:szCs w:val="28"/>
        </w:rPr>
      </w:pPr>
      <w:r>
        <w:rPr>
          <w:rFonts w:hint="eastAsia" w:ascii="仿宋" w:hAnsi="仿宋" w:eastAsia="仿宋" w:cs="仿宋"/>
          <w:sz w:val="28"/>
          <w:szCs w:val="28"/>
        </w:rPr>
        <w:t>(6)、承担县“扫黄打非”工作领导小组办公室日常工作。</w:t>
      </w:r>
    </w:p>
    <w:p w14:paraId="337A148E">
      <w:pPr>
        <w:ind w:firstLine="560" w:firstLineChars="200"/>
        <w:rPr>
          <w:rFonts w:ascii="仿宋" w:hAnsi="仿宋" w:eastAsia="仿宋" w:cs="仿宋"/>
          <w:sz w:val="28"/>
          <w:szCs w:val="28"/>
        </w:rPr>
      </w:pPr>
      <w:r>
        <w:rPr>
          <w:rFonts w:hint="eastAsia" w:ascii="仿宋" w:hAnsi="仿宋" w:eastAsia="仿宋" w:cs="仿宋"/>
          <w:sz w:val="28"/>
          <w:szCs w:val="28"/>
        </w:rPr>
        <w:t>(7)、指导、协调和监督全县广播电视创作；协调指导广播电视事业建设和广播电视系统的对外交流，管理全县卫星广播电视地面接收设施、社会公共场所电视显示屏；监督管理全县广播电视节目、全县信息网络视听节目，负责管理开办视屏点播业务；拟定全县电影放映事业的发展规划并组织实施。</w:t>
      </w:r>
    </w:p>
    <w:p w14:paraId="2CF35728">
      <w:pPr>
        <w:ind w:firstLine="560" w:firstLineChars="200"/>
        <w:rPr>
          <w:rFonts w:ascii="仿宋" w:hAnsi="仿宋" w:eastAsia="仿宋" w:cs="仿宋"/>
          <w:sz w:val="28"/>
          <w:szCs w:val="28"/>
        </w:rPr>
      </w:pPr>
      <w:r>
        <w:rPr>
          <w:rFonts w:hint="eastAsia" w:ascii="仿宋" w:hAnsi="仿宋" w:eastAsia="仿宋" w:cs="仿宋"/>
          <w:sz w:val="28"/>
          <w:szCs w:val="28"/>
        </w:rPr>
        <w:t>(8)、负责全县广播电影电视安全播映保障体系建设，监督、检查和指导全县广播电视安全播出工作；组织制定广播电视安全播出应急预案，协调落实防范措施；协调重大宣传活动和重要保障期的广播电视安全播出事项。</w:t>
      </w:r>
    </w:p>
    <w:p w14:paraId="2BF2A6AD">
      <w:pPr>
        <w:ind w:firstLine="560" w:firstLineChars="200"/>
        <w:rPr>
          <w:rFonts w:ascii="仿宋" w:hAnsi="仿宋" w:eastAsia="仿宋" w:cs="仿宋"/>
          <w:sz w:val="28"/>
          <w:szCs w:val="28"/>
        </w:rPr>
      </w:pPr>
      <w:r>
        <w:rPr>
          <w:rFonts w:hint="eastAsia" w:ascii="仿宋" w:hAnsi="仿宋" w:eastAsia="仿宋" w:cs="仿宋"/>
          <w:sz w:val="28"/>
          <w:szCs w:val="28"/>
        </w:rPr>
        <w:t xml:space="preserve">  (9)、指导全县文化遗产保护工作；协调、组织实施全县文物保护和非物质文化遗产保护及优秀民族文化的传承普及工作，指导国家级、省级文物和非物质文化遗产代表项目的申报、评审工作；组织协调全县性文化遗产展示活动。</w:t>
      </w:r>
    </w:p>
    <w:p w14:paraId="47F8FCA4">
      <w:pPr>
        <w:ind w:firstLine="560" w:firstLineChars="200"/>
        <w:rPr>
          <w:rFonts w:ascii="仿宋" w:hAnsi="仿宋" w:eastAsia="仿宋" w:cs="仿宋"/>
          <w:sz w:val="28"/>
          <w:szCs w:val="28"/>
        </w:rPr>
      </w:pPr>
      <w:r>
        <w:rPr>
          <w:rFonts w:hint="eastAsia" w:ascii="仿宋" w:hAnsi="仿宋" w:eastAsia="仿宋" w:cs="仿宋"/>
          <w:sz w:val="28"/>
          <w:szCs w:val="28"/>
        </w:rPr>
        <w:t>(10)、拟订全县文化产业发展规划，引导和促进全县文化产业发展。拟订全县动漫、游戏产业发展规划并组织实施。</w:t>
      </w:r>
    </w:p>
    <w:p w14:paraId="53F9E979">
      <w:pPr>
        <w:ind w:firstLine="560" w:firstLineChars="200"/>
        <w:rPr>
          <w:rFonts w:ascii="仿宋" w:hAnsi="仿宋" w:eastAsia="仿宋" w:cs="仿宋"/>
          <w:sz w:val="28"/>
          <w:szCs w:val="28"/>
        </w:rPr>
      </w:pPr>
      <w:r>
        <w:rPr>
          <w:rFonts w:hint="eastAsia" w:ascii="仿宋" w:hAnsi="仿宋" w:eastAsia="仿宋" w:cs="仿宋"/>
          <w:sz w:val="28"/>
          <w:szCs w:val="28"/>
        </w:rPr>
        <w:t>(11)、会同有关部门拟订对外文化交流规划，组织对外文化交流活动；拟定全县文化科技发展规划并组织实施，推进文化科技信息建设。会同有关部门贯彻执行对外及对港澳台的文化交流政策。</w:t>
      </w:r>
    </w:p>
    <w:p w14:paraId="54021107">
      <w:pPr>
        <w:ind w:firstLine="560" w:firstLineChars="200"/>
        <w:rPr>
          <w:rFonts w:ascii="仿宋" w:hAnsi="仿宋" w:eastAsia="仿宋" w:cs="仿宋"/>
          <w:sz w:val="28"/>
          <w:szCs w:val="28"/>
        </w:rPr>
      </w:pPr>
      <w:r>
        <w:rPr>
          <w:rFonts w:hint="eastAsia" w:ascii="仿宋" w:hAnsi="仿宋" w:eastAsia="仿宋" w:cs="仿宋"/>
          <w:sz w:val="28"/>
          <w:szCs w:val="28"/>
        </w:rPr>
        <w:t>(12)、会同有关部门拟订全县文化艺术教育规划并组织实施，指导全县社会艺术教育和文化艺术行业职业教育。</w:t>
      </w:r>
    </w:p>
    <w:p w14:paraId="4211BE90">
      <w:pPr>
        <w:ind w:firstLine="560" w:firstLineChars="200"/>
        <w:rPr>
          <w:rFonts w:ascii="仿宋" w:hAnsi="仿宋" w:eastAsia="仿宋" w:cs="仿宋"/>
          <w:sz w:val="28"/>
          <w:szCs w:val="28"/>
        </w:rPr>
      </w:pPr>
      <w:r>
        <w:rPr>
          <w:rFonts w:hint="eastAsia" w:ascii="仿宋" w:hAnsi="仿宋" w:eastAsia="仿宋" w:cs="仿宋"/>
          <w:sz w:val="28"/>
          <w:szCs w:val="28"/>
        </w:rPr>
        <w:t xml:space="preserve">(14)、承办县人民政府交办的其它事项。 </w:t>
      </w:r>
    </w:p>
    <w:p w14:paraId="036C1A62">
      <w:pPr>
        <w:ind w:firstLine="560" w:firstLineChars="200"/>
        <w:rPr>
          <w:rFonts w:ascii="仿宋" w:hAnsi="仿宋" w:eastAsia="仿宋" w:cs="仿宋"/>
          <w:sz w:val="28"/>
          <w:szCs w:val="28"/>
        </w:rPr>
      </w:pPr>
      <w:r>
        <w:rPr>
          <w:rFonts w:hint="eastAsia" w:ascii="仿宋" w:hAnsi="仿宋" w:eastAsia="仿宋" w:cs="仿宋"/>
          <w:sz w:val="28"/>
          <w:szCs w:val="28"/>
        </w:rPr>
        <w:t>（二）部门（单位）年度整体支出绩效目标，省级专项资金绩效目标、其他项目支出（除省级专项资金以外）绩效目标</w:t>
      </w:r>
    </w:p>
    <w:p w14:paraId="29A8B743">
      <w:pPr>
        <w:ind w:left="150" w:firstLine="560" w:firstLineChars="200"/>
        <w:rPr>
          <w:rFonts w:ascii="仿宋" w:hAnsi="仿宋" w:eastAsia="仿宋" w:cs="仿宋"/>
          <w:sz w:val="28"/>
          <w:szCs w:val="28"/>
        </w:rPr>
      </w:pPr>
      <w:r>
        <w:rPr>
          <w:rFonts w:hint="eastAsia" w:ascii="仿宋" w:hAnsi="仿宋" w:eastAsia="仿宋" w:cs="仿宋"/>
          <w:sz w:val="28"/>
          <w:szCs w:val="28"/>
        </w:rPr>
        <w:t>1、年度总体支出绩效目标：</w:t>
      </w:r>
    </w:p>
    <w:p w14:paraId="612C3B6B">
      <w:pPr>
        <w:ind w:firstLine="560" w:firstLineChars="200"/>
        <w:rPr>
          <w:rFonts w:ascii="仿宋" w:hAnsi="仿宋" w:eastAsia="仿宋" w:cs="仿宋"/>
          <w:sz w:val="28"/>
          <w:szCs w:val="28"/>
        </w:rPr>
      </w:pPr>
      <w:r>
        <w:rPr>
          <w:rFonts w:hint="eastAsia" w:ascii="仿宋" w:hAnsi="仿宋" w:eastAsia="仿宋" w:cs="仿宋"/>
          <w:sz w:val="28"/>
          <w:szCs w:val="28"/>
        </w:rPr>
        <w:t>目标1、完成小区规划配套图书馆和文体活动室。</w:t>
      </w:r>
    </w:p>
    <w:p w14:paraId="2F037225">
      <w:pPr>
        <w:ind w:firstLine="560" w:firstLineChars="200"/>
        <w:rPr>
          <w:rFonts w:ascii="仿宋" w:hAnsi="仿宋" w:eastAsia="仿宋" w:cs="仿宋"/>
          <w:sz w:val="28"/>
          <w:szCs w:val="28"/>
        </w:rPr>
      </w:pPr>
      <w:r>
        <w:rPr>
          <w:rFonts w:hint="eastAsia" w:ascii="仿宋" w:hAnsi="仿宋" w:eastAsia="仿宋" w:cs="仿宋"/>
          <w:sz w:val="28"/>
          <w:szCs w:val="28"/>
        </w:rPr>
        <w:t>目标2、整合资源兴建大型图书馆。</w:t>
      </w:r>
    </w:p>
    <w:p w14:paraId="576CBF2D">
      <w:pPr>
        <w:ind w:firstLine="560" w:firstLineChars="200"/>
        <w:rPr>
          <w:rFonts w:ascii="仿宋" w:hAnsi="仿宋" w:eastAsia="仿宋" w:cs="仿宋"/>
          <w:sz w:val="28"/>
          <w:szCs w:val="28"/>
        </w:rPr>
      </w:pPr>
      <w:r>
        <w:rPr>
          <w:rFonts w:hint="eastAsia" w:ascii="仿宋" w:hAnsi="仿宋" w:eastAsia="仿宋" w:cs="仿宋"/>
          <w:sz w:val="28"/>
          <w:szCs w:val="28"/>
        </w:rPr>
        <w:t>目标3、兴建大型综合文体公园。</w:t>
      </w:r>
    </w:p>
    <w:p w14:paraId="31C677B5">
      <w:pPr>
        <w:ind w:firstLine="560" w:firstLineChars="200"/>
        <w:rPr>
          <w:rFonts w:ascii="仿宋" w:hAnsi="仿宋" w:eastAsia="仿宋" w:cs="仿宋"/>
          <w:sz w:val="28"/>
          <w:szCs w:val="28"/>
        </w:rPr>
      </w:pPr>
      <w:r>
        <w:rPr>
          <w:rFonts w:hint="eastAsia" w:ascii="仿宋" w:hAnsi="仿宋" w:eastAsia="仿宋" w:cs="仿宋"/>
          <w:sz w:val="28"/>
          <w:szCs w:val="28"/>
        </w:rPr>
        <w:t>目标4、促进乡村公共文化服务均衡发展。</w:t>
      </w:r>
    </w:p>
    <w:p w14:paraId="65DC7E9C">
      <w:pPr>
        <w:ind w:firstLine="560" w:firstLineChars="200"/>
        <w:rPr>
          <w:rFonts w:ascii="仿宋" w:hAnsi="仿宋" w:eastAsia="仿宋" w:cs="仿宋"/>
          <w:sz w:val="28"/>
          <w:szCs w:val="28"/>
        </w:rPr>
      </w:pPr>
      <w:r>
        <w:rPr>
          <w:rFonts w:hint="eastAsia" w:ascii="仿宋" w:hAnsi="仿宋" w:eastAsia="仿宋" w:cs="仿宋"/>
          <w:sz w:val="28"/>
          <w:szCs w:val="28"/>
        </w:rPr>
        <w:t>目标5、丰富群众文体活动。</w:t>
      </w:r>
    </w:p>
    <w:p w14:paraId="2DFB1E2A">
      <w:pPr>
        <w:ind w:firstLine="560" w:firstLineChars="200"/>
        <w:rPr>
          <w:rFonts w:ascii="仿宋" w:hAnsi="仿宋" w:eastAsia="仿宋" w:cs="仿宋"/>
          <w:sz w:val="28"/>
          <w:szCs w:val="28"/>
        </w:rPr>
      </w:pPr>
      <w:r>
        <w:rPr>
          <w:rFonts w:hint="eastAsia" w:ascii="仿宋" w:hAnsi="仿宋" w:eastAsia="仿宋" w:cs="仿宋"/>
          <w:sz w:val="28"/>
          <w:szCs w:val="28"/>
        </w:rPr>
        <w:t>目标6、加强文化遗产保护。</w:t>
      </w:r>
    </w:p>
    <w:p w14:paraId="1847F5F0">
      <w:pPr>
        <w:ind w:firstLine="560" w:firstLineChars="200"/>
        <w:rPr>
          <w:rFonts w:ascii="仿宋" w:hAnsi="仿宋" w:eastAsia="仿宋" w:cs="仿宋"/>
          <w:sz w:val="28"/>
          <w:szCs w:val="28"/>
        </w:rPr>
      </w:pPr>
      <w:r>
        <w:rPr>
          <w:rFonts w:hint="eastAsia" w:ascii="仿宋" w:hAnsi="仿宋" w:eastAsia="仿宋" w:cs="仿宋"/>
          <w:sz w:val="28"/>
          <w:szCs w:val="28"/>
        </w:rPr>
        <w:t>目标7、强化文化遗产领域监督问责。</w:t>
      </w:r>
    </w:p>
    <w:p w14:paraId="040D23EF">
      <w:pPr>
        <w:ind w:firstLine="560" w:firstLineChars="200"/>
        <w:rPr>
          <w:rFonts w:ascii="仿宋" w:hAnsi="仿宋" w:eastAsia="仿宋" w:cs="仿宋"/>
          <w:sz w:val="28"/>
          <w:szCs w:val="28"/>
        </w:rPr>
      </w:pPr>
      <w:r>
        <w:rPr>
          <w:rFonts w:hint="eastAsia" w:ascii="仿宋" w:hAnsi="仿宋" w:eastAsia="仿宋" w:cs="仿宋"/>
          <w:sz w:val="28"/>
          <w:szCs w:val="28"/>
        </w:rPr>
        <w:t xml:space="preserve">目标8、加强基础建设，完善景区遗留部分断头路和安全护栏。            </w:t>
      </w:r>
    </w:p>
    <w:p w14:paraId="08E543EA">
      <w:pPr>
        <w:ind w:firstLine="560" w:firstLineChars="200"/>
        <w:rPr>
          <w:rFonts w:ascii="仿宋" w:hAnsi="仿宋" w:eastAsia="仿宋" w:cs="仿宋"/>
          <w:sz w:val="28"/>
          <w:szCs w:val="28"/>
        </w:rPr>
      </w:pPr>
      <w:r>
        <w:rPr>
          <w:rFonts w:hint="eastAsia" w:ascii="仿宋" w:hAnsi="仿宋" w:eastAsia="仿宋" w:cs="仿宋"/>
          <w:sz w:val="28"/>
          <w:szCs w:val="28"/>
        </w:rPr>
        <w:t>目标9、加大文化市场执法力度。</w:t>
      </w:r>
    </w:p>
    <w:p w14:paraId="2E345B3F">
      <w:pPr>
        <w:ind w:firstLine="560" w:firstLineChars="200"/>
        <w:rPr>
          <w:rFonts w:ascii="仿宋" w:hAnsi="仿宋" w:eastAsia="仿宋" w:cs="仿宋"/>
          <w:sz w:val="28"/>
          <w:szCs w:val="28"/>
        </w:rPr>
      </w:pPr>
      <w:r>
        <w:rPr>
          <w:rFonts w:hint="eastAsia" w:ascii="仿宋" w:hAnsi="仿宋" w:eastAsia="仿宋" w:cs="仿宋"/>
          <w:sz w:val="28"/>
          <w:szCs w:val="28"/>
        </w:rPr>
        <w:t>目标10、全力开展红色文化宣传。</w:t>
      </w:r>
    </w:p>
    <w:p w14:paraId="492FB07C">
      <w:pPr>
        <w:ind w:firstLine="602" w:firstLineChars="200"/>
        <w:rPr>
          <w:rFonts w:ascii="仿宋" w:hAnsi="仿宋" w:eastAsia="仿宋" w:cs="仿宋"/>
          <w:b/>
          <w:bCs/>
          <w:sz w:val="30"/>
          <w:szCs w:val="30"/>
        </w:rPr>
      </w:pPr>
      <w:r>
        <w:rPr>
          <w:rFonts w:hint="eastAsia" w:ascii="仿宋" w:hAnsi="仿宋" w:eastAsia="仿宋" w:cs="仿宋"/>
          <w:b/>
          <w:bCs/>
          <w:sz w:val="30"/>
          <w:szCs w:val="30"/>
        </w:rPr>
        <w:t>二、一般公共预算支出情况</w:t>
      </w:r>
    </w:p>
    <w:p w14:paraId="147AA8BE">
      <w:pPr>
        <w:adjustRightInd w:val="0"/>
        <w:snapToGrid w:val="0"/>
        <w:spacing w:line="600" w:lineRule="exact"/>
        <w:ind w:firstLine="641"/>
        <w:rPr>
          <w:rFonts w:ascii="仿宋" w:hAnsi="仿宋" w:eastAsia="仿宋" w:cs="仿宋"/>
          <w:b/>
          <w:bCs/>
          <w:sz w:val="28"/>
          <w:szCs w:val="28"/>
        </w:rPr>
      </w:pPr>
      <w:r>
        <w:rPr>
          <w:rFonts w:hint="eastAsia" w:ascii="仿宋" w:hAnsi="仿宋" w:eastAsia="仿宋" w:cs="仿宋"/>
          <w:sz w:val="28"/>
          <w:szCs w:val="28"/>
          <w:lang w:eastAsia="zh-CN"/>
        </w:rPr>
        <w:t>2025年</w:t>
      </w:r>
      <w:r>
        <w:rPr>
          <w:rFonts w:hint="eastAsia" w:ascii="仿宋" w:hAnsi="仿宋" w:eastAsia="仿宋" w:cs="仿宋"/>
          <w:sz w:val="28"/>
          <w:szCs w:val="28"/>
        </w:rPr>
        <w:t>文旅广电体育局整体支出3873.48万元。一般公共预算财政拨款收入</w:t>
      </w:r>
      <w:r>
        <w:rPr>
          <w:rFonts w:hint="eastAsia" w:ascii="仿宋" w:hAnsi="仿宋" w:eastAsia="仿宋" w:cs="仿宋"/>
          <w:sz w:val="28"/>
          <w:szCs w:val="28"/>
          <w:lang w:val="en-US" w:eastAsia="zh-CN"/>
        </w:rPr>
        <w:t>835.78</w:t>
      </w:r>
      <w:r>
        <w:rPr>
          <w:rFonts w:hint="eastAsia" w:ascii="仿宋" w:hAnsi="仿宋" w:eastAsia="仿宋" w:cs="仿宋"/>
          <w:sz w:val="28"/>
          <w:szCs w:val="28"/>
        </w:rPr>
        <w:t>万元。</w:t>
      </w:r>
    </w:p>
    <w:p w14:paraId="232A9B46">
      <w:pPr>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rPr>
        <w:t>（一）基本支出情况：基本支出</w:t>
      </w:r>
      <w:r>
        <w:rPr>
          <w:rFonts w:hint="eastAsia" w:ascii="仿宋" w:hAnsi="仿宋" w:eastAsia="仿宋" w:cs="仿宋"/>
          <w:sz w:val="28"/>
          <w:szCs w:val="28"/>
          <w:lang w:val="en-US" w:eastAsia="zh-CN"/>
        </w:rPr>
        <w:t>474.21</w:t>
      </w:r>
      <w:r>
        <w:rPr>
          <w:rFonts w:hint="eastAsia" w:ascii="仿宋" w:hAnsi="仿宋" w:eastAsia="仿宋" w:cs="仿宋"/>
          <w:sz w:val="28"/>
          <w:szCs w:val="28"/>
        </w:rPr>
        <w:t>万元，其中：工资福利支出394.36万元（包括基本工资</w:t>
      </w:r>
      <w:r>
        <w:rPr>
          <w:rFonts w:hint="eastAsia" w:ascii="仿宋" w:hAnsi="仿宋" w:eastAsia="仿宋" w:cs="仿宋"/>
          <w:sz w:val="28"/>
          <w:szCs w:val="28"/>
          <w:lang w:val="en-US" w:eastAsia="zh-CN"/>
        </w:rPr>
        <w:t>155.09</w:t>
      </w:r>
      <w:r>
        <w:rPr>
          <w:rFonts w:hint="eastAsia" w:ascii="仿宋" w:hAnsi="仿宋" w:eastAsia="仿宋" w:cs="仿宋"/>
          <w:sz w:val="28"/>
          <w:szCs w:val="28"/>
        </w:rPr>
        <w:t>万元，津补贴</w:t>
      </w:r>
      <w:r>
        <w:rPr>
          <w:rFonts w:hint="eastAsia" w:ascii="仿宋" w:hAnsi="仿宋" w:eastAsia="仿宋" w:cs="仿宋"/>
          <w:sz w:val="28"/>
          <w:szCs w:val="28"/>
          <w:lang w:val="en-US" w:eastAsia="zh-CN"/>
        </w:rPr>
        <w:t>57.65</w:t>
      </w:r>
      <w:r>
        <w:rPr>
          <w:rFonts w:hint="eastAsia" w:ascii="仿宋" w:hAnsi="仿宋" w:eastAsia="仿宋" w:cs="仿宋"/>
          <w:sz w:val="28"/>
          <w:szCs w:val="28"/>
        </w:rPr>
        <w:t>万元，奖金</w:t>
      </w:r>
      <w:r>
        <w:rPr>
          <w:rFonts w:hint="eastAsia" w:ascii="仿宋" w:hAnsi="仿宋" w:eastAsia="仿宋" w:cs="仿宋"/>
          <w:sz w:val="28"/>
          <w:szCs w:val="28"/>
          <w:lang w:val="en-US" w:eastAsia="zh-CN"/>
        </w:rPr>
        <w:t>62.47</w:t>
      </w:r>
      <w:r>
        <w:rPr>
          <w:rFonts w:hint="eastAsia" w:ascii="仿宋" w:hAnsi="仿宋" w:eastAsia="仿宋" w:cs="仿宋"/>
          <w:sz w:val="28"/>
          <w:szCs w:val="28"/>
        </w:rPr>
        <w:t>万元，绩效工资</w:t>
      </w:r>
      <w:r>
        <w:rPr>
          <w:rFonts w:hint="eastAsia" w:ascii="仿宋" w:hAnsi="仿宋" w:eastAsia="仿宋" w:cs="仿宋"/>
          <w:sz w:val="28"/>
          <w:szCs w:val="28"/>
          <w:lang w:val="en-US" w:eastAsia="zh-CN"/>
        </w:rPr>
        <w:t>9.68</w:t>
      </w:r>
      <w:r>
        <w:rPr>
          <w:rFonts w:hint="eastAsia" w:ascii="仿宋" w:hAnsi="仿宋" w:eastAsia="仿宋" w:cs="仿宋"/>
          <w:sz w:val="28"/>
          <w:szCs w:val="28"/>
        </w:rPr>
        <w:t>万元，养老保险</w:t>
      </w:r>
      <w:r>
        <w:rPr>
          <w:rFonts w:hint="eastAsia" w:ascii="仿宋" w:hAnsi="仿宋" w:eastAsia="仿宋" w:cs="仿宋"/>
          <w:sz w:val="28"/>
          <w:szCs w:val="28"/>
          <w:lang w:val="en-US" w:eastAsia="zh-CN"/>
        </w:rPr>
        <w:t>73.68</w:t>
      </w:r>
      <w:r>
        <w:rPr>
          <w:rFonts w:hint="eastAsia" w:ascii="仿宋" w:hAnsi="仿宋" w:eastAsia="仿宋" w:cs="仿宋"/>
          <w:sz w:val="28"/>
          <w:szCs w:val="28"/>
        </w:rPr>
        <w:t>万元,医疗</w:t>
      </w:r>
      <w:r>
        <w:rPr>
          <w:rFonts w:hint="eastAsia" w:ascii="仿宋" w:hAnsi="仿宋" w:eastAsia="仿宋" w:cs="仿宋"/>
          <w:sz w:val="28"/>
          <w:szCs w:val="28"/>
          <w:lang w:eastAsia="zh-CN"/>
        </w:rPr>
        <w:t>保险</w:t>
      </w:r>
      <w:r>
        <w:rPr>
          <w:rFonts w:hint="eastAsia" w:ascii="仿宋" w:hAnsi="仿宋" w:eastAsia="仿宋" w:cs="仿宋"/>
          <w:sz w:val="28"/>
          <w:szCs w:val="28"/>
          <w:lang w:val="en-US" w:eastAsia="zh-CN"/>
        </w:rPr>
        <w:t>21.45</w:t>
      </w:r>
      <w:r>
        <w:rPr>
          <w:rFonts w:hint="eastAsia" w:ascii="仿宋" w:hAnsi="仿宋" w:eastAsia="仿宋" w:cs="仿宋"/>
          <w:sz w:val="28"/>
          <w:szCs w:val="28"/>
        </w:rPr>
        <w:t>万元，住房公积金</w:t>
      </w:r>
      <w:r>
        <w:rPr>
          <w:rFonts w:hint="eastAsia" w:ascii="仿宋" w:hAnsi="仿宋" w:eastAsia="仿宋" w:cs="仿宋"/>
          <w:sz w:val="28"/>
          <w:szCs w:val="28"/>
          <w:lang w:val="en-US" w:eastAsia="zh-CN"/>
        </w:rPr>
        <w:t>21.33</w:t>
      </w:r>
      <w:r>
        <w:rPr>
          <w:rFonts w:hint="eastAsia" w:ascii="仿宋" w:hAnsi="仿宋" w:eastAsia="仿宋" w:cs="仿宋"/>
          <w:sz w:val="28"/>
          <w:szCs w:val="28"/>
        </w:rPr>
        <w:t>万元）；一般商品和服务支出</w:t>
      </w:r>
      <w:r>
        <w:rPr>
          <w:rFonts w:hint="eastAsia" w:ascii="仿宋" w:hAnsi="仿宋" w:eastAsia="仿宋" w:cs="仿宋"/>
          <w:sz w:val="28"/>
          <w:szCs w:val="28"/>
          <w:lang w:val="en-US" w:eastAsia="zh-CN"/>
        </w:rPr>
        <w:t>51.39</w:t>
      </w:r>
      <w:r>
        <w:rPr>
          <w:rFonts w:hint="eastAsia" w:ascii="仿宋" w:hAnsi="仿宋" w:eastAsia="仿宋" w:cs="仿宋"/>
          <w:sz w:val="28"/>
          <w:szCs w:val="28"/>
        </w:rPr>
        <w:t>万元:办公费</w:t>
      </w:r>
      <w:r>
        <w:rPr>
          <w:rFonts w:hint="eastAsia" w:ascii="仿宋" w:hAnsi="仿宋" w:eastAsia="仿宋" w:cs="仿宋"/>
          <w:sz w:val="28"/>
          <w:szCs w:val="28"/>
          <w:lang w:val="en-US" w:eastAsia="zh-CN"/>
        </w:rPr>
        <w:t>0.92</w:t>
      </w:r>
      <w:r>
        <w:rPr>
          <w:rFonts w:hint="eastAsia" w:ascii="仿宋" w:hAnsi="仿宋" w:eastAsia="仿宋" w:cs="仿宋"/>
          <w:sz w:val="28"/>
          <w:szCs w:val="28"/>
        </w:rPr>
        <w:t>万元，</w:t>
      </w:r>
      <w:r>
        <w:rPr>
          <w:rFonts w:hint="eastAsia" w:ascii="仿宋" w:hAnsi="仿宋" w:eastAsia="仿宋" w:cs="仿宋"/>
          <w:sz w:val="28"/>
          <w:szCs w:val="28"/>
          <w:lang w:eastAsia="zh-CN"/>
        </w:rPr>
        <w:t>水费</w:t>
      </w:r>
      <w:r>
        <w:rPr>
          <w:rFonts w:hint="eastAsia" w:ascii="仿宋" w:hAnsi="仿宋" w:eastAsia="仿宋" w:cs="仿宋"/>
          <w:sz w:val="28"/>
          <w:szCs w:val="28"/>
          <w:lang w:val="en-US" w:eastAsia="zh-CN"/>
        </w:rPr>
        <w:t>0.20</w:t>
      </w:r>
      <w:r>
        <w:rPr>
          <w:rFonts w:hint="eastAsia" w:ascii="仿宋" w:hAnsi="仿宋" w:eastAsia="仿宋" w:cs="仿宋"/>
          <w:sz w:val="28"/>
          <w:szCs w:val="28"/>
        </w:rPr>
        <w:t>万元，电费3.</w:t>
      </w:r>
      <w:r>
        <w:rPr>
          <w:rFonts w:hint="eastAsia" w:ascii="仿宋" w:hAnsi="仿宋" w:eastAsia="仿宋" w:cs="仿宋"/>
          <w:sz w:val="28"/>
          <w:szCs w:val="28"/>
          <w:lang w:val="en-US" w:eastAsia="zh-CN"/>
        </w:rPr>
        <w:t>27</w:t>
      </w:r>
      <w:r>
        <w:rPr>
          <w:rFonts w:hint="eastAsia" w:ascii="仿宋" w:hAnsi="仿宋" w:eastAsia="仿宋" w:cs="仿宋"/>
          <w:sz w:val="28"/>
          <w:szCs w:val="28"/>
        </w:rPr>
        <w:t>万元，邮电费</w:t>
      </w:r>
      <w:r>
        <w:rPr>
          <w:rFonts w:hint="eastAsia" w:ascii="仿宋" w:hAnsi="仿宋" w:eastAsia="仿宋" w:cs="仿宋"/>
          <w:sz w:val="28"/>
          <w:szCs w:val="28"/>
          <w:lang w:val="en-US" w:eastAsia="zh-CN"/>
        </w:rPr>
        <w:t>1.26</w:t>
      </w:r>
      <w:r>
        <w:rPr>
          <w:rFonts w:hint="eastAsia" w:ascii="仿宋" w:hAnsi="仿宋" w:eastAsia="仿宋" w:cs="仿宋"/>
          <w:sz w:val="28"/>
          <w:szCs w:val="28"/>
        </w:rPr>
        <w:t>万元,维修（护）费</w:t>
      </w:r>
      <w:r>
        <w:rPr>
          <w:rFonts w:hint="eastAsia" w:ascii="仿宋" w:hAnsi="仿宋" w:eastAsia="仿宋" w:cs="仿宋"/>
          <w:sz w:val="28"/>
          <w:szCs w:val="28"/>
          <w:lang w:val="en-US" w:eastAsia="zh-CN"/>
        </w:rPr>
        <w:t>11.23</w:t>
      </w:r>
      <w:r>
        <w:rPr>
          <w:rFonts w:hint="eastAsia" w:ascii="仿宋" w:hAnsi="仿宋" w:eastAsia="仿宋" w:cs="仿宋"/>
          <w:sz w:val="28"/>
          <w:szCs w:val="28"/>
        </w:rPr>
        <w:t>万元，劳务费</w:t>
      </w:r>
      <w:r>
        <w:rPr>
          <w:rFonts w:hint="eastAsia" w:ascii="仿宋" w:hAnsi="仿宋" w:eastAsia="仿宋" w:cs="仿宋"/>
          <w:sz w:val="28"/>
          <w:szCs w:val="28"/>
          <w:lang w:val="en-US" w:eastAsia="zh-CN"/>
        </w:rPr>
        <w:t>0.75</w:t>
      </w:r>
      <w:r>
        <w:rPr>
          <w:rFonts w:hint="eastAsia" w:ascii="仿宋" w:hAnsi="仿宋" w:eastAsia="仿宋" w:cs="仿宋"/>
          <w:sz w:val="28"/>
          <w:szCs w:val="28"/>
        </w:rPr>
        <w:t>万元，工会经费</w:t>
      </w:r>
      <w:r>
        <w:rPr>
          <w:rFonts w:hint="eastAsia" w:ascii="仿宋" w:hAnsi="仿宋" w:eastAsia="仿宋" w:cs="仿宋"/>
          <w:sz w:val="28"/>
          <w:szCs w:val="28"/>
          <w:lang w:val="en-US" w:eastAsia="zh-CN"/>
        </w:rPr>
        <w:t>8.20</w:t>
      </w:r>
      <w:r>
        <w:rPr>
          <w:rFonts w:hint="eastAsia" w:ascii="仿宋" w:hAnsi="仿宋" w:eastAsia="仿宋" w:cs="仿宋"/>
          <w:sz w:val="28"/>
          <w:szCs w:val="28"/>
        </w:rPr>
        <w:t>万元,</w:t>
      </w:r>
      <w:r>
        <w:rPr>
          <w:rFonts w:hint="eastAsia" w:ascii="仿宋" w:hAnsi="仿宋" w:eastAsia="仿宋" w:cs="仿宋"/>
          <w:sz w:val="28"/>
          <w:szCs w:val="28"/>
          <w:lang w:eastAsia="zh-CN"/>
        </w:rPr>
        <w:t>福利费</w:t>
      </w:r>
      <w:r>
        <w:rPr>
          <w:rFonts w:hint="eastAsia" w:ascii="仿宋" w:hAnsi="仿宋" w:eastAsia="仿宋" w:cs="仿宋"/>
          <w:sz w:val="28"/>
          <w:szCs w:val="28"/>
          <w:lang w:val="en-US" w:eastAsia="zh-CN"/>
        </w:rPr>
        <w:t>11.00万元，</w:t>
      </w:r>
      <w:r>
        <w:rPr>
          <w:rFonts w:hint="eastAsia" w:ascii="仿宋" w:hAnsi="仿宋" w:eastAsia="仿宋" w:cs="仿宋"/>
          <w:sz w:val="28"/>
          <w:szCs w:val="28"/>
        </w:rPr>
        <w:t>其他交通费14.57万元；对个人和家庭的补助</w:t>
      </w:r>
      <w:r>
        <w:rPr>
          <w:rFonts w:hint="eastAsia" w:ascii="仿宋" w:hAnsi="仿宋" w:eastAsia="仿宋" w:cs="仿宋"/>
          <w:sz w:val="28"/>
          <w:szCs w:val="28"/>
          <w:lang w:val="en-US" w:eastAsia="zh-CN"/>
        </w:rPr>
        <w:t>21.46</w:t>
      </w:r>
      <w:r>
        <w:rPr>
          <w:rFonts w:hint="eastAsia" w:ascii="仿宋" w:hAnsi="仿宋" w:eastAsia="仿宋" w:cs="仿宋"/>
          <w:sz w:val="28"/>
          <w:szCs w:val="28"/>
        </w:rPr>
        <w:t>万元</w:t>
      </w:r>
      <w:r>
        <w:rPr>
          <w:rFonts w:hint="eastAsia" w:ascii="仿宋" w:hAnsi="仿宋" w:eastAsia="仿宋" w:cs="仿宋"/>
          <w:sz w:val="28"/>
          <w:szCs w:val="28"/>
          <w:lang w:eastAsia="zh-CN"/>
        </w:rPr>
        <w:t>：抚恤费</w:t>
      </w:r>
      <w:r>
        <w:rPr>
          <w:rFonts w:hint="eastAsia" w:ascii="仿宋" w:hAnsi="仿宋" w:eastAsia="仿宋" w:cs="仿宋"/>
          <w:sz w:val="28"/>
          <w:szCs w:val="28"/>
          <w:lang w:val="en-US" w:eastAsia="zh-CN"/>
        </w:rPr>
        <w:t>17.34万元，生活补助4.11万元。</w:t>
      </w:r>
    </w:p>
    <w:p w14:paraId="2B7B2540">
      <w:pPr>
        <w:ind w:firstLine="560" w:firstLineChars="200"/>
        <w:rPr>
          <w:rFonts w:ascii="仿宋" w:hAnsi="仿宋" w:eastAsia="仿宋" w:cs="仿宋"/>
          <w:sz w:val="28"/>
          <w:szCs w:val="28"/>
        </w:rPr>
      </w:pPr>
      <w:r>
        <w:rPr>
          <w:rFonts w:hint="eastAsia" w:ascii="仿宋" w:hAnsi="仿宋" w:eastAsia="仿宋" w:cs="仿宋"/>
          <w:sz w:val="28"/>
          <w:szCs w:val="28"/>
        </w:rPr>
        <w:t>（二）项目支出情况：</w:t>
      </w:r>
      <w:r>
        <w:rPr>
          <w:rFonts w:hint="eastAsia" w:ascii="仿宋" w:hAnsi="仿宋" w:eastAsia="仿宋" w:cs="仿宋"/>
          <w:sz w:val="28"/>
          <w:szCs w:val="28"/>
          <w:lang w:eastAsia="zh-CN"/>
        </w:rPr>
        <w:t>2025年</w:t>
      </w:r>
      <w:r>
        <w:rPr>
          <w:rFonts w:hint="eastAsia" w:ascii="仿宋" w:hAnsi="仿宋" w:eastAsia="仿宋" w:cs="仿宋"/>
          <w:sz w:val="28"/>
          <w:szCs w:val="28"/>
        </w:rPr>
        <w:t>决算数为</w:t>
      </w:r>
      <w:r>
        <w:rPr>
          <w:rFonts w:hint="eastAsia" w:ascii="仿宋" w:hAnsi="仿宋" w:eastAsia="仿宋" w:cs="仿宋"/>
          <w:sz w:val="28"/>
          <w:szCs w:val="28"/>
          <w:lang w:val="en-US" w:eastAsia="zh-CN"/>
        </w:rPr>
        <w:t>361.57</w:t>
      </w:r>
      <w:r>
        <w:rPr>
          <w:rFonts w:hint="eastAsia" w:ascii="仿宋" w:hAnsi="仿宋" w:eastAsia="仿宋" w:cs="仿宋"/>
          <w:sz w:val="28"/>
          <w:szCs w:val="28"/>
        </w:rPr>
        <w:t>万元，其中：中央支持地方公共文化服务体系建设补助资金</w:t>
      </w:r>
      <w:r>
        <w:rPr>
          <w:rFonts w:hint="eastAsia" w:ascii="仿宋" w:hAnsi="仿宋" w:eastAsia="仿宋" w:cs="仿宋"/>
          <w:sz w:val="28"/>
          <w:szCs w:val="28"/>
          <w:lang w:val="en-US" w:eastAsia="zh-CN"/>
        </w:rPr>
        <w:t>119.00</w:t>
      </w:r>
      <w:r>
        <w:rPr>
          <w:rFonts w:hint="eastAsia" w:ascii="仿宋" w:hAnsi="仿宋" w:eastAsia="仿宋" w:cs="仿宋"/>
          <w:sz w:val="28"/>
          <w:szCs w:val="28"/>
        </w:rPr>
        <w:t>万元；三馆一站免费开放专项资金</w:t>
      </w:r>
      <w:r>
        <w:rPr>
          <w:rFonts w:hint="eastAsia" w:ascii="仿宋" w:hAnsi="仿宋" w:eastAsia="仿宋" w:cs="仿宋"/>
          <w:sz w:val="28"/>
          <w:szCs w:val="28"/>
          <w:lang w:val="en-US" w:eastAsia="zh-CN"/>
        </w:rPr>
        <w:t>96.80万元；</w:t>
      </w:r>
      <w:r>
        <w:rPr>
          <w:rFonts w:hint="eastAsia" w:ascii="仿宋" w:hAnsi="仿宋" w:eastAsia="仿宋" w:cs="仿宋"/>
          <w:sz w:val="28"/>
          <w:szCs w:val="28"/>
        </w:rPr>
        <w:t>公共文化服务体系建设补助资金2</w:t>
      </w:r>
      <w:r>
        <w:rPr>
          <w:rFonts w:hint="eastAsia" w:ascii="仿宋" w:hAnsi="仿宋" w:eastAsia="仿宋" w:cs="仿宋"/>
          <w:sz w:val="28"/>
          <w:szCs w:val="28"/>
          <w:lang w:val="en-US" w:eastAsia="zh-CN"/>
        </w:rPr>
        <w:t>8.00</w:t>
      </w:r>
      <w:r>
        <w:rPr>
          <w:rFonts w:hint="eastAsia" w:ascii="仿宋" w:hAnsi="仿宋" w:eastAsia="仿宋" w:cs="仿宋"/>
          <w:sz w:val="28"/>
          <w:szCs w:val="28"/>
        </w:rPr>
        <w:t>万元；省级文化和旅游专项资金</w:t>
      </w:r>
      <w:r>
        <w:rPr>
          <w:rFonts w:hint="eastAsia" w:ascii="仿宋" w:hAnsi="仿宋" w:eastAsia="仿宋" w:cs="仿宋"/>
          <w:sz w:val="28"/>
          <w:szCs w:val="28"/>
          <w:lang w:val="en-US" w:eastAsia="zh-CN"/>
        </w:rPr>
        <w:t>30.00</w:t>
      </w:r>
      <w:r>
        <w:rPr>
          <w:rFonts w:hint="eastAsia" w:ascii="仿宋" w:hAnsi="仿宋" w:eastAsia="仿宋" w:cs="仿宋"/>
          <w:sz w:val="28"/>
          <w:szCs w:val="28"/>
        </w:rPr>
        <w:t>万元；招商引资工作经费</w:t>
      </w:r>
      <w:r>
        <w:rPr>
          <w:rFonts w:hint="eastAsia" w:ascii="仿宋" w:hAnsi="仿宋" w:eastAsia="仿宋" w:cs="仿宋"/>
          <w:sz w:val="28"/>
          <w:szCs w:val="28"/>
          <w:lang w:val="en-US" w:eastAsia="zh-CN"/>
        </w:rPr>
        <w:t>7.00</w:t>
      </w:r>
      <w:r>
        <w:rPr>
          <w:rFonts w:hint="eastAsia" w:ascii="仿宋" w:hAnsi="仿宋" w:eastAsia="仿宋" w:cs="仿宋"/>
          <w:sz w:val="28"/>
          <w:szCs w:val="28"/>
        </w:rPr>
        <w:t>万元；全县旅游资源普查经费5万元；博物馆运营工作经费（核拨）7.</w:t>
      </w:r>
      <w:r>
        <w:rPr>
          <w:rFonts w:hint="eastAsia" w:ascii="仿宋" w:hAnsi="仿宋" w:eastAsia="仿宋" w:cs="仿宋"/>
          <w:sz w:val="28"/>
          <w:szCs w:val="28"/>
          <w:lang w:val="en-US" w:eastAsia="zh-CN"/>
        </w:rPr>
        <w:t>00</w:t>
      </w:r>
      <w:r>
        <w:rPr>
          <w:rFonts w:hint="eastAsia" w:ascii="仿宋" w:hAnsi="仿宋" w:eastAsia="仿宋" w:cs="仿宋"/>
          <w:sz w:val="28"/>
          <w:szCs w:val="28"/>
        </w:rPr>
        <w:t>万元;</w:t>
      </w:r>
      <w:r>
        <w:rPr>
          <w:rFonts w:hint="eastAsia"/>
        </w:rPr>
        <w:t xml:space="preserve"> </w:t>
      </w:r>
      <w:r>
        <w:rPr>
          <w:rFonts w:hint="eastAsia" w:ascii="仿宋" w:hAnsi="仿宋" w:eastAsia="仿宋" w:cs="仿宋"/>
          <w:sz w:val="28"/>
          <w:szCs w:val="28"/>
        </w:rPr>
        <w:t>祁剧团经费</w:t>
      </w:r>
      <w:r>
        <w:rPr>
          <w:rFonts w:hint="eastAsia" w:ascii="仿宋" w:hAnsi="仿宋" w:eastAsia="仿宋" w:cs="仿宋"/>
          <w:sz w:val="28"/>
          <w:szCs w:val="28"/>
          <w:lang w:val="en-US" w:eastAsia="zh-CN"/>
        </w:rPr>
        <w:t>68.77</w:t>
      </w:r>
      <w:r>
        <w:rPr>
          <w:rFonts w:hint="eastAsia" w:ascii="仿宋" w:hAnsi="仿宋" w:eastAsia="仿宋" w:cs="仿宋"/>
          <w:sz w:val="28"/>
          <w:szCs w:val="28"/>
        </w:rPr>
        <w:t>万元。</w:t>
      </w:r>
    </w:p>
    <w:p w14:paraId="0DA30D84">
      <w:pPr>
        <w:pStyle w:val="13"/>
      </w:pPr>
    </w:p>
    <w:p w14:paraId="1414469D">
      <w:pPr>
        <w:ind w:firstLine="602" w:firstLineChars="200"/>
        <w:rPr>
          <w:rFonts w:ascii="仿宋" w:hAnsi="仿宋" w:eastAsia="仿宋" w:cs="仿宋"/>
          <w:b/>
          <w:bCs/>
          <w:sz w:val="30"/>
          <w:szCs w:val="30"/>
        </w:rPr>
      </w:pPr>
      <w:r>
        <w:rPr>
          <w:rFonts w:hint="eastAsia" w:ascii="仿宋" w:hAnsi="仿宋" w:eastAsia="仿宋" w:cs="仿宋"/>
          <w:b/>
          <w:bCs/>
          <w:sz w:val="30"/>
          <w:szCs w:val="30"/>
        </w:rPr>
        <w:t>三、政府性基金预算支出情况</w:t>
      </w:r>
    </w:p>
    <w:p w14:paraId="3C792809">
      <w:pPr>
        <w:rPr>
          <w:rFonts w:ascii="宋体" w:hAnsi="宋体" w:cs="宋体"/>
          <w:kern w:val="0"/>
          <w:sz w:val="24"/>
        </w:rPr>
      </w:pPr>
      <w:r>
        <w:rPr>
          <w:rFonts w:hint="eastAsia" w:ascii="仿宋" w:hAnsi="仿宋" w:eastAsia="仿宋" w:cs="仿宋"/>
          <w:sz w:val="28"/>
          <w:szCs w:val="28"/>
        </w:rPr>
        <w:t>道县文旅广电体育局</w:t>
      </w:r>
      <w:r>
        <w:rPr>
          <w:rFonts w:hint="eastAsia" w:ascii="仿宋" w:hAnsi="仿宋" w:eastAsia="仿宋" w:cs="仿宋"/>
          <w:sz w:val="28"/>
          <w:szCs w:val="28"/>
          <w:lang w:eastAsia="zh-CN"/>
        </w:rPr>
        <w:t>2025年</w:t>
      </w:r>
      <w:r>
        <w:rPr>
          <w:rFonts w:hint="eastAsia" w:ascii="仿宋" w:hAnsi="仿宋" w:eastAsia="仿宋" w:cs="仿宋"/>
          <w:sz w:val="28"/>
          <w:szCs w:val="28"/>
        </w:rPr>
        <w:t>政府性基金预算支出</w:t>
      </w:r>
      <w:r>
        <w:rPr>
          <w:rFonts w:hint="eastAsia" w:ascii="仿宋" w:hAnsi="仿宋" w:eastAsia="仿宋" w:cs="仿宋"/>
          <w:sz w:val="28"/>
          <w:szCs w:val="28"/>
          <w:lang w:val="en-US" w:eastAsia="zh-CN"/>
        </w:rPr>
        <w:t>3037.70</w:t>
      </w:r>
      <w:r>
        <w:rPr>
          <w:rFonts w:hint="eastAsia" w:ascii="仿宋" w:hAnsi="仿宋" w:eastAsia="仿宋" w:cs="仿宋"/>
          <w:sz w:val="28"/>
          <w:szCs w:val="28"/>
        </w:rPr>
        <w:t>万元。其中：玉蟾岩遗址景区基础设施建设项目</w:t>
      </w:r>
      <w:r>
        <w:rPr>
          <w:rFonts w:hint="eastAsia" w:ascii="仿宋" w:hAnsi="仿宋" w:eastAsia="仿宋" w:cs="仿宋"/>
          <w:sz w:val="28"/>
          <w:szCs w:val="28"/>
          <w:lang w:val="en-US" w:eastAsia="zh-CN"/>
        </w:rPr>
        <w:t>3000.00</w:t>
      </w:r>
      <w:r>
        <w:rPr>
          <w:rFonts w:hint="eastAsia" w:ascii="仿宋" w:hAnsi="仿宋" w:eastAsia="仿宋" w:cs="仿宋"/>
          <w:sz w:val="28"/>
          <w:szCs w:val="28"/>
        </w:rPr>
        <w:t>万元；中国工农红军突破第四道封锁线智慧博物馆一体化项目</w:t>
      </w:r>
      <w:r>
        <w:rPr>
          <w:rFonts w:hint="eastAsia" w:ascii="仿宋" w:hAnsi="仿宋" w:eastAsia="仿宋" w:cs="仿宋"/>
          <w:sz w:val="28"/>
          <w:szCs w:val="28"/>
          <w:lang w:val="en-US" w:eastAsia="zh-CN"/>
        </w:rPr>
        <w:t>37.70</w:t>
      </w:r>
      <w:r>
        <w:rPr>
          <w:rFonts w:hint="eastAsia" w:ascii="仿宋" w:hAnsi="仿宋" w:eastAsia="仿宋" w:cs="仿宋"/>
          <w:sz w:val="28"/>
          <w:szCs w:val="28"/>
        </w:rPr>
        <w:t>万元。</w:t>
      </w:r>
    </w:p>
    <w:p w14:paraId="69CAA0B2">
      <w:pPr>
        <w:ind w:firstLine="602" w:firstLineChars="200"/>
        <w:rPr>
          <w:rFonts w:ascii="仿宋" w:hAnsi="仿宋" w:eastAsia="仿宋" w:cs="仿宋"/>
          <w:b/>
          <w:bCs/>
          <w:sz w:val="30"/>
          <w:szCs w:val="30"/>
        </w:rPr>
      </w:pPr>
      <w:r>
        <w:rPr>
          <w:rFonts w:hint="eastAsia" w:ascii="仿宋" w:hAnsi="仿宋" w:eastAsia="仿宋" w:cs="仿宋"/>
          <w:b/>
          <w:bCs/>
          <w:sz w:val="30"/>
          <w:szCs w:val="30"/>
        </w:rPr>
        <w:t>四、国有资本经营预算支出情况</w:t>
      </w:r>
    </w:p>
    <w:p w14:paraId="55358AD6">
      <w:pPr>
        <w:ind w:firstLine="560" w:firstLineChars="200"/>
        <w:rPr>
          <w:rFonts w:ascii="仿宋" w:hAnsi="仿宋" w:eastAsia="仿宋" w:cs="仿宋"/>
          <w:sz w:val="28"/>
          <w:szCs w:val="28"/>
        </w:rPr>
      </w:pPr>
      <w:r>
        <w:rPr>
          <w:rFonts w:hint="eastAsia" w:ascii="仿宋" w:hAnsi="仿宋" w:eastAsia="仿宋" w:cs="仿宋"/>
          <w:sz w:val="28"/>
          <w:szCs w:val="28"/>
        </w:rPr>
        <w:t>道县文旅广电体育局</w:t>
      </w:r>
      <w:r>
        <w:rPr>
          <w:rFonts w:hint="eastAsia" w:ascii="仿宋" w:hAnsi="仿宋" w:eastAsia="仿宋" w:cs="仿宋"/>
          <w:sz w:val="28"/>
          <w:szCs w:val="28"/>
          <w:lang w:eastAsia="zh-CN"/>
        </w:rPr>
        <w:t>2025年</w:t>
      </w:r>
      <w:r>
        <w:rPr>
          <w:rFonts w:hint="eastAsia" w:ascii="仿宋" w:hAnsi="仿宋" w:eastAsia="仿宋" w:cs="仿宋"/>
          <w:sz w:val="28"/>
          <w:szCs w:val="28"/>
        </w:rPr>
        <w:t>无国有资本经营预算支出。</w:t>
      </w:r>
    </w:p>
    <w:p w14:paraId="739E8D55">
      <w:pPr>
        <w:rPr>
          <w:rFonts w:ascii="仿宋" w:hAnsi="仿宋" w:eastAsia="仿宋" w:cs="仿宋"/>
          <w:b/>
          <w:bCs/>
          <w:sz w:val="30"/>
          <w:szCs w:val="30"/>
        </w:rPr>
      </w:pPr>
      <w:r>
        <w:rPr>
          <w:rFonts w:hint="eastAsia" w:ascii="仿宋" w:hAnsi="仿宋" w:eastAsia="仿宋" w:cs="仿宋"/>
          <w:b/>
          <w:bCs/>
          <w:sz w:val="30"/>
          <w:szCs w:val="30"/>
        </w:rPr>
        <w:t xml:space="preserve">    五、社会保险基金预算支出情况</w:t>
      </w:r>
    </w:p>
    <w:p w14:paraId="735050D2">
      <w:pPr>
        <w:ind w:firstLine="560" w:firstLineChars="200"/>
        <w:rPr>
          <w:rFonts w:ascii="仿宋" w:hAnsi="仿宋" w:eastAsia="仿宋" w:cs="仿宋"/>
          <w:sz w:val="30"/>
          <w:szCs w:val="30"/>
        </w:rPr>
      </w:pPr>
      <w:r>
        <w:rPr>
          <w:rFonts w:hint="eastAsia" w:ascii="仿宋" w:hAnsi="仿宋" w:eastAsia="仿宋" w:cs="仿宋"/>
          <w:sz w:val="28"/>
          <w:szCs w:val="28"/>
        </w:rPr>
        <w:t>道县文旅广电体育局</w:t>
      </w:r>
      <w:r>
        <w:rPr>
          <w:rFonts w:hint="eastAsia" w:ascii="仿宋" w:hAnsi="仿宋" w:eastAsia="仿宋" w:cs="仿宋"/>
          <w:sz w:val="28"/>
          <w:szCs w:val="28"/>
          <w:lang w:eastAsia="zh-CN"/>
        </w:rPr>
        <w:t>2025年</w:t>
      </w:r>
      <w:r>
        <w:rPr>
          <w:rFonts w:hint="eastAsia" w:ascii="仿宋" w:hAnsi="仿宋" w:eastAsia="仿宋" w:cs="仿宋"/>
          <w:sz w:val="28"/>
          <w:szCs w:val="28"/>
        </w:rPr>
        <w:t>无社会保险基金预算支出。</w:t>
      </w:r>
    </w:p>
    <w:p w14:paraId="0486EBE7">
      <w:pPr>
        <w:ind w:firstLine="602" w:firstLineChars="200"/>
        <w:rPr>
          <w:rFonts w:ascii="仿宋" w:hAnsi="仿宋" w:eastAsia="仿宋" w:cs="仿宋"/>
          <w:b/>
          <w:bCs/>
          <w:sz w:val="30"/>
          <w:szCs w:val="30"/>
        </w:rPr>
      </w:pPr>
      <w:r>
        <w:rPr>
          <w:rFonts w:hint="eastAsia" w:ascii="仿宋" w:hAnsi="仿宋" w:eastAsia="仿宋" w:cs="仿宋"/>
          <w:b/>
          <w:bCs/>
          <w:sz w:val="30"/>
          <w:szCs w:val="30"/>
        </w:rPr>
        <w:t>六、部门整体支出绩效情况</w:t>
      </w:r>
    </w:p>
    <w:p w14:paraId="517912F1">
      <w:pPr>
        <w:spacing w:line="520" w:lineRule="exact"/>
        <w:ind w:firstLine="560" w:firstLineChars="200"/>
        <w:rPr>
          <w:rFonts w:hint="eastAsia" w:ascii="仿宋" w:hAnsi="仿宋" w:eastAsia="仿宋" w:cs="仿宋"/>
          <w:color w:val="333333"/>
          <w:kern w:val="0"/>
          <w:sz w:val="28"/>
          <w:szCs w:val="28"/>
          <w:lang w:val="en-US" w:eastAsia="zh-CN"/>
        </w:rPr>
      </w:pPr>
      <w:r>
        <w:rPr>
          <w:rFonts w:hint="eastAsia" w:ascii="仿宋" w:hAnsi="仿宋" w:eastAsia="仿宋" w:cs="仿宋"/>
          <w:color w:val="333333"/>
          <w:kern w:val="0"/>
          <w:sz w:val="28"/>
          <w:szCs w:val="28"/>
          <w:lang w:val="en-US" w:eastAsia="zh-CN"/>
        </w:rPr>
        <w:t>2025年以来，在县委、县政府的坚强领导下，在市文旅广体局的精心指导下，道县文旅广体局凝心聚力谋发展，开拓进取破难题，迎难而上开新局，全县文旅广体事业取得明显成效，道州龙船赛事火爆出圈，道州龙船划出道县，划进湘超，划入潇湘大地老百姓心里。道县文旅广体工作守正创新，取得了文物保护“实”起来、文旅活动“火”起来、文旅项目“强”起来、文旅发展“活”起来、文旅市场“好”起来的阶段成效。全县2025年接待游客总人数573.3万人次，同比增长10.3%；旅游业综合收入实现63.4亿元，同比增长10.2%；接受文化场馆服务次数预计四季度达到337万人次，排全市第三；道县体育工作荣获2021-2024年度全国群众体育先进单位。</w:t>
      </w:r>
    </w:p>
    <w:p w14:paraId="4AD309AD">
      <w:pPr>
        <w:spacing w:line="520" w:lineRule="exact"/>
        <w:ind w:firstLine="560" w:firstLineChars="200"/>
        <w:rPr>
          <w:rFonts w:hint="eastAsia" w:ascii="仿宋" w:hAnsi="仿宋" w:eastAsia="仿宋" w:cs="仿宋"/>
          <w:color w:val="333333"/>
          <w:kern w:val="0"/>
          <w:sz w:val="28"/>
          <w:szCs w:val="28"/>
          <w:lang w:val="en-US" w:eastAsia="zh-CN"/>
        </w:rPr>
      </w:pPr>
      <w:r>
        <w:rPr>
          <w:rFonts w:hint="eastAsia" w:ascii="仿宋" w:hAnsi="仿宋" w:eastAsia="仿宋" w:cs="仿宋"/>
          <w:color w:val="333333"/>
          <w:kern w:val="0"/>
          <w:sz w:val="28"/>
          <w:szCs w:val="28"/>
          <w:lang w:val="en-US" w:eastAsia="zh-CN"/>
        </w:rPr>
        <w:t>一、2025年工作举措及成效</w:t>
      </w:r>
    </w:p>
    <w:p w14:paraId="7CA35169">
      <w:pPr>
        <w:spacing w:line="520" w:lineRule="exact"/>
        <w:ind w:firstLine="560" w:firstLineChars="200"/>
        <w:rPr>
          <w:rFonts w:hint="default" w:ascii="仿宋" w:hAnsi="仿宋" w:eastAsia="仿宋" w:cs="仿宋"/>
          <w:color w:val="333333"/>
          <w:kern w:val="0"/>
          <w:sz w:val="28"/>
          <w:szCs w:val="28"/>
          <w:lang w:val="en-US" w:eastAsia="zh-CN"/>
        </w:rPr>
      </w:pPr>
      <w:r>
        <w:rPr>
          <w:rFonts w:hint="eastAsia" w:ascii="仿宋" w:hAnsi="仿宋" w:eastAsia="仿宋" w:cs="仿宋"/>
          <w:color w:val="333333"/>
          <w:kern w:val="0"/>
          <w:sz w:val="28"/>
          <w:szCs w:val="28"/>
          <w:lang w:val="en-US" w:eastAsia="zh-CN"/>
        </w:rPr>
        <w:t>1.精心组织，文旅活动“火”起来。龙船赛事出彩出圈，5月24日—30日，道县成功举办了中国龙舟公开赛、国家非遗道州龙船赛、超级联赛等三大赛事和“千年文脉”“家国情怀”“人间烟火”等三场无人机灯光秀表演。整个活动全网阅读总量15.3亿+，点赞量3800W+，线上线下均引起轰动。赛事期间道县新增游客达80万人次。文体活动引发热潮，开展了国家非遗道州龙船赛文化体育活动月活动，策划组织了“百龙出征、百艺争辉、百龙故事”等20个“百”100场活动。组织举办了永州市京剧协会（道县）第八届京剧艺术节、“健康道县·舞动未来”2025年道县全民健身舞蹈（广场舞）大赛。成功举办道县半程马拉松赛活动，参赛运动员3500人。承办永州市2025年“体彩杯”乒乓球赛，协办永州市职工运动会第二届“市监杯”篮球友谊赛。文体表演助力湘超。10月25日至26日，6条道州龙船和100名“船票”划手31个小时，300里水路，200万关注，乘风破浪前往永州市体育中心助力“湘超”。道县《百龙出征》《故乡的云》《永恒的丰碑》等节目在“湘超”永州主场进行3场精彩表演。组织开展“吾道南来·一眼万年”全国知名画家永州采风作品展和“龙门票”活动。12月20日、12月27日、12月30日，在县文体中心组织湘超永州VS长沙、永州队VS常德队道县第三现场及湘超冠军永州队全体教练员、球员球迷见面会，三个现场观众达10万余人。</w:t>
      </w:r>
    </w:p>
    <w:p w14:paraId="60FF6087">
      <w:pPr>
        <w:spacing w:line="520" w:lineRule="exact"/>
        <w:ind w:firstLine="560" w:firstLineChars="200"/>
        <w:rPr>
          <w:rFonts w:hint="eastAsia" w:ascii="仿宋" w:hAnsi="仿宋" w:eastAsia="仿宋" w:cs="仿宋"/>
          <w:color w:val="333333"/>
          <w:kern w:val="0"/>
          <w:sz w:val="28"/>
          <w:szCs w:val="28"/>
          <w:lang w:val="en-US" w:eastAsia="zh-CN"/>
        </w:rPr>
      </w:pPr>
      <w:r>
        <w:rPr>
          <w:rFonts w:hint="eastAsia" w:ascii="仿宋" w:hAnsi="仿宋" w:eastAsia="仿宋" w:cs="仿宋"/>
          <w:color w:val="333333"/>
          <w:kern w:val="0"/>
          <w:sz w:val="28"/>
          <w:szCs w:val="28"/>
          <w:lang w:val="en-US" w:eastAsia="zh-CN"/>
        </w:rPr>
        <w:t>2.精准招商，文旅项目“强”起来。想方设法招商引资，精心策划</w:t>
      </w:r>
      <w:r>
        <w:rPr>
          <w:rFonts w:hint="eastAsia" w:ascii="仿宋" w:hAnsi="仿宋" w:eastAsia="仿宋" w:cs="仿宋"/>
          <w:color w:val="333333"/>
          <w:kern w:val="0"/>
          <w:sz w:val="28"/>
          <w:szCs w:val="28"/>
        </w:rPr>
        <w:t>道道县幸福里夜经济街区项目等18个项目，被列入《2025第四届省旅发大会招商手册</w:t>
      </w:r>
      <w:r>
        <w:rPr>
          <w:rFonts w:hint="eastAsia" w:ascii="仿宋" w:hAnsi="仿宋" w:eastAsia="仿宋" w:cs="仿宋"/>
          <w:color w:val="333333"/>
          <w:kern w:val="0"/>
          <w:sz w:val="28"/>
          <w:szCs w:val="28"/>
          <w:lang w:eastAsia="zh-CN"/>
        </w:rPr>
        <w:t>》。</w:t>
      </w:r>
      <w:r>
        <w:rPr>
          <w:rFonts w:hint="eastAsia" w:ascii="仿宋" w:hAnsi="仿宋" w:eastAsia="仿宋" w:cs="仿宋"/>
          <w:color w:val="333333"/>
          <w:kern w:val="0"/>
          <w:sz w:val="28"/>
          <w:szCs w:val="28"/>
          <w:lang w:val="en-US" w:eastAsia="zh-CN"/>
        </w:rPr>
        <w:t>积极抓好了道县文体公园运营、道州萌宠乐园、清塘（营乐源）漂流、丽枫花园度假酒店等4个文旅项目招商引资。完成福丰禾润农旅产业园等4个文旅项目固定资产入统。千方百计争资立项，</w:t>
      </w:r>
      <w:r>
        <w:rPr>
          <w:rFonts w:hint="eastAsia" w:ascii="仿宋" w:hAnsi="仿宋" w:eastAsia="仿宋" w:cs="仿宋"/>
          <w:color w:val="333333"/>
          <w:kern w:val="0"/>
          <w:sz w:val="28"/>
          <w:szCs w:val="28"/>
        </w:rPr>
        <w:t>道县国家非遗龙船中心建设</w:t>
      </w:r>
      <w:r>
        <w:rPr>
          <w:rFonts w:hint="eastAsia" w:ascii="仿宋" w:hAnsi="仿宋" w:eastAsia="仿宋" w:cs="仿宋"/>
          <w:color w:val="333333"/>
          <w:kern w:val="0"/>
          <w:sz w:val="28"/>
          <w:szCs w:val="28"/>
          <w:lang w:eastAsia="zh-CN"/>
        </w:rPr>
        <w:t>、</w:t>
      </w:r>
      <w:r>
        <w:rPr>
          <w:rFonts w:hint="eastAsia" w:ascii="仿宋" w:hAnsi="仿宋" w:eastAsia="仿宋" w:cs="仿宋"/>
          <w:color w:val="333333"/>
          <w:kern w:val="0"/>
          <w:sz w:val="28"/>
          <w:szCs w:val="28"/>
        </w:rPr>
        <w:t>月岩景区创AAA级景区</w:t>
      </w:r>
      <w:r>
        <w:rPr>
          <w:rFonts w:hint="eastAsia" w:ascii="仿宋" w:hAnsi="仿宋" w:eastAsia="仿宋" w:cs="仿宋"/>
          <w:color w:val="333333"/>
          <w:kern w:val="0"/>
          <w:sz w:val="28"/>
          <w:szCs w:val="28"/>
          <w:lang w:eastAsia="zh-CN"/>
        </w:rPr>
        <w:t>、</w:t>
      </w:r>
      <w:r>
        <w:rPr>
          <w:rFonts w:hint="eastAsia" w:ascii="仿宋" w:hAnsi="仿宋" w:eastAsia="仿宋" w:cs="仿宋"/>
          <w:color w:val="333333"/>
          <w:kern w:val="0"/>
          <w:sz w:val="28"/>
          <w:szCs w:val="28"/>
        </w:rPr>
        <w:t>玉蟾岩景区基础设施建设项目已到位专项债资金1</w:t>
      </w:r>
      <w:r>
        <w:rPr>
          <w:rFonts w:hint="eastAsia" w:ascii="仿宋" w:hAnsi="仿宋" w:eastAsia="仿宋" w:cs="仿宋"/>
          <w:color w:val="333333"/>
          <w:kern w:val="0"/>
          <w:sz w:val="28"/>
          <w:szCs w:val="28"/>
          <w:lang w:val="en-US" w:eastAsia="zh-CN"/>
        </w:rPr>
        <w:t>85</w:t>
      </w:r>
      <w:r>
        <w:rPr>
          <w:rFonts w:hint="eastAsia" w:ascii="仿宋" w:hAnsi="仿宋" w:eastAsia="仿宋" w:cs="仿宋"/>
          <w:color w:val="333333"/>
          <w:kern w:val="0"/>
          <w:sz w:val="28"/>
          <w:szCs w:val="28"/>
        </w:rPr>
        <w:t>00万元</w:t>
      </w:r>
      <w:r>
        <w:rPr>
          <w:rFonts w:hint="eastAsia" w:ascii="仿宋" w:hAnsi="仿宋" w:eastAsia="仿宋" w:cs="仿宋"/>
          <w:color w:val="333333"/>
          <w:kern w:val="0"/>
          <w:sz w:val="28"/>
          <w:szCs w:val="28"/>
          <w:lang w:eastAsia="zh-CN"/>
        </w:rPr>
        <w:t>。</w:t>
      </w:r>
      <w:r>
        <w:rPr>
          <w:rFonts w:hint="eastAsia" w:ascii="仿宋" w:hAnsi="仿宋" w:eastAsia="仿宋" w:cs="仿宋"/>
          <w:color w:val="333333"/>
          <w:kern w:val="0"/>
          <w:sz w:val="28"/>
          <w:szCs w:val="28"/>
          <w:lang w:val="en-US" w:eastAsia="zh-CN"/>
        </w:rPr>
        <w:t>尽心竭力建设项目，国家非遗龙船中心建设一期项目完工。福丰禾润农旅产业园完成投入6000万元，丽枫花园度假酒店累计投入约3800万元，玉蟾岩遗址基础设施建设项目（S347寿雁至清塘路面改善工程、Y145白石寨至玉蟾岩通景路）和围栏防护保护工程开工建设。</w:t>
      </w:r>
    </w:p>
    <w:p w14:paraId="24274F4E">
      <w:pPr>
        <w:spacing w:line="520" w:lineRule="exact"/>
        <w:ind w:firstLine="560" w:firstLineChars="200"/>
        <w:rPr>
          <w:rFonts w:hint="eastAsia" w:ascii="仿宋" w:hAnsi="仿宋" w:eastAsia="仿宋" w:cs="仿宋"/>
          <w:color w:val="333333"/>
          <w:kern w:val="0"/>
          <w:sz w:val="28"/>
          <w:szCs w:val="28"/>
          <w:lang w:val="en-US" w:eastAsia="zh-CN"/>
        </w:rPr>
      </w:pPr>
      <w:r>
        <w:rPr>
          <w:rFonts w:hint="eastAsia" w:ascii="仿宋" w:hAnsi="仿宋" w:eastAsia="仿宋" w:cs="仿宋"/>
          <w:color w:val="333333"/>
          <w:kern w:val="0"/>
          <w:sz w:val="28"/>
          <w:szCs w:val="28"/>
          <w:lang w:val="en-US" w:eastAsia="zh-CN"/>
        </w:rPr>
        <w:t>3.精密布局，文旅发展“活”起来。深化文旅市场运营改革，制定并推进《道县文生旅市场化运营体系改革方案》，通过七个方面体系改革，全面推动文生旅市场化运营。谋划“十五五”文旅项目，立足“始祖文化、稻作文化、祭祀文化、龙船文化、理学文化、书法文化、红色文化”等七大特色文化底蕴和中国理学文化之乡、中国红色文化之乡、中国龙舟之乡、中华诗词之乡等文化品牌，积极谋划天下稻源-中华文明探源大遗址保护展示等33个“十五五”文旅项目规划，打造历史文化旅游名城。全面推进文旅融合发展，推出22条助力湘超惠民活动举措，评选了12个道县旅游接待品牌形象店。组织开展“我的树湘情”红色研学活动。开展全县旅游资源点普查1316个，拟评定5级旅游资源22处，4级旅游资源61处。道县选送作品《铁血师长陈树湘》和《爱莲说》荣获湖南省“阅见湖湘”2025年经典阅读大赛总决赛两个银奖。</w:t>
      </w:r>
    </w:p>
    <w:p w14:paraId="2DE55F96">
      <w:pPr>
        <w:spacing w:line="520" w:lineRule="exact"/>
        <w:ind w:firstLine="560" w:firstLineChars="200"/>
        <w:rPr>
          <w:rFonts w:hint="eastAsia" w:ascii="仿宋" w:hAnsi="仿宋" w:eastAsia="仿宋" w:cs="仿宋"/>
          <w:color w:val="333333"/>
          <w:kern w:val="0"/>
          <w:sz w:val="28"/>
          <w:szCs w:val="28"/>
          <w:lang w:val="en-US" w:eastAsia="zh-CN"/>
        </w:rPr>
      </w:pPr>
      <w:r>
        <w:rPr>
          <w:rFonts w:hint="eastAsia" w:ascii="仿宋" w:hAnsi="仿宋" w:eastAsia="仿宋" w:cs="仿宋"/>
          <w:color w:val="333333"/>
          <w:kern w:val="0"/>
          <w:sz w:val="28"/>
          <w:szCs w:val="28"/>
          <w:lang w:val="en-US" w:eastAsia="zh-CN"/>
        </w:rPr>
        <w:t>4.精细行动，文旅市场“好”起来。周密布局专项整治，开展了旅游行业导游乱象、强制消费整治工作。整治道县爱莲南路违规销售“卫星锅”4处，拆除3处。积极行动提升质量，对道县3家景区、1家旅行社和5家旅行社网点进行全面整治排查，5家已整改到位。规范旅游行业市场，处理旅游投诉12起，景区投诉8起，旅行社投诉2起，旅行社网点退费投诉2起，查处游艺室违规经营案件1起，召开文化市场依法经营和安全生产专题会议4次，法律法规培训3场，发放安全生产宣传资料3000余份，检查文旅经营单位40家次。</w:t>
      </w:r>
    </w:p>
    <w:p w14:paraId="2D3D32BE">
      <w:pPr>
        <w:spacing w:line="520" w:lineRule="exact"/>
        <w:ind w:firstLine="560" w:firstLineChars="200"/>
        <w:rPr>
          <w:rFonts w:hint="eastAsia" w:ascii="仿宋" w:hAnsi="仿宋" w:eastAsia="仿宋" w:cs="仿宋"/>
          <w:color w:val="333333"/>
          <w:kern w:val="0"/>
          <w:sz w:val="28"/>
          <w:szCs w:val="28"/>
          <w:lang w:val="en-US" w:eastAsia="zh-CN"/>
        </w:rPr>
      </w:pPr>
      <w:r>
        <w:rPr>
          <w:rFonts w:hint="eastAsia" w:ascii="仿宋" w:hAnsi="仿宋" w:eastAsia="仿宋" w:cs="仿宋"/>
          <w:color w:val="333333"/>
          <w:kern w:val="0"/>
          <w:sz w:val="28"/>
          <w:szCs w:val="28"/>
          <w:lang w:val="en-US" w:eastAsia="zh-CN"/>
        </w:rPr>
        <w:t>5.精确巡查，文物保护“实”起来。目前全县共有文物点236个，其中国保单位4个、省保单位14个，市保单位12个，县保单位71个，县级以上文保单位101个。全面落实文物安全责任，召开了26次局党组会议，其中有21次会议安排部署了文物保护工作，组织召开了全县文物保护工作会议。切实加强全县文物巡查，开展安全巡查12批次，排查出31处文物保护单位存在各种问题85处，及时下发交办函23份，要求及时整改到位。有序推进全国“四普”工作，完成复核数量为185处，复核完成率为100％，新发现文物点已完成登记52处。制作县保以上标识标牌和道县文物安全直接责任人公示牌40余处128块，张贴文物保护宣传标语1200余条。抓好文保单位争资争项，向省市申报了周凤山、周岐山故居修缮工程项目等9个文物保护修缮项目和消防工程项目。</w:t>
      </w:r>
    </w:p>
    <w:p w14:paraId="3984EB19">
      <w:pPr>
        <w:spacing w:line="520" w:lineRule="exact"/>
        <w:ind w:firstLine="560" w:firstLineChars="200"/>
        <w:rPr>
          <w:rFonts w:hint="eastAsia" w:ascii="仿宋" w:hAnsi="仿宋" w:eastAsia="仿宋" w:cs="仿宋"/>
          <w:color w:val="333333"/>
          <w:kern w:val="0"/>
          <w:sz w:val="28"/>
          <w:szCs w:val="28"/>
          <w:lang w:val="en-US" w:eastAsia="zh-CN"/>
        </w:rPr>
      </w:pPr>
      <w:r>
        <w:rPr>
          <w:rFonts w:hint="eastAsia" w:ascii="仿宋" w:hAnsi="仿宋" w:eastAsia="仿宋" w:cs="仿宋"/>
          <w:color w:val="333333"/>
          <w:kern w:val="0"/>
          <w:sz w:val="28"/>
          <w:szCs w:val="28"/>
          <w:lang w:val="en-US" w:eastAsia="zh-CN"/>
        </w:rPr>
        <w:t>二、当前存在问题与困难</w:t>
      </w:r>
    </w:p>
    <w:p w14:paraId="61578704">
      <w:pPr>
        <w:spacing w:line="520" w:lineRule="exact"/>
        <w:ind w:firstLine="560" w:firstLineChars="200"/>
        <w:rPr>
          <w:rFonts w:hint="eastAsia" w:ascii="仿宋" w:hAnsi="仿宋" w:eastAsia="仿宋" w:cs="仿宋"/>
          <w:color w:val="333333"/>
          <w:kern w:val="0"/>
          <w:sz w:val="28"/>
          <w:szCs w:val="28"/>
          <w:lang w:val="en-US" w:eastAsia="zh-CN"/>
        </w:rPr>
      </w:pPr>
      <w:r>
        <w:rPr>
          <w:rFonts w:hint="eastAsia" w:ascii="仿宋" w:hAnsi="仿宋" w:eastAsia="仿宋" w:cs="仿宋"/>
          <w:color w:val="333333"/>
          <w:kern w:val="0"/>
          <w:sz w:val="28"/>
          <w:szCs w:val="28"/>
          <w:lang w:val="en-US" w:eastAsia="zh-CN"/>
        </w:rPr>
        <w:t>一是体制机制有待优化。全县文旅系统各单位人力、物力、财力、智力、合力有效整合不够，没有形成整体力量。二是文保经费有待增加。文物普查经费、文物保护事业经费很少，部分道州古城墙、一些古建筑年久失修，现状堪忧。三是文保人才有待配强。文物保护专业人才缺乏，道县考古研究和文物保护中心目前空编2人，道县博物馆与文保中心共用编制。四是项目债务有待化解。据全口径债务统计，2019年至2023年共拖欠27个项目建设账款（含货物类、服务类、应付工程款）2634.668万元。五是文旅品牌有待提升。“吃、住、行、游、购、娱”等要素还不全，景区运营机制还不顺畅，文旅效益还不高。六是办公场所有待整合。全民健身服务中心租用民房办公，祁剧工作室、图书馆办公地点为危房。</w:t>
      </w:r>
    </w:p>
    <w:p w14:paraId="6B9E7DD7">
      <w:pPr>
        <w:spacing w:line="520" w:lineRule="exact"/>
        <w:ind w:firstLine="560" w:firstLineChars="200"/>
        <w:rPr>
          <w:rFonts w:hint="eastAsia" w:ascii="仿宋" w:hAnsi="仿宋" w:eastAsia="仿宋" w:cs="仿宋"/>
          <w:color w:val="333333"/>
          <w:kern w:val="0"/>
          <w:sz w:val="28"/>
          <w:szCs w:val="28"/>
          <w:lang w:val="en-US" w:eastAsia="zh-CN"/>
        </w:rPr>
      </w:pPr>
      <w:r>
        <w:rPr>
          <w:rFonts w:hint="eastAsia" w:ascii="仿宋" w:hAnsi="仿宋" w:eastAsia="仿宋" w:cs="仿宋"/>
          <w:color w:val="333333"/>
          <w:kern w:val="0"/>
          <w:sz w:val="28"/>
          <w:szCs w:val="28"/>
          <w:lang w:val="en-US" w:eastAsia="zh-CN"/>
        </w:rPr>
        <w:t>三、2026年重点工作计划</w:t>
      </w:r>
    </w:p>
    <w:p w14:paraId="53E4BADF">
      <w:pPr>
        <w:spacing w:line="520" w:lineRule="exact"/>
        <w:ind w:firstLine="560" w:firstLineChars="200"/>
        <w:rPr>
          <w:rFonts w:hint="eastAsia" w:ascii="仿宋" w:hAnsi="仿宋" w:eastAsia="仿宋" w:cs="仿宋"/>
          <w:color w:val="333333"/>
          <w:kern w:val="0"/>
          <w:sz w:val="28"/>
          <w:szCs w:val="28"/>
          <w:lang w:val="en-US" w:eastAsia="zh-CN"/>
        </w:rPr>
      </w:pPr>
      <w:r>
        <w:rPr>
          <w:rFonts w:hint="eastAsia" w:ascii="仿宋" w:hAnsi="仿宋" w:eastAsia="仿宋" w:cs="仿宋"/>
          <w:color w:val="333333"/>
          <w:kern w:val="0"/>
          <w:sz w:val="28"/>
          <w:szCs w:val="28"/>
          <w:lang w:val="en-US" w:eastAsia="zh-CN"/>
        </w:rPr>
        <w:t>1.深化文旅改革，提升凝聚力。按照县委、县政府安排，深入组织开展文生旅市场化运营体系改革，集中全县文旅系统人力、物力、财力、智力、能力、合力等资源，分类推进周敦颐故里、陈树湘烈士纪念馆、旅发中心、全民健身中心、博物馆、文化馆、图书馆等文化事业单位深化内部改革,完善祁剧团等文艺院团建设发展机制，完善改进文生旅公司市场化运营机制，推动构建本土非物质文化遗产传承创新和繁荣发展体系。完善公共文化服务体系，落实优质文化资源直达基层机制，建立社会力量参与公共文化服务引导机制，全面提升文化馆、图书馆、博物馆等全县人均接受文化场馆服务次数和质量。建立文旅领域“顽瘴痼疾”治理常态长效机制。加强文旅市场监管，完善旅游市场12345等投诉处理机制，构建高效旅游服务质量体系。加强全县第四次文物普查和全县旅游资源普查。推进“两个融合”，用好道县红古绿“三色辉映”文化资源，加快“文化+科技、文化+旅游、文化+体育”融合发展，着力打造历史文化旅游名城。</w:t>
      </w:r>
    </w:p>
    <w:p w14:paraId="289E0A2F">
      <w:pPr>
        <w:spacing w:line="520" w:lineRule="exact"/>
        <w:ind w:firstLine="560" w:firstLineChars="200"/>
        <w:rPr>
          <w:rFonts w:hint="eastAsia" w:ascii="仿宋" w:hAnsi="仿宋" w:eastAsia="仿宋" w:cs="仿宋"/>
          <w:color w:val="333333"/>
          <w:kern w:val="0"/>
          <w:sz w:val="28"/>
          <w:szCs w:val="28"/>
          <w:lang w:val="en-US" w:eastAsia="zh-CN"/>
        </w:rPr>
      </w:pPr>
      <w:r>
        <w:rPr>
          <w:rFonts w:hint="eastAsia" w:ascii="仿宋" w:hAnsi="仿宋" w:eastAsia="仿宋" w:cs="仿宋"/>
          <w:color w:val="333333"/>
          <w:kern w:val="0"/>
          <w:sz w:val="28"/>
          <w:szCs w:val="28"/>
          <w:lang w:val="en-US" w:eastAsia="zh-CN"/>
        </w:rPr>
        <w:t>2.举办特色活动，提升吸引力。积极拓展永州市道县“湘超冠军城·诚邀天下客”文旅促销引流活动思路，以“湘超冠军”为核心引爆点，联动道县及永州优质文旅资源，打造“体育荣耀+文旅融合+深度体验+市场营销”四位一体的现象级文旅营销活动。通过“诚意引流、区域联动、爆点塑造、全域传播”四轮驱动，将“湘超冠军”的赛事荣耀，转化为道县文旅产业高质量发展的澎湃动能，最终实现“因一场比赛，爱上一座城”的深层营销目标，达到让“流量变留量、游客变常客、景点变热点、走红变常红”的文旅融合效果。积极配合道州脐橙“橙心橙意”千里诚挚回礼江苏十三个兄弟城市及“湖北黄石江苏十四妹”友城活动，策划好这场跨越山河的“感恩橙”“冠军橙”“道州龙船”以礼相待、双向奔赴联谊活动。广泛动员各乡镇街道、各景区景点主动承接湘超冠军流量，提升美誉度。积极主动与江苏省文旅体育部门及南京、苏州、无锡、扬州等市对口部门进行工作交流，争取纳入其对外文化旅游推广体系，并邀请组织球队、观赛团参赛观赛。积极组织2026CMG 群众足球邀请赛（湖南永州）有关理学文艺节目，认真筹办2026年永州队VS赣州队足球友谊赛（道县赛区）赛事组织工作，策划邀请湘超冠军永州队队员作为“道县文旅推介官”，参与道州龙船赛百龙出征、百龙点睛、百龙竞渡、百龙争冠等相关活动，努力提高道县的影响力和美誉度。围绕打造全省文化旅游重点县战略，聚焦文旅品牌的持续营销推广，聚焦文农体旅融合发展，充分利用春、夏、秋、冬四季美景，策划开展“春赏花、夏品俗、秋采果、冬拉练”为主题的四季文旅活动。广聚众智打造“断肠明志·绝对忠诚”红色教育研学品牌、“敦颐故里·理学源乡”周敦颐理学文化研学品牌、“国家非遗、世界纪录、民族精粹、龙舟之乡”道州龙船民俗品牌，继续申办中国龙舟公开赛。组织策划“我的树湘志”红色研学活动，举办丰富多样的群众文化体育活动。</w:t>
      </w:r>
    </w:p>
    <w:p w14:paraId="2F00F5C6">
      <w:pPr>
        <w:spacing w:line="520" w:lineRule="exact"/>
        <w:ind w:firstLine="560" w:firstLineChars="200"/>
        <w:rPr>
          <w:rFonts w:hint="eastAsia" w:ascii="仿宋" w:hAnsi="仿宋" w:eastAsia="仿宋" w:cs="仿宋"/>
          <w:color w:val="333333"/>
          <w:kern w:val="0"/>
          <w:sz w:val="28"/>
          <w:szCs w:val="28"/>
          <w:lang w:val="en-US" w:eastAsia="zh-CN"/>
        </w:rPr>
      </w:pPr>
      <w:r>
        <w:rPr>
          <w:rFonts w:hint="eastAsia" w:ascii="仿宋" w:hAnsi="仿宋" w:eastAsia="仿宋" w:cs="仿宋"/>
          <w:color w:val="333333"/>
          <w:kern w:val="0"/>
          <w:sz w:val="28"/>
          <w:szCs w:val="28"/>
          <w:lang w:val="en-US" w:eastAsia="zh-CN"/>
        </w:rPr>
        <w:t>3.强化文旅融合，提升运营力。进一步修改</w:t>
      </w:r>
      <w:r>
        <w:rPr>
          <w:rFonts w:hint="eastAsia" w:ascii="仿宋" w:hAnsi="仿宋" w:eastAsia="仿宋" w:cs="仿宋"/>
          <w:color w:val="333333"/>
          <w:kern w:val="0"/>
          <w:sz w:val="28"/>
          <w:szCs w:val="28"/>
        </w:rPr>
        <w:t>完善《道县旅游产业发展规划（202</w:t>
      </w:r>
      <w:r>
        <w:rPr>
          <w:rFonts w:hint="eastAsia" w:ascii="仿宋" w:hAnsi="仿宋" w:eastAsia="仿宋" w:cs="仿宋"/>
          <w:color w:val="333333"/>
          <w:kern w:val="0"/>
          <w:sz w:val="28"/>
          <w:szCs w:val="28"/>
          <w:lang w:val="en-US" w:eastAsia="zh-CN"/>
        </w:rPr>
        <w:t>6</w:t>
      </w:r>
      <w:r>
        <w:rPr>
          <w:rFonts w:hint="eastAsia" w:ascii="仿宋" w:hAnsi="仿宋" w:eastAsia="仿宋" w:cs="仿宋"/>
          <w:color w:val="333333"/>
          <w:kern w:val="0"/>
          <w:sz w:val="28"/>
          <w:szCs w:val="28"/>
        </w:rPr>
        <w:t>—203</w:t>
      </w:r>
      <w:r>
        <w:rPr>
          <w:rFonts w:hint="eastAsia" w:ascii="仿宋" w:hAnsi="仿宋" w:eastAsia="仿宋" w:cs="仿宋"/>
          <w:color w:val="333333"/>
          <w:kern w:val="0"/>
          <w:sz w:val="28"/>
          <w:szCs w:val="28"/>
          <w:lang w:val="en-US" w:eastAsia="zh-CN"/>
        </w:rPr>
        <w:t>6</w:t>
      </w:r>
      <w:r>
        <w:rPr>
          <w:rFonts w:hint="eastAsia" w:ascii="仿宋" w:hAnsi="仿宋" w:eastAsia="仿宋" w:cs="仿宋"/>
          <w:color w:val="333333"/>
          <w:kern w:val="0"/>
          <w:sz w:val="28"/>
          <w:szCs w:val="28"/>
        </w:rPr>
        <w:t>年）》，</w:t>
      </w:r>
      <w:r>
        <w:rPr>
          <w:rFonts w:hint="eastAsia" w:ascii="仿宋" w:hAnsi="仿宋" w:eastAsia="仿宋" w:cs="仿宋"/>
          <w:color w:val="333333"/>
          <w:kern w:val="0"/>
          <w:sz w:val="28"/>
          <w:szCs w:val="28"/>
          <w:lang w:val="en-US" w:eastAsia="zh-CN"/>
        </w:rPr>
        <w:t>结合实际、</w:t>
      </w:r>
      <w:r>
        <w:rPr>
          <w:rFonts w:hint="eastAsia" w:ascii="仿宋" w:hAnsi="仿宋" w:eastAsia="仿宋" w:cs="仿宋"/>
          <w:color w:val="333333"/>
          <w:kern w:val="0"/>
          <w:sz w:val="28"/>
          <w:szCs w:val="28"/>
        </w:rPr>
        <w:t>因地制宜</w:t>
      </w:r>
      <w:r>
        <w:rPr>
          <w:rFonts w:hint="eastAsia" w:ascii="仿宋" w:hAnsi="仿宋" w:eastAsia="仿宋" w:cs="仿宋"/>
          <w:color w:val="333333"/>
          <w:kern w:val="0"/>
          <w:sz w:val="28"/>
          <w:szCs w:val="28"/>
          <w:lang w:eastAsia="zh-CN"/>
        </w:rPr>
        <w:t>、</w:t>
      </w:r>
      <w:r>
        <w:rPr>
          <w:rFonts w:hint="eastAsia" w:ascii="仿宋" w:hAnsi="仿宋" w:eastAsia="仿宋" w:cs="仿宋"/>
          <w:color w:val="333333"/>
          <w:kern w:val="0"/>
          <w:sz w:val="28"/>
          <w:szCs w:val="28"/>
          <w:lang w:val="en-US" w:eastAsia="zh-CN"/>
        </w:rPr>
        <w:t>有机整合、守正创新</w:t>
      </w:r>
      <w:r>
        <w:rPr>
          <w:rFonts w:hint="eastAsia" w:ascii="仿宋" w:hAnsi="仿宋" w:eastAsia="仿宋" w:cs="仿宋"/>
          <w:color w:val="333333"/>
          <w:kern w:val="0"/>
          <w:sz w:val="28"/>
          <w:szCs w:val="28"/>
        </w:rPr>
        <w:t>，以“核心聚力—龙头引领—串珠成链—辐射成片”的空间规划策略，初步形成道县旅游产</w:t>
      </w:r>
      <w:r>
        <w:rPr>
          <w:rFonts w:hint="eastAsia" w:ascii="仿宋" w:hAnsi="仿宋" w:eastAsia="仿宋" w:cs="仿宋"/>
          <w:color w:val="333333"/>
          <w:kern w:val="0"/>
          <w:sz w:val="28"/>
          <w:szCs w:val="28"/>
          <w:lang w:val="en-US" w:eastAsia="zh-CN"/>
        </w:rPr>
        <w:t>业</w:t>
      </w:r>
      <w:r>
        <w:rPr>
          <w:rFonts w:hint="eastAsia" w:ascii="仿宋" w:hAnsi="仿宋" w:eastAsia="仿宋" w:cs="仿宋"/>
          <w:color w:val="333333"/>
          <w:kern w:val="0"/>
          <w:sz w:val="28"/>
          <w:szCs w:val="28"/>
        </w:rPr>
        <w:t>体系。</w:t>
      </w:r>
      <w:r>
        <w:rPr>
          <w:rFonts w:hint="eastAsia" w:ascii="仿宋" w:hAnsi="仿宋" w:eastAsia="仿宋" w:cs="仿宋"/>
          <w:color w:val="333333"/>
          <w:kern w:val="0"/>
          <w:sz w:val="28"/>
          <w:szCs w:val="28"/>
          <w:lang w:val="en-US" w:eastAsia="zh-CN"/>
        </w:rPr>
        <w:t>科学推出道县精品旅游线路，整体建设“陈树湘红色文化园-玉蟾岩稻作文化遗址公园-月岩景区-敦颐故里-国家非遗龙船中心-道州古城-绍基故里”精品旅游环线，精心建设景点景区连接线路，持续做实全国著名党建研学旅游目的地和世界理学圣地。加强与兄弟县之间引流引客，着力抓好南岭联盟篮球赛、四省十九县传承陈树湘“绝对忠诚”精神联盟及六省二十六县市周敦颐理学文化城市联盟等平台合作互推。完善文旅产业链，促进全县文旅“吃、住、行、游、购、娱”旅游六要素和“导、安、宣、待”等配套要素更趋合理完备。深入开展提升旅游优质服务“十心行动”（即“吃之放心、住之暖心、行之顺心、游之舒心、购之称心、娱之开心、导之热心、演之安心、宣之诚心、待之真心”），努力打造“人人都是投资环境、个个都是道县形象”良好格局。采取成立文旅行业协会或合作社等方式，促进全县文旅融合高质量发展。</w:t>
      </w:r>
    </w:p>
    <w:p w14:paraId="3D472692">
      <w:pPr>
        <w:spacing w:line="520" w:lineRule="exact"/>
        <w:ind w:firstLine="560" w:firstLineChars="200"/>
        <w:rPr>
          <w:rFonts w:hint="eastAsia" w:ascii="仿宋" w:hAnsi="仿宋" w:eastAsia="仿宋" w:cs="仿宋"/>
          <w:color w:val="333333"/>
          <w:kern w:val="0"/>
          <w:sz w:val="28"/>
          <w:szCs w:val="28"/>
          <w:lang w:val="en-US" w:eastAsia="zh-CN"/>
        </w:rPr>
      </w:pPr>
      <w:r>
        <w:rPr>
          <w:rFonts w:hint="eastAsia" w:ascii="仿宋" w:hAnsi="仿宋" w:eastAsia="仿宋" w:cs="仿宋"/>
          <w:color w:val="333333"/>
          <w:kern w:val="0"/>
          <w:sz w:val="28"/>
          <w:szCs w:val="28"/>
          <w:lang w:val="en-US" w:eastAsia="zh-CN"/>
        </w:rPr>
        <w:t>4.抓实项目建设，提升支撑力。抓好“四上”企业的培育入统工作和企业（项目）统计台账的建立工作。着力抓好文旅产业高质量发展，重点抓好文旅基础设施建设。加大向上争资跑项力度，力争全县向上争资有较大突破。积极抓好道县全民健身体育中心项目、何绍基故里景区基础设施项目等专项债项目建设。精心谋划中国（道县）玉蟾岩稻作遗址文化公园、国家长征文化公园（道县段）红色文化园提质改造项目、幸福里文创园、葫芦岩景区提质升级项目等11类20余个文生旅融合项目上报。抓好道县文体公园运营、道州萌宠乐园、清塘（营乐源）漂流、丽枫花园度假酒店等4个文旅招商引资项目建设。</w:t>
      </w:r>
    </w:p>
    <w:p w14:paraId="035D3E0A">
      <w:pPr>
        <w:spacing w:line="520" w:lineRule="exact"/>
        <w:ind w:firstLine="560" w:firstLineChars="200"/>
        <w:rPr>
          <w:rFonts w:hint="eastAsia" w:ascii="仿宋" w:hAnsi="仿宋" w:eastAsia="仿宋" w:cs="仿宋"/>
          <w:color w:val="333333"/>
          <w:kern w:val="0"/>
          <w:sz w:val="28"/>
          <w:szCs w:val="28"/>
          <w:lang w:val="en-US" w:eastAsia="zh-CN"/>
        </w:rPr>
      </w:pPr>
      <w:r>
        <w:rPr>
          <w:rFonts w:hint="eastAsia" w:ascii="仿宋" w:hAnsi="仿宋" w:eastAsia="仿宋" w:cs="仿宋"/>
          <w:color w:val="333333"/>
          <w:kern w:val="0"/>
          <w:sz w:val="28"/>
          <w:szCs w:val="28"/>
          <w:lang w:val="en-US" w:eastAsia="zh-CN"/>
        </w:rPr>
        <w:t>5.积极争资争项，提升发展力。充分发挥我县文化、旅游、文物和非遗资源丰富，特别是革命文物保护示范县的优势，抓住创建湘江战役融合发展示范片的机遇，积极向上争取项目和资金。着力抓好玉蟾岩湖南省第一批大遗址公园，摩崖石刻申遗，茶园渡口、豪福指挥所申报国保，道州风药民俗申报省级非物质文化遗产等工作。加大招商引资力度，精心包装“天下稻源”文创建设项目、道县五星级度假酒店项目、永纺特色文创街开发区项目、潇水“一河两岸”滨水旅游项目、道县幸福里夜经济街区等20余个项目，制作招商引资宣传手册和PPT进行招商引资。争取规上文旅企业突破90个，营业收入增速30%以上，文化体育娱乐业工资总额增速10%以上。</w:t>
      </w:r>
    </w:p>
    <w:p w14:paraId="1FE1CD5F">
      <w:pPr>
        <w:spacing w:line="520" w:lineRule="exact"/>
        <w:ind w:firstLine="560" w:firstLineChars="200"/>
        <w:rPr>
          <w:rFonts w:hint="eastAsia" w:ascii="仿宋" w:hAnsi="仿宋" w:eastAsia="仿宋" w:cs="仿宋"/>
          <w:color w:val="333333"/>
          <w:kern w:val="0"/>
          <w:sz w:val="28"/>
          <w:szCs w:val="28"/>
          <w:lang w:val="en-US" w:eastAsia="zh-CN"/>
        </w:rPr>
      </w:pPr>
      <w:r>
        <w:rPr>
          <w:rFonts w:hint="eastAsia" w:ascii="仿宋" w:hAnsi="仿宋" w:eastAsia="仿宋" w:cs="仿宋"/>
          <w:color w:val="333333"/>
          <w:kern w:val="0"/>
          <w:sz w:val="28"/>
          <w:szCs w:val="28"/>
          <w:lang w:val="en-US" w:eastAsia="zh-CN"/>
        </w:rPr>
        <w:t>6.推进文化惠民，提升引导力。坚持以文塑旅、注重文旅相融，深入挖掘道县“七大特色文化”资源，打造更多文旅融合新产品、新服务、新业态。着力打造理学文化、红色文化和道州龙船文化等七大品牌。统筹好人均接受文化场馆服务次数、人均文化事业费、人均拥有公共文化场馆面积等指标的增长速度。持续推进乡镇文化站达标提质建设，充分发挥基层效能。持续做好中华优秀传统文化进校园、进家庭、进社区，举办“戏曲进乡村”活动，广泛开展“书香道州”“送书下乡”“送戏下乡”等群文品牌活动，不断提升公共文化服务效能。全面推进旅游与生态、体育、农业、康养、教育等产业的融合发展，打造形成“处处有旅游”“时时可旅游”“行行加旅游”“人人享旅游”的全域旅游新格局。实施好“体育惠民工程”。争取实现我县369个行政村体育健身器材覆盖率达到100%，自然村体育健身设施覆盖率达到55%以上，人均体育场地面积数力争达到3.8平方米。</w:t>
      </w:r>
    </w:p>
    <w:p w14:paraId="3C5DA1C4">
      <w:pPr>
        <w:spacing w:line="520" w:lineRule="exact"/>
        <w:ind w:firstLine="560" w:firstLineChars="200"/>
        <w:rPr>
          <w:rFonts w:hint="eastAsia" w:ascii="仿宋" w:hAnsi="仿宋" w:eastAsia="仿宋" w:cs="仿宋"/>
          <w:color w:val="333333"/>
          <w:kern w:val="0"/>
          <w:sz w:val="28"/>
          <w:szCs w:val="28"/>
          <w:lang w:val="en-US" w:eastAsia="zh-CN"/>
        </w:rPr>
      </w:pPr>
      <w:r>
        <w:rPr>
          <w:rFonts w:hint="eastAsia" w:ascii="仿宋" w:hAnsi="仿宋" w:eastAsia="仿宋" w:cs="仿宋"/>
          <w:color w:val="333333"/>
          <w:kern w:val="0"/>
          <w:sz w:val="28"/>
          <w:szCs w:val="28"/>
          <w:lang w:val="en-US" w:eastAsia="zh-CN"/>
        </w:rPr>
        <w:t>7.加强文化执法，提升公信力。</w:t>
      </w:r>
      <w:r>
        <w:rPr>
          <w:rFonts w:hint="eastAsia" w:ascii="仿宋" w:hAnsi="仿宋" w:eastAsia="仿宋" w:cs="仿宋"/>
          <w:color w:val="333333"/>
          <w:kern w:val="0"/>
          <w:sz w:val="28"/>
          <w:szCs w:val="28"/>
        </w:rPr>
        <w:t>全面推进政务服务标准化、规范化、便利化“三化”建设。</w:t>
      </w:r>
      <w:r>
        <w:rPr>
          <w:rFonts w:hint="eastAsia" w:ascii="仿宋" w:hAnsi="仿宋" w:eastAsia="仿宋" w:cs="仿宋"/>
          <w:color w:val="333333"/>
          <w:kern w:val="0"/>
          <w:sz w:val="28"/>
          <w:szCs w:val="28"/>
          <w:lang w:val="en-US" w:eastAsia="zh-CN"/>
        </w:rPr>
        <w:t>明确</w:t>
      </w:r>
      <w:r>
        <w:rPr>
          <w:rFonts w:hint="eastAsia" w:ascii="仿宋" w:hAnsi="仿宋" w:eastAsia="仿宋" w:cs="仿宋"/>
          <w:color w:val="333333"/>
          <w:kern w:val="0"/>
          <w:sz w:val="28"/>
          <w:szCs w:val="28"/>
        </w:rPr>
        <w:t>行政权责清单</w:t>
      </w:r>
      <w:r>
        <w:rPr>
          <w:rFonts w:hint="eastAsia" w:ascii="仿宋" w:hAnsi="仿宋" w:eastAsia="仿宋" w:cs="仿宋"/>
          <w:color w:val="333333"/>
          <w:kern w:val="0"/>
          <w:sz w:val="28"/>
          <w:szCs w:val="28"/>
          <w:lang w:eastAsia="zh-CN"/>
        </w:rPr>
        <w:t>，</w:t>
      </w:r>
      <w:r>
        <w:rPr>
          <w:rFonts w:hint="eastAsia" w:ascii="仿宋" w:hAnsi="仿宋" w:eastAsia="仿宋" w:cs="仿宋"/>
          <w:color w:val="333333"/>
          <w:kern w:val="0"/>
          <w:sz w:val="28"/>
          <w:szCs w:val="28"/>
        </w:rPr>
        <w:t>本部门行政职权共计</w:t>
      </w:r>
      <w:r>
        <w:rPr>
          <w:rFonts w:hint="eastAsia" w:ascii="仿宋" w:hAnsi="仿宋" w:eastAsia="仿宋" w:cs="仿宋"/>
          <w:color w:val="333333"/>
          <w:kern w:val="0"/>
          <w:sz w:val="28"/>
          <w:szCs w:val="28"/>
          <w:lang w:val="en-US" w:eastAsia="zh-CN"/>
        </w:rPr>
        <w:t>7</w:t>
      </w:r>
      <w:r>
        <w:rPr>
          <w:rFonts w:hint="eastAsia" w:ascii="仿宋" w:hAnsi="仿宋" w:eastAsia="仿宋" w:cs="仿宋"/>
          <w:color w:val="333333"/>
          <w:kern w:val="0"/>
          <w:sz w:val="28"/>
          <w:szCs w:val="28"/>
        </w:rPr>
        <w:t>类，共计</w:t>
      </w:r>
      <w:r>
        <w:rPr>
          <w:rFonts w:hint="eastAsia" w:ascii="仿宋" w:hAnsi="仿宋" w:eastAsia="仿宋" w:cs="仿宋"/>
          <w:color w:val="333333"/>
          <w:kern w:val="0"/>
          <w:sz w:val="28"/>
          <w:szCs w:val="28"/>
          <w:lang w:val="en-US" w:eastAsia="zh-CN"/>
        </w:rPr>
        <w:t>336</w:t>
      </w:r>
      <w:r>
        <w:rPr>
          <w:rFonts w:hint="eastAsia" w:ascii="仿宋" w:hAnsi="仿宋" w:eastAsia="仿宋" w:cs="仿宋"/>
          <w:color w:val="333333"/>
          <w:kern w:val="0"/>
          <w:sz w:val="28"/>
          <w:szCs w:val="28"/>
        </w:rPr>
        <w:t>项</w:t>
      </w:r>
      <w:r>
        <w:rPr>
          <w:rFonts w:hint="eastAsia" w:ascii="仿宋" w:hAnsi="仿宋" w:eastAsia="仿宋" w:cs="仿宋"/>
          <w:color w:val="333333"/>
          <w:kern w:val="0"/>
          <w:sz w:val="28"/>
          <w:szCs w:val="28"/>
          <w:lang w:eastAsia="zh-CN"/>
        </w:rPr>
        <w:t>，</w:t>
      </w:r>
      <w:r>
        <w:rPr>
          <w:rFonts w:hint="eastAsia" w:ascii="仿宋" w:hAnsi="仿宋" w:eastAsia="仿宋" w:cs="仿宋"/>
          <w:color w:val="333333"/>
          <w:kern w:val="0"/>
          <w:sz w:val="28"/>
          <w:szCs w:val="28"/>
        </w:rPr>
        <w:t>全面实行行政许可事项清单管理，公布政务服务事项目录，实现政务服务事项数据同源，实现线上和线下无差别受理、同标准办理。</w:t>
      </w:r>
      <w:r>
        <w:rPr>
          <w:rFonts w:hint="eastAsia" w:ascii="仿宋" w:hAnsi="仿宋" w:eastAsia="仿宋" w:cs="仿宋"/>
          <w:color w:val="333333"/>
          <w:kern w:val="0"/>
          <w:sz w:val="28"/>
          <w:szCs w:val="28"/>
          <w:lang w:val="en-US" w:eastAsia="zh-CN"/>
        </w:rPr>
        <w:t>目前</w:t>
      </w:r>
      <w:r>
        <w:rPr>
          <w:rFonts w:hint="eastAsia" w:ascii="仿宋" w:hAnsi="仿宋" w:eastAsia="仿宋" w:cs="仿宋"/>
          <w:color w:val="333333"/>
          <w:kern w:val="0"/>
          <w:sz w:val="28"/>
          <w:szCs w:val="28"/>
        </w:rPr>
        <w:t>网上可办事项为</w:t>
      </w:r>
      <w:r>
        <w:rPr>
          <w:rFonts w:hint="eastAsia" w:ascii="仿宋" w:hAnsi="仿宋" w:eastAsia="仿宋" w:cs="仿宋"/>
          <w:color w:val="333333"/>
          <w:kern w:val="0"/>
          <w:sz w:val="28"/>
          <w:szCs w:val="28"/>
          <w:lang w:val="en-US" w:eastAsia="zh-CN"/>
        </w:rPr>
        <w:t>49</w:t>
      </w:r>
      <w:r>
        <w:rPr>
          <w:rFonts w:hint="eastAsia" w:ascii="仿宋" w:hAnsi="仿宋" w:eastAsia="仿宋" w:cs="仿宋"/>
          <w:color w:val="333333"/>
          <w:kern w:val="0"/>
          <w:sz w:val="28"/>
          <w:szCs w:val="28"/>
        </w:rPr>
        <w:t>项，</w:t>
      </w:r>
      <w:r>
        <w:rPr>
          <w:rFonts w:hint="eastAsia" w:ascii="仿宋" w:hAnsi="仿宋" w:eastAsia="仿宋" w:cs="仿宋"/>
          <w:color w:val="333333"/>
          <w:kern w:val="0"/>
          <w:sz w:val="28"/>
          <w:szCs w:val="28"/>
          <w:lang w:val="en-US" w:eastAsia="zh-CN"/>
        </w:rPr>
        <w:t>争取全年</w:t>
      </w:r>
      <w:r>
        <w:rPr>
          <w:rFonts w:hint="eastAsia" w:ascii="仿宋" w:hAnsi="仿宋" w:eastAsia="仿宋" w:cs="仿宋"/>
          <w:color w:val="333333"/>
          <w:kern w:val="0"/>
          <w:sz w:val="28"/>
          <w:szCs w:val="28"/>
        </w:rPr>
        <w:t>网上可办率达100%，全程网办率100%。优化营商环境工作</w:t>
      </w:r>
      <w:r>
        <w:rPr>
          <w:rFonts w:hint="eastAsia" w:ascii="仿宋" w:hAnsi="仿宋" w:eastAsia="仿宋" w:cs="仿宋"/>
          <w:color w:val="333333"/>
          <w:kern w:val="0"/>
          <w:sz w:val="28"/>
          <w:szCs w:val="28"/>
          <w:lang w:eastAsia="zh-CN"/>
        </w:rPr>
        <w:t>，</w:t>
      </w:r>
      <w:r>
        <w:rPr>
          <w:rFonts w:hint="eastAsia" w:ascii="仿宋" w:hAnsi="仿宋" w:eastAsia="仿宋" w:cs="仿宋"/>
          <w:color w:val="333333"/>
          <w:kern w:val="0"/>
          <w:sz w:val="28"/>
          <w:szCs w:val="28"/>
        </w:rPr>
        <w:t>严格执行《市场准入负面清单》，落实“非禁即入”要求，《清单》以外的行业、领域、业务等市场主体皆可依法平等进入。全面推进政务服务“一件事一次办”服务。县</w:t>
      </w:r>
      <w:r>
        <w:rPr>
          <w:rFonts w:hint="eastAsia" w:ascii="仿宋" w:hAnsi="仿宋" w:eastAsia="仿宋" w:cs="仿宋"/>
          <w:color w:val="333333"/>
          <w:kern w:val="0"/>
          <w:sz w:val="28"/>
          <w:szCs w:val="28"/>
          <w:lang w:val="en-US" w:eastAsia="zh-CN"/>
        </w:rPr>
        <w:t>文旅广体</w:t>
      </w:r>
      <w:r>
        <w:rPr>
          <w:rFonts w:hint="eastAsia" w:ascii="仿宋" w:hAnsi="仿宋" w:eastAsia="仿宋" w:cs="仿宋"/>
          <w:color w:val="333333"/>
          <w:kern w:val="0"/>
          <w:sz w:val="28"/>
          <w:szCs w:val="28"/>
        </w:rPr>
        <w:t>局实行“一次告知、一表申请、一套材料、一窗受理、一网办理、一口发证”，做到线上线下同标准、无差别办理，分批次推出“企业+”和个人集成服务事项。</w:t>
      </w:r>
      <w:r>
        <w:rPr>
          <w:rFonts w:hint="eastAsia" w:ascii="仿宋" w:hAnsi="仿宋" w:eastAsia="仿宋" w:cs="仿宋"/>
          <w:color w:val="333333"/>
          <w:kern w:val="0"/>
          <w:sz w:val="28"/>
          <w:szCs w:val="28"/>
          <w:lang w:val="en-US" w:eastAsia="zh-CN"/>
        </w:rPr>
        <w:t>统筹执法人员执法证管理工作，做好执法人员考试、培训、换证等工作，确保执法证有效可行。</w:t>
      </w:r>
    </w:p>
    <w:p w14:paraId="08498604">
      <w:pPr>
        <w:spacing w:line="520" w:lineRule="exact"/>
        <w:ind w:firstLine="560" w:firstLineChars="200"/>
        <w:rPr>
          <w:rFonts w:hint="eastAsia" w:ascii="仿宋" w:hAnsi="仿宋" w:eastAsia="仿宋" w:cs="仿宋"/>
          <w:color w:val="333333"/>
          <w:kern w:val="0"/>
          <w:sz w:val="28"/>
          <w:szCs w:val="28"/>
          <w:lang w:val="en-US" w:eastAsia="zh-CN"/>
        </w:rPr>
      </w:pPr>
      <w:r>
        <w:rPr>
          <w:rFonts w:hint="eastAsia" w:ascii="仿宋" w:hAnsi="仿宋" w:eastAsia="仿宋" w:cs="仿宋"/>
          <w:color w:val="333333"/>
          <w:kern w:val="0"/>
          <w:sz w:val="28"/>
          <w:szCs w:val="28"/>
          <w:lang w:val="en-US" w:eastAsia="zh-CN"/>
        </w:rPr>
        <w:t>8.抓实安全监管，提升应急力。深入开展道县旅游行业导游乱象、强制消费等问题专项整治工作，建立健全工作机制，快速处置旅游投诉，提高游客满意度。督促文旅行业领域企业自查自纠，大力加强隐患排查整治，广泛开展联合执法督导。多级联动开展隐患排查，全力做到“全覆盖、无死角、重实效”，推动隐患排查常态化，整改落实规范化，督导检查持续化，大力加强安全生产整治。健全治理体系，压实五方责任，全面深化文旅领域顽瘴痼疾综合治理工作。持续开展重大事故灾害隐患排查整治。深入推进“三抓三查三严”安全生产百日攻坚行动。提高应急处置能力，做好旅游包车安全管理工作、火灾风险防控工作和文旅活动安全管理工作。进一步强化公共场所人员聚集安全防范工作。加强演出活动安全管理，指导网吧、KTV等娱乐场所以及旅游景点景区做好人员聚集活动安全管理，加强源头风险管控，及时化解矛盾纠纷。</w:t>
      </w:r>
    </w:p>
    <w:p w14:paraId="1151C963">
      <w:pPr>
        <w:spacing w:line="520" w:lineRule="exact"/>
        <w:ind w:firstLine="560" w:firstLineChars="200"/>
        <w:rPr>
          <w:rFonts w:hint="eastAsia" w:ascii="仿宋" w:hAnsi="仿宋" w:eastAsia="仿宋" w:cs="仿宋"/>
          <w:color w:val="333333"/>
          <w:kern w:val="0"/>
          <w:sz w:val="28"/>
          <w:szCs w:val="28"/>
          <w:lang w:val="en-US" w:eastAsia="zh-CN"/>
        </w:rPr>
      </w:pPr>
      <w:r>
        <w:rPr>
          <w:rFonts w:hint="eastAsia" w:ascii="仿宋" w:hAnsi="仿宋" w:eastAsia="仿宋" w:cs="仿宋"/>
          <w:color w:val="333333"/>
          <w:kern w:val="0"/>
          <w:sz w:val="28"/>
          <w:szCs w:val="28"/>
          <w:lang w:val="en-US" w:eastAsia="zh-CN"/>
        </w:rPr>
        <w:t>9.加强文物巡查，提升保护力。</w:t>
      </w:r>
      <w:r>
        <w:rPr>
          <w:rFonts w:hint="eastAsia" w:ascii="仿宋" w:hAnsi="仿宋" w:eastAsia="仿宋" w:cs="仿宋"/>
          <w:color w:val="333333"/>
          <w:kern w:val="0"/>
          <w:sz w:val="28"/>
          <w:szCs w:val="28"/>
          <w:lang w:eastAsia="zh-CN"/>
        </w:rPr>
        <w:t>进一步增强文物安全底线意识，</w:t>
      </w:r>
      <w:r>
        <w:rPr>
          <w:rFonts w:hint="eastAsia" w:ascii="仿宋" w:hAnsi="仿宋" w:eastAsia="仿宋" w:cs="仿宋"/>
          <w:color w:val="333333"/>
          <w:kern w:val="0"/>
          <w:sz w:val="28"/>
          <w:szCs w:val="28"/>
          <w:lang w:val="en-US" w:eastAsia="zh-CN"/>
        </w:rPr>
        <w:t>全面落实文物保护安全责任制，压实文物保护属地管理责任和文物安全直接责任人责任，健全文物安全巡查以及文物安全值班报告制度，强化辖区内文保单位安全巡查和隐患整改。进一步加强革命文物保护单位险情排查和相关管理工作，同时对检查中发现的安全隐患进行整改。落实文物库房各项安全保卫制度，确保库房文物安全。积极配合公安机关坚决打击文物犯罪，建立文物安全应急处置联动机制。持续跟进文保项目申报进度，继续开展实地调查，探索文物新发现，扎实开展不可移动文物认定、登记和公布工作，同时汇总与运用普查成果，切实提高普查数据质量。积极调查新发现文物，加大文物新发现力度，做到应保尽保。优化道县博物馆的参观环境，完善导览设施，继续提升道县博物馆的知名度和影响力。加强葫芦岩村红太阳像章展览馆、大洞田村少数民族文化陈列馆、小周塘村馒头岭战场遗址博物馆等管理，积极推荐申报为湖南省乡村博物馆。配齐配强道县考古研究和文物保护中心专业技术人员，加强文物保护和文化执法力量。</w:t>
      </w:r>
    </w:p>
    <w:p w14:paraId="027A0B8B">
      <w:pPr>
        <w:spacing w:line="520" w:lineRule="exact"/>
        <w:ind w:firstLine="560" w:firstLineChars="200"/>
      </w:pPr>
      <w:r>
        <w:rPr>
          <w:rFonts w:hint="eastAsia" w:ascii="仿宋" w:hAnsi="仿宋" w:eastAsia="仿宋" w:cs="仿宋"/>
          <w:color w:val="333333"/>
          <w:kern w:val="0"/>
          <w:sz w:val="28"/>
          <w:szCs w:val="28"/>
          <w:lang w:val="en-US" w:eastAsia="zh-CN"/>
        </w:rPr>
        <w:t>10.加大宣传引导，提升影响力。借力湘超，实施精准化“冠军传播”工程，以“创新宣传矩阵、精准营销推广”为核心，联动上级主流媒体、本级融媒体中心和自媒体达人，通过宣传片、微视频、抖音、微信、短信、宣传册等方式全方位宣传推介道县，讲好道县文旅故事，塑造特色品牌形象，不断涵养忠诚之地筑忠诚、理学之乡讲道理、濂溪故里守廉洁、道州之道行大道的新风正气。要在彰显红色、古色、绿色“三色辉映”上聚焦发力，传承红色之魂、彰显古色之韵、厚植绿色之景，提高道县影响力和美誉度。聚焦“天下稻源”“理学源乡”“红色道县”“龙舟之乡”等核心IP，策划主题推广活动，联动主流媒体与社交平台，打造爆款文旅话题，扩大传播覆盖面。深化区域协同营销，构建城际文旅联盟（周敦颐理学文化城市联盟、四省区十九县传承陈树湘“绝对忠诚”精神联盟、湘桂粤赣四省区九市南岭联盟、中华史前稻作文化遗址联盟等），共享文旅客源市场。充分发挥县摄协、音协、书协、作协、演讲学会、龙舟协会、篮球协会、广场舞协会、旗袍文化协会等11个文化文艺团体和龙舟协会、篮协、乒协、排球协会、足协等16个体育协会作用，用各种形式宣传推介道县文体旅工作，促进全县文旅融合高质量发展。</w:t>
      </w:r>
      <w:bookmarkStart w:id="0" w:name="_GoBack"/>
      <w:bookmarkEnd w:id="0"/>
    </w:p>
    <w:p w14:paraId="0CFAC5A2">
      <w:pPr>
        <w:spacing w:line="520" w:lineRule="exact"/>
        <w:ind w:firstLine="602" w:firstLineChars="200"/>
        <w:rPr>
          <w:rFonts w:ascii="黑体" w:hAnsi="黑体" w:eastAsia="黑体" w:cs="黑体"/>
          <w:color w:val="000000"/>
          <w:sz w:val="32"/>
          <w:szCs w:val="32"/>
        </w:rPr>
      </w:pPr>
      <w:r>
        <w:rPr>
          <w:rFonts w:hint="eastAsia" w:ascii="仿宋" w:hAnsi="仿宋" w:eastAsia="仿宋" w:cs="仿宋"/>
          <w:b/>
          <w:bCs/>
          <w:sz w:val="30"/>
          <w:szCs w:val="30"/>
        </w:rPr>
        <w:t>七、存在的问题和困难</w:t>
      </w:r>
    </w:p>
    <w:p w14:paraId="10EE056A">
      <w:pPr>
        <w:pStyle w:val="8"/>
        <w:widowControl/>
        <w:shd w:val="clear" w:color="auto" w:fill="FFFFFF"/>
        <w:spacing w:beforeAutospacing="0" w:afterAutospacing="0" w:line="520" w:lineRule="exact"/>
        <w:ind w:firstLine="640"/>
        <w:jc w:val="both"/>
        <w:rPr>
          <w:rFonts w:ascii="仿宋" w:hAnsi="仿宋" w:eastAsia="仿宋" w:cs="仿宋"/>
          <w:color w:val="333333"/>
          <w:sz w:val="28"/>
          <w:szCs w:val="28"/>
        </w:rPr>
      </w:pPr>
      <w:r>
        <w:rPr>
          <w:rFonts w:hint="eastAsia" w:ascii="仿宋" w:hAnsi="仿宋" w:eastAsia="仿宋" w:cs="仿宋"/>
          <w:b/>
          <w:bCs/>
          <w:kern w:val="2"/>
          <w:sz w:val="30"/>
          <w:szCs w:val="30"/>
        </w:rPr>
        <w:t>（一）文旅体产业结构不优，发展不平衡。</w:t>
      </w:r>
      <w:r>
        <w:rPr>
          <w:rFonts w:hint="eastAsia" w:ascii="仿宋" w:hAnsi="仿宋" w:eastAsia="仿宋" w:cs="仿宋"/>
          <w:color w:val="333333"/>
          <w:sz w:val="28"/>
          <w:szCs w:val="28"/>
        </w:rPr>
        <w:t>我县文旅体产业普遍规模较小（年营业收入200万左右），结构不优，发展不平衡。加之前期受疫情影响，受冲击很大，难以形成新的经济增长亮点。</w:t>
      </w:r>
    </w:p>
    <w:p w14:paraId="28684B8E">
      <w:pPr>
        <w:spacing w:line="520" w:lineRule="exact"/>
        <w:ind w:firstLine="602" w:firstLineChars="200"/>
        <w:rPr>
          <w:rFonts w:ascii="仿宋" w:hAnsi="仿宋" w:eastAsia="仿宋" w:cs="仿宋"/>
          <w:color w:val="333333"/>
          <w:kern w:val="0"/>
          <w:sz w:val="28"/>
          <w:szCs w:val="28"/>
        </w:rPr>
      </w:pPr>
      <w:r>
        <w:rPr>
          <w:rFonts w:hint="eastAsia" w:ascii="仿宋" w:hAnsi="仿宋" w:eastAsia="仿宋" w:cs="仿宋"/>
          <w:b/>
          <w:bCs/>
          <w:sz w:val="30"/>
          <w:szCs w:val="30"/>
        </w:rPr>
        <w:t>（二）干部队伍年龄结构偏大，执法改革不彻底。</w:t>
      </w:r>
      <w:r>
        <w:rPr>
          <w:rFonts w:hint="eastAsia" w:ascii="仿宋" w:hAnsi="仿宋" w:eastAsia="仿宋" w:cs="仿宋"/>
          <w:color w:val="333333"/>
          <w:kern w:val="0"/>
          <w:sz w:val="28"/>
          <w:szCs w:val="28"/>
        </w:rPr>
        <w:t>文化市场综合执法改革过程中，行政职能更为宽泛，涉及文化、文物、旅游、广电、体育等行业，编制冻结，不能公开招考或选调专业人才进入，工作人员年龄偏大化严重，行业培训经费相对不足，执法人员开展的培训较少，面对新形势文化市场综合执法工作推动较为困难。</w:t>
      </w:r>
    </w:p>
    <w:p w14:paraId="7FDA821F">
      <w:pPr>
        <w:spacing w:line="520" w:lineRule="exact"/>
        <w:ind w:firstLine="640"/>
        <w:rPr>
          <w:rFonts w:ascii="仿宋" w:hAnsi="仿宋" w:eastAsia="仿宋" w:cs="仿宋"/>
          <w:color w:val="333333"/>
          <w:kern w:val="0"/>
          <w:sz w:val="28"/>
          <w:szCs w:val="28"/>
        </w:rPr>
      </w:pPr>
      <w:r>
        <w:rPr>
          <w:rFonts w:hint="eastAsia" w:ascii="仿宋" w:hAnsi="仿宋" w:eastAsia="仿宋" w:cs="仿宋"/>
          <w:b/>
          <w:bCs/>
          <w:sz w:val="30"/>
          <w:szCs w:val="30"/>
        </w:rPr>
        <w:t>（三）财政资金支持力度小，工作开展难推动。</w:t>
      </w:r>
      <w:r>
        <w:rPr>
          <w:rFonts w:hint="eastAsia" w:ascii="仿宋" w:hAnsi="仿宋" w:eastAsia="仿宋" w:cs="仿宋"/>
          <w:color w:val="333333"/>
          <w:kern w:val="0"/>
          <w:sz w:val="28"/>
          <w:szCs w:val="28"/>
        </w:rPr>
        <w:t>如支持旅游发展的激励资金、各类文化旅游体育活动经费、A级旅游景区节目提质资金、旅游商品研发资金、公共文体设施后续提质、维护资金等都相对缺乏，发展文旅产业难以得到支撑，财政预算下拨的经费无法满足工作需求，工作开展很被动。</w:t>
      </w:r>
    </w:p>
    <w:p w14:paraId="41AEED30">
      <w:pPr>
        <w:spacing w:line="520" w:lineRule="exact"/>
        <w:ind w:firstLine="602" w:firstLineChars="200"/>
        <w:rPr>
          <w:rFonts w:ascii="仿宋_GB2312" w:hAnsi="仿宋_GB2312" w:eastAsia="仿宋_GB2312"/>
          <w:sz w:val="32"/>
          <w:szCs w:val="32"/>
        </w:rPr>
      </w:pPr>
      <w:r>
        <w:rPr>
          <w:rFonts w:hint="eastAsia" w:ascii="仿宋" w:hAnsi="仿宋" w:eastAsia="仿宋" w:cs="仿宋"/>
          <w:b/>
          <w:bCs/>
          <w:sz w:val="30"/>
          <w:szCs w:val="30"/>
        </w:rPr>
        <w:t>（四）专业人才配备严重不足，专业能力明显弱化。</w:t>
      </w:r>
      <w:r>
        <w:rPr>
          <w:rFonts w:hint="eastAsia" w:ascii="仿宋" w:hAnsi="仿宋" w:eastAsia="仿宋" w:cs="仿宋"/>
          <w:color w:val="333333"/>
          <w:kern w:val="0"/>
          <w:sz w:val="28"/>
          <w:szCs w:val="28"/>
        </w:rPr>
        <w:t>文旅广体系统改革后原文化、文物、文化执法、旅游、广电、体育六个单位职能合并后，面对业务工作量的突增，原有的机关编制人员没有相应增加，一人身兼数职，疲于应付。同时，文化文艺、文物、体育、旅游等专业人才面临断层。</w:t>
      </w:r>
    </w:p>
    <w:p w14:paraId="5F6BD6E0">
      <w:pPr>
        <w:ind w:firstLine="602" w:firstLineChars="200"/>
        <w:rPr>
          <w:rFonts w:ascii="仿宋" w:hAnsi="仿宋" w:eastAsia="仿宋" w:cs="仿宋"/>
          <w:b/>
          <w:bCs/>
          <w:sz w:val="30"/>
          <w:szCs w:val="30"/>
        </w:rPr>
      </w:pPr>
      <w:r>
        <w:rPr>
          <w:rFonts w:hint="eastAsia" w:ascii="仿宋" w:hAnsi="仿宋" w:eastAsia="仿宋" w:cs="仿宋"/>
          <w:b/>
          <w:bCs/>
          <w:sz w:val="30"/>
          <w:szCs w:val="30"/>
        </w:rPr>
        <w:t>八、下一步改进措施</w:t>
      </w:r>
    </w:p>
    <w:p w14:paraId="5E8B5502">
      <w:pPr>
        <w:rPr>
          <w:rFonts w:ascii="仿宋" w:hAnsi="仿宋" w:eastAsia="仿宋" w:cs="仿宋"/>
          <w:sz w:val="28"/>
          <w:szCs w:val="28"/>
        </w:rPr>
      </w:pPr>
      <w:r>
        <w:rPr>
          <w:rFonts w:hint="eastAsia" w:ascii="仿宋" w:hAnsi="仿宋" w:eastAsia="仿宋" w:cs="仿宋"/>
          <w:sz w:val="28"/>
          <w:szCs w:val="28"/>
        </w:rPr>
        <w:t xml:space="preserve">    1、严格按照《会计法》、《行政事业单位会计制度》等规定执行财务核算，结合实际情况，完整、准确披露相关信息，做到决算和预算相结合。</w:t>
      </w:r>
    </w:p>
    <w:p w14:paraId="4AF9966A">
      <w:pPr>
        <w:ind w:firstLine="560" w:firstLineChars="200"/>
        <w:rPr>
          <w:rFonts w:ascii="仿宋" w:hAnsi="仿宋" w:eastAsia="仿宋" w:cs="仿宋"/>
          <w:sz w:val="28"/>
          <w:szCs w:val="28"/>
        </w:rPr>
      </w:pPr>
      <w:r>
        <w:rPr>
          <w:rFonts w:hint="eastAsia" w:ascii="仿宋" w:hAnsi="仿宋" w:eastAsia="仿宋" w:cs="仿宋"/>
          <w:sz w:val="28"/>
          <w:szCs w:val="28"/>
        </w:rPr>
        <w:t>2、加强资金的使用管理，让各类资金用到实处。</w:t>
      </w:r>
    </w:p>
    <w:p w14:paraId="5FF0E825">
      <w:pPr>
        <w:ind w:firstLine="560" w:firstLineChars="200"/>
        <w:rPr>
          <w:rFonts w:ascii="仿宋" w:hAnsi="仿宋" w:eastAsia="仿宋" w:cs="仿宋"/>
          <w:sz w:val="28"/>
          <w:szCs w:val="28"/>
        </w:rPr>
      </w:pPr>
      <w:r>
        <w:rPr>
          <w:rFonts w:hint="eastAsia" w:ascii="仿宋" w:hAnsi="仿宋" w:eastAsia="仿宋" w:cs="仿宋"/>
          <w:color w:val="000000"/>
          <w:sz w:val="28"/>
          <w:szCs w:val="28"/>
        </w:rPr>
        <w:t>3、加强队伍建设，抓好绩效评价管理部门的队伍建设和业务指导，培养部门的绩效管理队伍，建立绩效评价的长期机制</w:t>
      </w:r>
      <w:r>
        <w:rPr>
          <w:rFonts w:hint="eastAsia" w:ascii="仿宋" w:hAnsi="仿宋" w:eastAsia="仿宋" w:cs="仿宋"/>
          <w:sz w:val="28"/>
          <w:szCs w:val="28"/>
        </w:rPr>
        <w:t>。</w:t>
      </w:r>
    </w:p>
    <w:p w14:paraId="0A6DB3A8">
      <w:pPr>
        <w:ind w:firstLine="602" w:firstLineChars="200"/>
        <w:rPr>
          <w:rFonts w:ascii="仿宋" w:hAnsi="仿宋" w:eastAsia="仿宋" w:cs="仿宋"/>
          <w:b/>
          <w:bCs/>
          <w:sz w:val="30"/>
          <w:szCs w:val="30"/>
        </w:rPr>
      </w:pPr>
      <w:r>
        <w:rPr>
          <w:rFonts w:hint="eastAsia" w:ascii="仿宋" w:hAnsi="仿宋" w:eastAsia="仿宋" w:cs="仿宋"/>
          <w:b/>
          <w:bCs/>
          <w:sz w:val="30"/>
          <w:szCs w:val="30"/>
        </w:rPr>
        <w:t>九、绩效自评结果拟应用和公开情况</w:t>
      </w:r>
    </w:p>
    <w:p w14:paraId="3703A23E">
      <w:pPr>
        <w:ind w:firstLine="600" w:firstLineChars="200"/>
        <w:rPr>
          <w:rFonts w:ascii="仿宋" w:hAnsi="仿宋" w:eastAsia="仿宋" w:cs="仿宋"/>
          <w:sz w:val="30"/>
          <w:szCs w:val="30"/>
        </w:rPr>
      </w:pPr>
      <w:r>
        <w:rPr>
          <w:rFonts w:hint="eastAsia" w:ascii="仿宋" w:hAnsi="仿宋" w:eastAsia="仿宋" w:cs="仿宋"/>
          <w:sz w:val="30"/>
          <w:szCs w:val="30"/>
        </w:rPr>
        <w:t>本年度绩效自评结果为99分。按规定时间内将</w:t>
      </w:r>
      <w:r>
        <w:rPr>
          <w:rFonts w:hint="eastAsia" w:ascii="仿宋" w:hAnsi="仿宋" w:eastAsia="仿宋" w:cs="仿宋"/>
          <w:sz w:val="30"/>
          <w:szCs w:val="30"/>
          <w:lang w:eastAsia="zh-CN"/>
        </w:rPr>
        <w:t>2025年</w:t>
      </w:r>
      <w:r>
        <w:rPr>
          <w:rFonts w:hint="eastAsia" w:ascii="仿宋" w:hAnsi="仿宋" w:eastAsia="仿宋" w:cs="仿宋"/>
          <w:sz w:val="30"/>
          <w:szCs w:val="30"/>
        </w:rPr>
        <w:t>度专项资金绩效自评报告、整体部门支出绩效自评报告在本部门门户网站公开，并接受社会监督。</w:t>
      </w:r>
    </w:p>
    <w:p w14:paraId="0956AFC9">
      <w:pPr>
        <w:rPr>
          <w:rFonts w:ascii="仿宋" w:hAnsi="仿宋" w:eastAsia="仿宋" w:cs="仿宋"/>
          <w:sz w:val="28"/>
          <w:szCs w:val="28"/>
        </w:rPr>
      </w:pPr>
    </w:p>
    <w:p w14:paraId="5FBD4864">
      <w:pPr>
        <w:ind w:firstLine="4480" w:firstLineChars="1600"/>
        <w:rPr>
          <w:rFonts w:ascii="仿宋" w:hAnsi="仿宋" w:eastAsia="仿宋" w:cs="仿宋"/>
          <w:sz w:val="28"/>
          <w:szCs w:val="28"/>
        </w:rPr>
      </w:pPr>
      <w:r>
        <w:rPr>
          <w:rFonts w:hint="eastAsia" w:ascii="仿宋" w:hAnsi="仿宋" w:eastAsia="仿宋" w:cs="仿宋"/>
          <w:sz w:val="28"/>
          <w:szCs w:val="28"/>
        </w:rPr>
        <w:t xml:space="preserve"> 道县文旅广电体育局</w:t>
      </w:r>
    </w:p>
    <w:p w14:paraId="6B7EF013">
      <w:pPr>
        <w:ind w:firstLine="5040" w:firstLineChars="1800"/>
        <w:rPr>
          <w:rFonts w:ascii="仿宋" w:hAnsi="仿宋" w:eastAsia="仿宋" w:cs="仿宋"/>
          <w:sz w:val="28"/>
          <w:szCs w:val="28"/>
        </w:rPr>
      </w:pPr>
      <w:r>
        <w:rPr>
          <w:rFonts w:hint="eastAsia" w:ascii="仿宋" w:hAnsi="仿宋" w:eastAsia="仿宋" w:cs="仿宋"/>
          <w:sz w:val="28"/>
          <w:szCs w:val="28"/>
          <w:lang w:eastAsia="zh-CN"/>
        </w:rPr>
        <w:t>202</w:t>
      </w:r>
      <w:r>
        <w:rPr>
          <w:rFonts w:hint="eastAsia" w:ascii="仿宋" w:hAnsi="仿宋" w:eastAsia="仿宋" w:cs="仿宋"/>
          <w:sz w:val="28"/>
          <w:szCs w:val="28"/>
          <w:lang w:val="en-US" w:eastAsia="zh-CN"/>
        </w:rPr>
        <w:t>6</w:t>
      </w:r>
      <w:r>
        <w:rPr>
          <w:rFonts w:hint="eastAsia" w:ascii="仿宋" w:hAnsi="仿宋" w:eastAsia="仿宋" w:cs="仿宋"/>
          <w:sz w:val="28"/>
          <w:szCs w:val="28"/>
          <w:lang w:eastAsia="zh-CN"/>
        </w:rPr>
        <w:t>年</w:t>
      </w:r>
      <w:r>
        <w:rPr>
          <w:rFonts w:hint="eastAsia" w:ascii="仿宋" w:hAnsi="仿宋" w:eastAsia="仿宋" w:cs="仿宋"/>
          <w:sz w:val="28"/>
          <w:szCs w:val="28"/>
          <w:lang w:val="en-US" w:eastAsia="zh-CN"/>
        </w:rPr>
        <w:t>5</w:t>
      </w:r>
      <w:r>
        <w:rPr>
          <w:rFonts w:hint="eastAsia" w:ascii="仿宋" w:hAnsi="仿宋" w:eastAsia="仿宋" w:cs="仿宋"/>
          <w:sz w:val="28"/>
          <w:szCs w:val="28"/>
        </w:rPr>
        <w:t>月</w:t>
      </w:r>
      <w:r>
        <w:rPr>
          <w:rFonts w:hint="eastAsia" w:ascii="仿宋" w:hAnsi="仿宋" w:eastAsia="仿宋" w:cs="仿宋"/>
          <w:sz w:val="28"/>
          <w:szCs w:val="28"/>
          <w:lang w:val="en-US" w:eastAsia="zh-CN"/>
        </w:rPr>
        <w:t>11</w:t>
      </w:r>
      <w:r>
        <w:rPr>
          <w:rFonts w:hint="eastAsia" w:ascii="仿宋" w:hAnsi="仿宋" w:eastAsia="仿宋" w:cs="仿宋"/>
          <w:sz w:val="28"/>
          <w:szCs w:val="28"/>
        </w:rPr>
        <w:t>日</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8"/>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15853">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8F407">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wMDM0ZTY2M2MzOTgzMzg4MDJlMmEyZGNhMTdhOGIifQ=="/>
  </w:docVars>
  <w:rsids>
    <w:rsidRoot w:val="4F006C35"/>
    <w:rsid w:val="000128D5"/>
    <w:rsid w:val="000379B4"/>
    <w:rsid w:val="00070BC5"/>
    <w:rsid w:val="000B3AD7"/>
    <w:rsid w:val="002C0E81"/>
    <w:rsid w:val="0032277E"/>
    <w:rsid w:val="004334B5"/>
    <w:rsid w:val="004465DD"/>
    <w:rsid w:val="004C31DE"/>
    <w:rsid w:val="004D3AC2"/>
    <w:rsid w:val="005427B5"/>
    <w:rsid w:val="005B05F1"/>
    <w:rsid w:val="005F3A01"/>
    <w:rsid w:val="00657931"/>
    <w:rsid w:val="008A5244"/>
    <w:rsid w:val="00904B91"/>
    <w:rsid w:val="00986BD8"/>
    <w:rsid w:val="00992230"/>
    <w:rsid w:val="009B69C9"/>
    <w:rsid w:val="009C0DDA"/>
    <w:rsid w:val="00A273F1"/>
    <w:rsid w:val="00A43D32"/>
    <w:rsid w:val="00A87297"/>
    <w:rsid w:val="00BB310B"/>
    <w:rsid w:val="00BD512F"/>
    <w:rsid w:val="00BE2D7E"/>
    <w:rsid w:val="00C103D4"/>
    <w:rsid w:val="00C25B51"/>
    <w:rsid w:val="00C8764E"/>
    <w:rsid w:val="00CC24BF"/>
    <w:rsid w:val="00DD0906"/>
    <w:rsid w:val="00E5113B"/>
    <w:rsid w:val="00E668BD"/>
    <w:rsid w:val="00FD05A0"/>
    <w:rsid w:val="01C374A4"/>
    <w:rsid w:val="0716706A"/>
    <w:rsid w:val="07D948DF"/>
    <w:rsid w:val="0C9A3229"/>
    <w:rsid w:val="0CFC7C9D"/>
    <w:rsid w:val="0DD70DB2"/>
    <w:rsid w:val="0DFA4034"/>
    <w:rsid w:val="13207FA9"/>
    <w:rsid w:val="157F6A54"/>
    <w:rsid w:val="15C75E4B"/>
    <w:rsid w:val="16D92F91"/>
    <w:rsid w:val="17CC54FE"/>
    <w:rsid w:val="18A64941"/>
    <w:rsid w:val="1B184C46"/>
    <w:rsid w:val="1D1E3640"/>
    <w:rsid w:val="1EF33F6B"/>
    <w:rsid w:val="223C00C4"/>
    <w:rsid w:val="240551AC"/>
    <w:rsid w:val="263C7466"/>
    <w:rsid w:val="269E3638"/>
    <w:rsid w:val="274218B7"/>
    <w:rsid w:val="2A5166A8"/>
    <w:rsid w:val="2A6E153E"/>
    <w:rsid w:val="2A755335"/>
    <w:rsid w:val="2C106B5A"/>
    <w:rsid w:val="2CDC0EAA"/>
    <w:rsid w:val="2D0B0DBF"/>
    <w:rsid w:val="2F5527C5"/>
    <w:rsid w:val="30721C2C"/>
    <w:rsid w:val="31061FC9"/>
    <w:rsid w:val="32877139"/>
    <w:rsid w:val="334353D9"/>
    <w:rsid w:val="35093A19"/>
    <w:rsid w:val="357340DF"/>
    <w:rsid w:val="358931C8"/>
    <w:rsid w:val="397D4DF2"/>
    <w:rsid w:val="39E00A56"/>
    <w:rsid w:val="3AC747F7"/>
    <w:rsid w:val="42ED4D97"/>
    <w:rsid w:val="44A80D14"/>
    <w:rsid w:val="4A3B3B52"/>
    <w:rsid w:val="4BA315D5"/>
    <w:rsid w:val="4F006C35"/>
    <w:rsid w:val="504B75A0"/>
    <w:rsid w:val="50C80BF1"/>
    <w:rsid w:val="50FE4613"/>
    <w:rsid w:val="5133735D"/>
    <w:rsid w:val="55AE33DC"/>
    <w:rsid w:val="567E4586"/>
    <w:rsid w:val="56DC178D"/>
    <w:rsid w:val="56FD1342"/>
    <w:rsid w:val="587348C9"/>
    <w:rsid w:val="59FC2416"/>
    <w:rsid w:val="5CFA1828"/>
    <w:rsid w:val="5E540FCF"/>
    <w:rsid w:val="5FBE38EB"/>
    <w:rsid w:val="62A8083A"/>
    <w:rsid w:val="630148B6"/>
    <w:rsid w:val="63883F0F"/>
    <w:rsid w:val="64B928D3"/>
    <w:rsid w:val="669058B5"/>
    <w:rsid w:val="68E6659E"/>
    <w:rsid w:val="6A356EA0"/>
    <w:rsid w:val="6ABA0527"/>
    <w:rsid w:val="6B775E46"/>
    <w:rsid w:val="6D9E7CFB"/>
    <w:rsid w:val="6E8F4ADF"/>
    <w:rsid w:val="6F40256E"/>
    <w:rsid w:val="74EB4304"/>
    <w:rsid w:val="75297AE2"/>
    <w:rsid w:val="760B5C09"/>
    <w:rsid w:val="78D868D2"/>
    <w:rsid w:val="7A8D4CD4"/>
    <w:rsid w:val="7DE45185"/>
    <w:rsid w:val="7E5F70DF"/>
    <w:rsid w:val="7F8E06C5"/>
    <w:rsid w:val="7FD949EC"/>
    <w:rsid w:val="7FFA7A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Body Text"/>
    <w:basedOn w:val="1"/>
    <w:next w:val="4"/>
    <w:unhideWhenUsed/>
    <w:qFormat/>
    <w:uiPriority w:val="99"/>
    <w:pPr>
      <w:spacing w:after="120"/>
    </w:pPr>
  </w:style>
  <w:style w:type="paragraph" w:styleId="4">
    <w:name w:val="Balloon Text"/>
    <w:basedOn w:val="1"/>
    <w:qFormat/>
    <w:uiPriority w:val="0"/>
    <w:rPr>
      <w:sz w:val="18"/>
    </w:r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footnote text"/>
    <w:basedOn w:val="1"/>
    <w:qFormat/>
    <w:uiPriority w:val="0"/>
    <w:rPr>
      <w:sz w:val="18"/>
      <w:szCs w:val="18"/>
    </w:rPr>
  </w:style>
  <w:style w:type="paragraph" w:styleId="8">
    <w:name w:val="Normal (Web)"/>
    <w:basedOn w:val="1"/>
    <w:qFormat/>
    <w:uiPriority w:val="0"/>
    <w:pPr>
      <w:spacing w:beforeAutospacing="1" w:afterAutospacing="1"/>
      <w:jc w:val="left"/>
    </w:pPr>
    <w:rPr>
      <w:kern w:val="0"/>
      <w:sz w:val="24"/>
    </w:rPr>
  </w:style>
  <w:style w:type="character" w:customStyle="1" w:styleId="11">
    <w:name w:val="页脚 Char"/>
    <w:basedOn w:val="10"/>
    <w:link w:val="5"/>
    <w:qFormat/>
    <w:uiPriority w:val="0"/>
    <w:rPr>
      <w:rFonts w:ascii="Calibri" w:hAnsi="Calibri" w:eastAsia="宋体" w:cs="Times New Roman"/>
      <w:kern w:val="2"/>
      <w:sz w:val="18"/>
      <w:szCs w:val="18"/>
    </w:rPr>
  </w:style>
  <w:style w:type="character" w:customStyle="1" w:styleId="12">
    <w:name w:val="页眉 Char"/>
    <w:basedOn w:val="10"/>
    <w:link w:val="6"/>
    <w:qFormat/>
    <w:uiPriority w:val="0"/>
    <w:rPr>
      <w:rFonts w:ascii="Calibri" w:hAnsi="Calibri" w:eastAsia="宋体" w:cs="Times New Roman"/>
      <w:kern w:val="2"/>
      <w:sz w:val="18"/>
      <w:szCs w:val="18"/>
    </w:rPr>
  </w:style>
  <w:style w:type="paragraph" w:customStyle="1" w:styleId="13">
    <w:name w:val="列出段落1"/>
    <w:qFormat/>
    <w:uiPriority w:val="0"/>
    <w:pPr>
      <w:widowControl w:val="0"/>
      <w:ind w:firstLine="420"/>
      <w:jc w:val="both"/>
    </w:pPr>
    <w:rPr>
      <w:rFonts w:ascii="Times New Roman" w:hAnsi="Times New Roman" w:eastAsia="宋体" w:cs="黑体"/>
      <w:kern w:val="2"/>
      <w:sz w:val="21"/>
      <w:szCs w:val="24"/>
      <w:lang w:val="en-US" w:eastAsia="zh-CN" w:bidi="ar-SA"/>
    </w:rPr>
  </w:style>
  <w:style w:type="paragraph" w:styleId="14">
    <w:name w:val="List Paragraph"/>
    <w:basedOn w:val="1"/>
    <w:qFormat/>
    <w:uiPriority w:val="99"/>
    <w:pPr>
      <w:ind w:firstLine="420" w:firstLineChars="200"/>
    </w:pPr>
  </w:style>
  <w:style w:type="character" w:customStyle="1" w:styleId="15">
    <w:name w:val="style401"/>
    <w:basedOn w:val="10"/>
    <w:qFormat/>
    <w:uiPriority w:val="0"/>
    <w:rPr>
      <w:rFonts w:hint="default" w:ascii="Calibri" w:hAnsi="Calibri" w:eastAsia="宋体" w:cs="Arial"/>
      <w:sz w:val="20"/>
      <w:szCs w:val="20"/>
    </w:rPr>
  </w:style>
  <w:style w:type="paragraph" w:customStyle="1" w:styleId="16">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
    <w:name w:val="NormalIndent"/>
    <w:basedOn w:val="1"/>
    <w:next w:val="1"/>
    <w:qFormat/>
    <w:uiPriority w:val="0"/>
    <w:pPr>
      <w:ind w:firstLine="200" w:firstLineChars="200"/>
    </w:pPr>
    <w:rPr>
      <w:rFonts w:ascii="Times New Roman" w:hAnsi="Times New Roman" w:eastAsia="仿宋_GB2312" w:cs="Times New Roman"/>
      <w:lang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15</Pages>
  <Words>1719</Words>
  <Characters>9803</Characters>
  <Lines>81</Lines>
  <Paragraphs>22</Paragraphs>
  <TotalTime>1</TotalTime>
  <ScaleCrop>false</ScaleCrop>
  <LinksUpToDate>false</LinksUpToDate>
  <CharactersWithSpaces>11500</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2025-06-14T02:18:00Z</dcterms:created>
  <dc:creator>WPS_1483577055</dc:creator>
  <cp:lastModifiedBy>work椰</cp:lastModifiedBy>
  <dcterms:modified xsi:type="dcterms:W3CDTF">2026-09-08T07:58:08Z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2052-12.8.2.21177</vt:lpwstr>
  </property>
  <property fmtid="{D5CDD505-2E9C-101B-9397-08002B2CF9AE}" pid="3" name="ICV">
    <vt:lpwstr>A8925C29AC31426E93D5B7C93C315792_13</vt:lpwstr>
  </property>
</Properties>
</file>