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道县横岭瑶族乡人民政府</w:t>
      </w: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after="156" w:afterLines="50" w:line="600" w:lineRule="exact"/>
        <w:rPr>
          <w:rFonts w:hint="eastAsia" w:ascii="Times New Roman" w:hAnsi="Times New Roman" w:cs="Times New Roman"/>
          <w:bCs/>
          <w:sz w:val="32"/>
          <w:szCs w:val="32"/>
          <w:lang w:eastAsia="zh-CN"/>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道县横岭瑶族乡人民政府概况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道县横岭瑶族乡人民政府</w:t>
      </w:r>
      <w:r>
        <w:rPr>
          <w:rFonts w:ascii="Times New Roman" w:hAnsi="Times New Roman" w:eastAsia="方正小标宋_GBK" w:cs="Times New Roman"/>
          <w:sz w:val="52"/>
          <w:szCs w:val="52"/>
        </w:rPr>
        <w:t>概况</w:t>
      </w:r>
    </w:p>
    <w:p>
      <w:pPr>
        <w:pStyle w:val="4"/>
        <w:keepNext w:val="0"/>
        <w:keepLines w:val="0"/>
        <w:pageBreakBefore w:val="0"/>
        <w:kinsoku/>
        <w:wordWrap/>
        <w:overflowPunct/>
        <w:topLinePunct w:val="0"/>
        <w:autoSpaceDE/>
        <w:autoSpaceDN/>
        <w:bidi w:val="0"/>
        <w:adjustRightInd/>
        <w:spacing w:line="240" w:lineRule="atLeast"/>
        <w:ind w:left="0" w:leftChars="0" w:firstLine="480" w:firstLineChars="200"/>
        <w:textAlignment w:val="auto"/>
        <w:rPr>
          <w:rFonts w:ascii="Times New Roman" w:hAnsi="Times New Roman" w:cs="Times New Roman"/>
        </w:rPr>
      </w:pPr>
    </w:p>
    <w:p>
      <w:pPr>
        <w:pStyle w:val="14"/>
        <w:keepNext w:val="0"/>
        <w:keepLines w:val="0"/>
        <w:pageBreakBefore w:val="0"/>
        <w:kinsoku/>
        <w:wordWrap/>
        <w:overflowPunct/>
        <w:topLinePunct w:val="0"/>
        <w:autoSpaceDE/>
        <w:autoSpaceDN/>
        <w:bidi w:val="0"/>
        <w:adjustRightInd/>
        <w:spacing w:line="240" w:lineRule="atLeast"/>
        <w:ind w:firstLine="640" w:firstLineChars="200"/>
        <w:jc w:val="left"/>
        <w:textAlignment w:val="auto"/>
        <w:rPr>
          <w:rFonts w:hint="eastAsia" w:ascii="宋体" w:hAnsi="宋体" w:cs="宋体" w:eastAsiaTheme="minorEastAsia"/>
          <w:color w:val="333333"/>
          <w:kern w:val="0"/>
          <w:szCs w:val="21"/>
          <w:lang w:eastAsia="zh-CN"/>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r>
        <w:rPr>
          <w:rFonts w:hint="eastAsia" w:ascii="Times New Roman" w:hAnsi="Times New Roman" w:eastAsia="黑体" w:cs="Times New Roman"/>
          <w:sz w:val="32"/>
          <w:szCs w:val="32"/>
          <w:lang w:eastAsia="zh-CN"/>
        </w:rPr>
        <w:t>（</w:t>
      </w:r>
      <w:r>
        <w:rPr>
          <w:rFonts w:hint="eastAsia" w:ascii="宋体" w:hAnsi="宋体" w:cs="宋体"/>
          <w:b/>
          <w:color w:val="333333"/>
          <w:kern w:val="0"/>
          <w:sz w:val="32"/>
          <w:szCs w:val="32"/>
        </w:rPr>
        <w:t>主要职能</w:t>
      </w:r>
      <w:r>
        <w:rPr>
          <w:rFonts w:hint="eastAsia" w:ascii="宋体" w:hAnsi="宋体" w:cs="宋体"/>
          <w:b/>
          <w:color w:val="333333"/>
          <w:kern w:val="0"/>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spacing w:before="100" w:beforeAutospacing="1" w:after="100" w:afterAutospacing="1" w:line="240" w:lineRule="atLeast"/>
        <w:ind w:firstLine="640" w:firstLineChars="200"/>
        <w:jc w:val="left"/>
        <w:textAlignment w:val="auto"/>
        <w:rPr>
          <w:rFonts w:hint="eastAsia" w:ascii="宋体" w:hAnsi="宋体" w:cs="宋体"/>
          <w:color w:val="333333"/>
          <w:kern w:val="0"/>
          <w:sz w:val="32"/>
          <w:szCs w:val="32"/>
        </w:rPr>
      </w:pPr>
      <w:r>
        <w:rPr>
          <w:rFonts w:hint="eastAsia" w:ascii="仿宋_GB2312" w:hAnsi="宋体" w:eastAsia="仿宋_GB2312" w:cs="宋体"/>
          <w:color w:val="333333"/>
          <w:kern w:val="0"/>
          <w:sz w:val="32"/>
          <w:szCs w:val="32"/>
        </w:rPr>
        <w:t>（1）</w:t>
      </w:r>
      <w:r>
        <w:rPr>
          <w:rFonts w:hint="eastAsia" w:ascii="宋体" w:hAnsi="宋体" w:cs="宋体"/>
          <w:color w:val="333333"/>
          <w:kern w:val="0"/>
          <w:sz w:val="32"/>
          <w:szCs w:val="32"/>
        </w:rPr>
        <w:t>促进经济发展</w:t>
      </w:r>
      <w:r>
        <w:rPr>
          <w:rFonts w:hint="eastAsia" w:ascii="Malgun Gothic Semilight" w:hAnsi="Malgun Gothic Semilight" w:eastAsia="Malgun Gothic Semilight" w:cs="Malgun Gothic Semilight"/>
          <w:color w:val="333333"/>
          <w:kern w:val="0"/>
          <w:sz w:val="32"/>
          <w:szCs w:val="32"/>
        </w:rPr>
        <w:t>，</w:t>
      </w:r>
      <w:r>
        <w:rPr>
          <w:rFonts w:hint="eastAsia" w:ascii="宋体" w:hAnsi="宋体" w:cs="宋体"/>
          <w:color w:val="333333"/>
          <w:kern w:val="0"/>
          <w:sz w:val="32"/>
          <w:szCs w:val="32"/>
        </w:rPr>
        <w:t>增加农民收入</w:t>
      </w:r>
      <w:r>
        <w:rPr>
          <w:rFonts w:hint="eastAsia" w:ascii="Malgun Gothic Semilight" w:hAnsi="Malgun Gothic Semilight" w:eastAsia="Malgun Gothic Semilight" w:cs="Malgun Gothic Semilight"/>
          <w:color w:val="333333"/>
          <w:kern w:val="0"/>
          <w:sz w:val="32"/>
          <w:szCs w:val="32"/>
        </w:rPr>
        <w:t>。</w:t>
      </w:r>
    </w:p>
    <w:p>
      <w:pPr>
        <w:keepNext w:val="0"/>
        <w:keepLines w:val="0"/>
        <w:pageBreakBefore w:val="0"/>
        <w:widowControl/>
        <w:shd w:val="clear" w:color="auto" w:fill="FFFFFF"/>
        <w:kinsoku/>
        <w:wordWrap/>
        <w:overflowPunct/>
        <w:topLinePunct w:val="0"/>
        <w:autoSpaceDE/>
        <w:autoSpaceDN/>
        <w:bidi w:val="0"/>
        <w:adjustRightInd/>
        <w:spacing w:before="100" w:beforeAutospacing="1" w:after="100" w:afterAutospacing="1" w:line="240" w:lineRule="atLeast"/>
        <w:ind w:firstLine="640" w:firstLineChars="200"/>
        <w:jc w:val="left"/>
        <w:textAlignment w:val="auto"/>
        <w:rPr>
          <w:rFonts w:ascii="宋体" w:hAnsi="宋体" w:cs="宋体"/>
          <w:color w:val="333333"/>
          <w:kern w:val="0"/>
          <w:szCs w:val="21"/>
        </w:rPr>
      </w:pPr>
      <w:r>
        <w:rPr>
          <w:rFonts w:hint="eastAsia" w:ascii="仿宋_GB2312" w:hAnsi="宋体" w:eastAsia="仿宋_GB2312" w:cs="宋体"/>
          <w:color w:val="333333"/>
          <w:kern w:val="0"/>
          <w:sz w:val="32"/>
          <w:szCs w:val="32"/>
        </w:rPr>
        <w:t>（2）</w:t>
      </w:r>
      <w:r>
        <w:rPr>
          <w:rFonts w:hint="eastAsia" w:ascii="宋体" w:hAnsi="宋体" w:cs="宋体"/>
          <w:color w:val="333333"/>
          <w:kern w:val="0"/>
          <w:sz w:val="32"/>
          <w:szCs w:val="32"/>
        </w:rPr>
        <w:t>强化公共服务</w:t>
      </w:r>
      <w:r>
        <w:rPr>
          <w:rFonts w:hint="eastAsia" w:ascii="Malgun Gothic Semilight" w:hAnsi="Malgun Gothic Semilight" w:eastAsia="Malgun Gothic Semilight" w:cs="Malgun Gothic Semilight"/>
          <w:color w:val="333333"/>
          <w:kern w:val="0"/>
          <w:sz w:val="32"/>
          <w:szCs w:val="32"/>
        </w:rPr>
        <w:t>，</w:t>
      </w:r>
      <w:r>
        <w:rPr>
          <w:rFonts w:hint="eastAsia" w:ascii="宋体" w:hAnsi="宋体" w:cs="宋体"/>
          <w:color w:val="333333"/>
          <w:kern w:val="0"/>
          <w:sz w:val="32"/>
          <w:szCs w:val="32"/>
        </w:rPr>
        <w:t>着力改善民生</w:t>
      </w:r>
      <w:r>
        <w:rPr>
          <w:rFonts w:hint="eastAsia" w:ascii="Malgun Gothic Semilight" w:hAnsi="Malgun Gothic Semilight" w:eastAsia="Malgun Gothic Semilight" w:cs="Malgun Gothic Semilight"/>
          <w:color w:val="333333"/>
          <w:kern w:val="0"/>
          <w:sz w:val="32"/>
          <w:szCs w:val="32"/>
        </w:rPr>
        <w:t>。</w:t>
      </w:r>
    </w:p>
    <w:p>
      <w:pPr>
        <w:keepNext w:val="0"/>
        <w:keepLines w:val="0"/>
        <w:pageBreakBefore w:val="0"/>
        <w:widowControl/>
        <w:shd w:val="clear" w:color="auto" w:fill="FFFFFF"/>
        <w:kinsoku/>
        <w:wordWrap/>
        <w:overflowPunct/>
        <w:topLinePunct w:val="0"/>
        <w:autoSpaceDE/>
        <w:autoSpaceDN/>
        <w:bidi w:val="0"/>
        <w:adjustRightInd/>
        <w:spacing w:before="100" w:beforeAutospacing="1" w:after="100" w:afterAutospacing="1" w:line="240" w:lineRule="atLeast"/>
        <w:ind w:firstLine="640" w:firstLineChars="200"/>
        <w:jc w:val="left"/>
        <w:textAlignment w:val="auto"/>
        <w:rPr>
          <w:rFonts w:ascii="宋体" w:hAnsi="宋体" w:cs="宋体"/>
          <w:color w:val="333333"/>
          <w:kern w:val="0"/>
          <w:szCs w:val="21"/>
        </w:rPr>
      </w:pPr>
      <w:r>
        <w:rPr>
          <w:rFonts w:hint="eastAsia" w:ascii="仿宋_GB2312" w:hAnsi="宋体" w:eastAsia="仿宋_GB2312" w:cs="宋体"/>
          <w:color w:val="333333"/>
          <w:kern w:val="0"/>
          <w:sz w:val="32"/>
          <w:szCs w:val="32"/>
        </w:rPr>
        <w:t>（3）</w:t>
      </w:r>
      <w:r>
        <w:rPr>
          <w:rFonts w:hint="eastAsia" w:ascii="宋体" w:hAnsi="宋体" w:cs="宋体"/>
          <w:color w:val="333333"/>
          <w:kern w:val="0"/>
          <w:sz w:val="32"/>
          <w:szCs w:val="32"/>
        </w:rPr>
        <w:t>加强社会管理</w:t>
      </w:r>
      <w:r>
        <w:rPr>
          <w:rFonts w:hint="eastAsia" w:ascii="Malgun Gothic Semilight" w:hAnsi="Malgun Gothic Semilight" w:eastAsia="Malgun Gothic Semilight" w:cs="Malgun Gothic Semilight"/>
          <w:color w:val="333333"/>
          <w:kern w:val="0"/>
          <w:sz w:val="32"/>
          <w:szCs w:val="32"/>
        </w:rPr>
        <w:t>，</w:t>
      </w:r>
      <w:r>
        <w:rPr>
          <w:rFonts w:hint="eastAsia" w:ascii="宋体" w:hAnsi="宋体" w:cs="宋体"/>
          <w:color w:val="333333"/>
          <w:kern w:val="0"/>
          <w:sz w:val="32"/>
          <w:szCs w:val="32"/>
        </w:rPr>
        <w:t>维护农村稳定</w:t>
      </w:r>
      <w:r>
        <w:rPr>
          <w:rFonts w:hint="eastAsia" w:ascii="Malgun Gothic Semilight" w:hAnsi="Malgun Gothic Semilight" w:eastAsia="Malgun Gothic Semilight" w:cs="Malgun Gothic Semilight"/>
          <w:color w:val="333333"/>
          <w:kern w:val="0"/>
          <w:sz w:val="32"/>
          <w:szCs w:val="32"/>
        </w:rPr>
        <w:t>。</w:t>
      </w:r>
    </w:p>
    <w:p>
      <w:pPr>
        <w:keepNext w:val="0"/>
        <w:keepLines w:val="0"/>
        <w:pageBreakBefore w:val="0"/>
        <w:widowControl/>
        <w:kinsoku/>
        <w:wordWrap/>
        <w:overflowPunct/>
        <w:topLinePunct w:val="0"/>
        <w:autoSpaceDE/>
        <w:autoSpaceDN/>
        <w:bidi w:val="0"/>
        <w:adjustRightInd/>
        <w:spacing w:line="240" w:lineRule="atLeast"/>
        <w:ind w:firstLine="640" w:firstLineChars="200"/>
        <w:textAlignment w:val="auto"/>
        <w:rPr>
          <w:rFonts w:hint="eastAsia" w:ascii="宋体" w:hAnsi="宋体" w:cs="宋体"/>
          <w:color w:val="333333"/>
          <w:kern w:val="0"/>
          <w:sz w:val="32"/>
          <w:szCs w:val="32"/>
        </w:rPr>
      </w:pPr>
      <w:r>
        <w:rPr>
          <w:rFonts w:hint="eastAsia" w:ascii="仿宋_GB2312" w:hAnsi="宋体" w:eastAsia="仿宋_GB2312" w:cs="宋体"/>
          <w:color w:val="333333"/>
          <w:kern w:val="0"/>
          <w:sz w:val="32"/>
          <w:szCs w:val="32"/>
        </w:rPr>
        <w:t>（4）</w:t>
      </w:r>
      <w:r>
        <w:rPr>
          <w:rFonts w:hint="eastAsia" w:ascii="宋体" w:hAnsi="宋体" w:cs="宋体"/>
          <w:color w:val="333333"/>
          <w:kern w:val="0"/>
          <w:sz w:val="32"/>
          <w:szCs w:val="32"/>
        </w:rPr>
        <w:t>推进基层民主</w:t>
      </w:r>
      <w:r>
        <w:rPr>
          <w:rFonts w:hint="eastAsia" w:ascii="Malgun Gothic Semilight" w:hAnsi="Malgun Gothic Semilight" w:eastAsia="Malgun Gothic Semilight" w:cs="Malgun Gothic Semilight"/>
          <w:color w:val="333333"/>
          <w:kern w:val="0"/>
          <w:sz w:val="32"/>
          <w:szCs w:val="32"/>
        </w:rPr>
        <w:t>，</w:t>
      </w:r>
      <w:r>
        <w:rPr>
          <w:rFonts w:hint="eastAsia" w:ascii="宋体" w:hAnsi="宋体" w:cs="宋体"/>
          <w:color w:val="333333"/>
          <w:kern w:val="0"/>
          <w:sz w:val="32"/>
          <w:szCs w:val="32"/>
        </w:rPr>
        <w:t>促进农村和谐</w:t>
      </w:r>
    </w:p>
    <w:p>
      <w:pPr>
        <w:keepNext w:val="0"/>
        <w:keepLines w:val="0"/>
        <w:pageBreakBefore w:val="0"/>
        <w:widowControl/>
        <w:kinsoku/>
        <w:wordWrap/>
        <w:overflowPunct/>
        <w:topLinePunct w:val="0"/>
        <w:autoSpaceDE/>
        <w:autoSpaceDN/>
        <w:bidi w:val="0"/>
        <w:adjustRightInd/>
        <w:spacing w:line="240" w:lineRule="atLeast"/>
        <w:ind w:firstLine="640" w:firstLineChars="200"/>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shd w:val="clear" w:color="auto" w:fill="FFFFFF"/>
        <w:kinsoku/>
        <w:wordWrap/>
        <w:overflowPunct/>
        <w:topLinePunct w:val="0"/>
        <w:autoSpaceDE/>
        <w:autoSpaceDN/>
        <w:bidi w:val="0"/>
        <w:adjustRightInd/>
        <w:spacing w:before="100" w:beforeAutospacing="1" w:after="100" w:afterAutospacing="1" w:line="240" w:lineRule="atLeast"/>
        <w:ind w:firstLine="640" w:firstLineChars="200"/>
        <w:jc w:val="left"/>
        <w:textAlignment w:val="auto"/>
        <w:rPr>
          <w:rFonts w:hint="eastAsia" w:ascii="仿宋_GB2312"/>
          <w:sz w:val="32"/>
          <w:szCs w:val="32"/>
        </w:rPr>
      </w:pPr>
      <w:r>
        <w:rPr>
          <w:rFonts w:hint="eastAsia" w:ascii="宋体" w:hAnsi="宋体" w:cs="宋体"/>
          <w:color w:val="333333"/>
          <w:kern w:val="0"/>
          <w:sz w:val="32"/>
          <w:szCs w:val="32"/>
          <w:lang w:val="en-US" w:eastAsia="zh-CN"/>
        </w:rPr>
        <w:t>1、</w:t>
      </w:r>
      <w:r>
        <w:rPr>
          <w:rFonts w:hint="eastAsia" w:ascii="宋体" w:hAnsi="宋体" w:cs="宋体"/>
          <w:color w:val="333333"/>
          <w:kern w:val="0"/>
          <w:sz w:val="32"/>
          <w:szCs w:val="32"/>
        </w:rPr>
        <w:t>机构情况</w:t>
      </w:r>
      <w:r>
        <w:rPr>
          <w:rFonts w:hint="eastAsia" w:ascii="Malgun Gothic Semilight" w:hAnsi="Malgun Gothic Semilight" w:eastAsia="Malgun Gothic Semilight" w:cs="Malgun Gothic Semilight"/>
          <w:color w:val="333333"/>
          <w:kern w:val="0"/>
          <w:sz w:val="32"/>
          <w:szCs w:val="32"/>
        </w:rPr>
        <w:t>：</w:t>
      </w:r>
      <w:r>
        <w:rPr>
          <w:rFonts w:hint="eastAsia" w:ascii="仿宋_GB2312"/>
          <w:sz w:val="32"/>
          <w:szCs w:val="32"/>
        </w:rPr>
        <w:t>我单位为正科级全额拨款行政单位，内设办公室、财务室、民政室、计生办、综治办等5个职能部室。</w:t>
      </w:r>
    </w:p>
    <w:p>
      <w:pPr>
        <w:keepNext w:val="0"/>
        <w:keepLines w:val="0"/>
        <w:pageBreakBefore w:val="0"/>
        <w:widowControl/>
        <w:shd w:val="clear" w:color="auto" w:fill="FFFFFF"/>
        <w:kinsoku/>
        <w:wordWrap/>
        <w:overflowPunct/>
        <w:topLinePunct w:val="0"/>
        <w:autoSpaceDE/>
        <w:autoSpaceDN/>
        <w:bidi w:val="0"/>
        <w:adjustRightInd/>
        <w:spacing w:before="100" w:beforeAutospacing="1" w:after="100" w:afterAutospacing="1" w:line="240" w:lineRule="atLeast"/>
        <w:ind w:firstLine="640" w:firstLineChars="200"/>
        <w:jc w:val="left"/>
        <w:textAlignment w:val="auto"/>
        <w:rPr>
          <w:rFonts w:hint="eastAsia" w:ascii="仿宋_GB2312" w:hAnsi="黑体" w:eastAsia="仿宋_GB2312"/>
          <w:sz w:val="32"/>
          <w:szCs w:val="32"/>
          <w:lang w:val="en-US" w:eastAsia="zh-CN"/>
        </w:rPr>
      </w:pPr>
      <w:r>
        <w:rPr>
          <w:rFonts w:hint="eastAsia" w:ascii="仿宋_GB2312"/>
          <w:sz w:val="32"/>
          <w:szCs w:val="32"/>
          <w:lang w:val="en-US" w:eastAsia="zh-CN"/>
        </w:rPr>
        <w:t>2、</w:t>
      </w:r>
      <w:r>
        <w:rPr>
          <w:rFonts w:hint="eastAsia" w:ascii="宋体" w:hAnsi="宋体" w:cs="宋体"/>
          <w:color w:val="333333"/>
          <w:kern w:val="0"/>
          <w:sz w:val="32"/>
          <w:szCs w:val="32"/>
        </w:rPr>
        <w:t>人员情况</w:t>
      </w:r>
      <w:r>
        <w:rPr>
          <w:rFonts w:hint="eastAsia" w:ascii="Malgun Gothic Semilight" w:hAnsi="Malgun Gothic Semilight" w:eastAsia="Malgun Gothic Semilight" w:cs="Malgun Gothic Semilight"/>
          <w:color w:val="333333"/>
          <w:kern w:val="0"/>
          <w:sz w:val="32"/>
          <w:szCs w:val="32"/>
        </w:rPr>
        <w:t>：</w:t>
      </w:r>
      <w:r>
        <w:rPr>
          <w:rFonts w:hint="eastAsia" w:ascii="仿宋_GB2312" w:hAnsi="黑体" w:eastAsia="仿宋_GB2312"/>
          <w:sz w:val="32"/>
          <w:szCs w:val="32"/>
        </w:rPr>
        <w:t>行政</w:t>
      </w:r>
      <w:r>
        <w:rPr>
          <w:rFonts w:hint="eastAsia" w:ascii="仿宋_GB2312" w:hAnsi="黑体" w:eastAsia="仿宋_GB2312"/>
          <w:sz w:val="32"/>
          <w:szCs w:val="32"/>
          <w:lang w:val="en-US" w:eastAsia="zh-CN"/>
        </w:rPr>
        <w:t>17</w:t>
      </w:r>
      <w:r>
        <w:rPr>
          <w:rFonts w:hint="eastAsia" w:ascii="仿宋_GB2312" w:hAnsi="黑体" w:eastAsia="仿宋_GB2312"/>
          <w:sz w:val="32"/>
          <w:szCs w:val="32"/>
        </w:rPr>
        <w:t>人，事业</w:t>
      </w:r>
      <w:r>
        <w:rPr>
          <w:rFonts w:hint="eastAsia" w:ascii="仿宋_GB2312" w:hAnsi="黑体" w:eastAsia="仿宋_GB2312"/>
          <w:sz w:val="32"/>
          <w:szCs w:val="32"/>
          <w:lang w:val="en-US" w:eastAsia="zh-CN"/>
        </w:rPr>
        <w:t>20</w:t>
      </w:r>
      <w:r>
        <w:rPr>
          <w:rFonts w:hint="eastAsia" w:ascii="仿宋_GB2312" w:hAnsi="黑体" w:eastAsia="仿宋_GB2312"/>
          <w:sz w:val="32"/>
          <w:szCs w:val="32"/>
        </w:rPr>
        <w:t>人，</w:t>
      </w:r>
      <w:r>
        <w:rPr>
          <w:rFonts w:hint="eastAsia" w:ascii="仿宋_GB2312" w:hAnsi="黑体" w:eastAsia="仿宋_GB2312"/>
          <w:sz w:val="32"/>
          <w:szCs w:val="32"/>
          <w:lang w:eastAsia="zh-CN"/>
        </w:rPr>
        <w:t>现有在编人数</w:t>
      </w:r>
      <w:r>
        <w:rPr>
          <w:rFonts w:hint="eastAsia" w:ascii="仿宋_GB2312" w:hAnsi="黑体" w:eastAsia="仿宋_GB2312"/>
          <w:sz w:val="32"/>
          <w:szCs w:val="32"/>
          <w:lang w:val="en-US" w:eastAsia="zh-CN"/>
        </w:rPr>
        <w:t>37人。</w:t>
      </w:r>
    </w:p>
    <w:p>
      <w:pPr>
        <w:keepNext w:val="0"/>
        <w:keepLines w:val="0"/>
        <w:pageBreakBefore w:val="0"/>
        <w:widowControl/>
        <w:shd w:val="clear" w:color="auto" w:fill="FFFFFF"/>
        <w:kinsoku/>
        <w:wordWrap/>
        <w:overflowPunct/>
        <w:topLinePunct w:val="0"/>
        <w:autoSpaceDE/>
        <w:autoSpaceDN/>
        <w:bidi w:val="0"/>
        <w:adjustRightInd/>
        <w:spacing w:before="100" w:beforeAutospacing="1" w:after="100" w:afterAutospacing="1" w:line="240" w:lineRule="atLeast"/>
        <w:ind w:firstLine="640" w:firstLineChars="200"/>
        <w:jc w:val="left"/>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3、</w:t>
      </w:r>
      <w:r>
        <w:rPr>
          <w:rFonts w:hint="eastAsia" w:ascii="仿宋_GB2312" w:hAnsi="宋体"/>
          <w:sz w:val="30"/>
          <w:szCs w:val="30"/>
        </w:rPr>
        <w:t>决算单位构成。道县西洲街道办事处</w:t>
      </w:r>
      <w:r>
        <w:rPr>
          <w:rFonts w:hint="eastAsia" w:ascii="仿宋_GB2312" w:hAnsi="宋体"/>
          <w:sz w:val="30"/>
          <w:szCs w:val="30"/>
          <w:lang w:eastAsia="zh-CN"/>
        </w:rPr>
        <w:t>2025</w:t>
      </w:r>
      <w:r>
        <w:rPr>
          <w:rFonts w:hint="eastAsia" w:ascii="仿宋_GB2312" w:hAnsi="宋体"/>
          <w:sz w:val="30"/>
          <w:szCs w:val="30"/>
        </w:rPr>
        <w:t>年部门决算公开单位构成包括：</w:t>
      </w:r>
      <w:r>
        <w:rPr>
          <w:rFonts w:hint="eastAsia" w:ascii="Times New Roman" w:hAnsi="Times New Roman" w:cs="Times New Roman"/>
          <w:bCs/>
          <w:sz w:val="32"/>
          <w:szCs w:val="32"/>
          <w:lang w:eastAsia="zh-CN"/>
        </w:rPr>
        <w:t>道县横岭瑶族乡人民政府本级</w:t>
      </w:r>
    </w:p>
    <w:p>
      <w:pPr>
        <w:pStyle w:val="8"/>
        <w:keepNext w:val="0"/>
        <w:keepLines w:val="0"/>
        <w:pageBreakBefore w:val="0"/>
        <w:kinsoku/>
        <w:wordWrap/>
        <w:overflowPunct/>
        <w:topLinePunct w:val="0"/>
        <w:autoSpaceDE/>
        <w:autoSpaceDN/>
        <w:bidi w:val="0"/>
        <w:adjustRightInd/>
        <w:spacing w:line="240" w:lineRule="atLeast"/>
        <w:ind w:firstLine="360" w:firstLineChars="200"/>
        <w:textAlignment w:val="auto"/>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556.15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426.25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w:t>
            </w:r>
            <w:r>
              <w:rPr>
                <w:rFonts w:hint="eastAsia" w:ascii="宋体" w:hAnsi="宋体" w:cs="宋体"/>
                <w:color w:val="333333"/>
                <w:kern w:val="0"/>
                <w:sz w:val="16"/>
                <w:szCs w:val="16"/>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42.1</w:t>
            </w:r>
          </w:p>
        </w:tc>
      </w:tr>
      <w:tr>
        <w:tblPrEx>
          <w:tblCellMar>
            <w:top w:w="0" w:type="dxa"/>
            <w:left w:w="108" w:type="dxa"/>
            <w:bottom w:w="0" w:type="dxa"/>
            <w:right w:w="108" w:type="dxa"/>
          </w:tblCellMar>
        </w:tblPrEx>
        <w:trPr>
          <w:trHeight w:val="36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宋体" w:hAnsi="宋体" w:cs="宋体"/>
                <w:color w:val="333333"/>
                <w:kern w:val="0"/>
                <w:sz w:val="16"/>
                <w:szCs w:val="16"/>
              </w:rPr>
              <w:t>医疗卫生与计划生育支出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22.89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宋体" w:hAnsi="宋体" w:cs="宋体"/>
                <w:color w:val="333333"/>
                <w:kern w:val="0"/>
                <w:sz w:val="16"/>
                <w:szCs w:val="16"/>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54.89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556.15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556.15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2010301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426.25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426.25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2011199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其他纪检监察事务支出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6.3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39.22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39.22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2130209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森林生态效益补偿</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2130705</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对村民委员会和村党支部的补助</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autofit"/>
        <w:tblCellMar>
          <w:top w:w="0" w:type="dxa"/>
          <w:left w:w="108" w:type="dxa"/>
          <w:bottom w:w="0" w:type="dxa"/>
          <w:right w:w="108" w:type="dxa"/>
        </w:tblCellMar>
      </w:tblPr>
      <w:tblGrid>
        <w:gridCol w:w="2073"/>
        <w:gridCol w:w="3786"/>
        <w:gridCol w:w="1527"/>
        <w:gridCol w:w="984"/>
        <w:gridCol w:w="984"/>
        <w:gridCol w:w="1527"/>
        <w:gridCol w:w="984"/>
        <w:gridCol w:w="234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556.15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556.15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2010301</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52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426.25</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426.25</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2011199</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其他纪检监察事务支出</w:t>
            </w:r>
          </w:p>
        </w:tc>
        <w:tc>
          <w:tcPr>
            <w:tcW w:w="152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6.3</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6.3</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52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39.22</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39.22</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152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2.89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2.89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2101101</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行政单位医疗</w:t>
            </w:r>
          </w:p>
        </w:tc>
        <w:tc>
          <w:tcPr>
            <w:tcW w:w="152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22.89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22.89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2130209</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森林生态效益补偿</w:t>
            </w:r>
          </w:p>
        </w:tc>
        <w:tc>
          <w:tcPr>
            <w:tcW w:w="1527"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4.89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4.89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2130705</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对村民委员会和村党支部的补助</w:t>
            </w:r>
          </w:p>
        </w:tc>
        <w:tc>
          <w:tcPr>
            <w:tcW w:w="1527"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w:t>
            </w: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04"/>
        <w:gridCol w:w="1731"/>
        <w:gridCol w:w="1859"/>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79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556.15</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一、一般公共服务支出</w:t>
            </w:r>
          </w:p>
        </w:tc>
        <w:tc>
          <w:tcPr>
            <w:tcW w:w="0" w:type="auto"/>
            <w:tcBorders>
              <w:top w:val="nil"/>
              <w:left w:val="nil"/>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14</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426.25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二、</w:t>
            </w:r>
            <w:r>
              <w:rPr>
                <w:rFonts w:hint="eastAsia" w:ascii="宋体" w:hAnsi="宋体" w:cs="宋体"/>
                <w:color w:val="333333"/>
                <w:kern w:val="0"/>
                <w:sz w:val="16"/>
                <w:szCs w:val="16"/>
              </w:rPr>
              <w:t>社会保障和就业支出</w:t>
            </w:r>
          </w:p>
        </w:tc>
        <w:tc>
          <w:tcPr>
            <w:tcW w:w="0" w:type="auto"/>
            <w:tcBorders>
              <w:top w:val="nil"/>
              <w:left w:val="nil"/>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15</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三、</w:t>
            </w:r>
            <w:r>
              <w:rPr>
                <w:rFonts w:hint="eastAsia" w:ascii="宋体" w:hAnsi="宋体" w:cs="宋体"/>
                <w:color w:val="333333"/>
                <w:kern w:val="0"/>
                <w:sz w:val="16"/>
                <w:szCs w:val="16"/>
              </w:rPr>
              <w:t>医疗卫生与计划生育支出</w:t>
            </w:r>
          </w:p>
        </w:tc>
        <w:tc>
          <w:tcPr>
            <w:tcW w:w="0" w:type="auto"/>
            <w:tcBorders>
              <w:top w:val="nil"/>
              <w:left w:val="nil"/>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16</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22.89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四、</w:t>
            </w:r>
            <w:r>
              <w:rPr>
                <w:rFonts w:hint="eastAsia" w:ascii="宋体" w:hAnsi="宋体" w:cs="宋体"/>
                <w:color w:val="333333"/>
                <w:kern w:val="0"/>
                <w:sz w:val="16"/>
                <w:szCs w:val="16"/>
              </w:rPr>
              <w:t>农林水支出</w:t>
            </w:r>
          </w:p>
        </w:tc>
        <w:tc>
          <w:tcPr>
            <w:tcW w:w="0" w:type="auto"/>
            <w:tcBorders>
              <w:top w:val="nil"/>
              <w:left w:val="nil"/>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17</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54.89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7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794"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556.15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556.15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556.15</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556.15</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2010301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426.25</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426.25</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2011199</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其他纪检监察事务支出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6.3</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6.3</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39.22</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39.22</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2.89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2.89</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2101101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22.89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22.89</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2130209</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森林生态效益补偿</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4.89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4.89</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2130705</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对村民委员会和村党支部的补助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w:t>
            </w:r>
          </w:p>
        </w:tc>
        <w:tc>
          <w:tcPr>
            <w:tcW w:w="0" w:type="auto"/>
            <w:tcBorders>
              <w:top w:val="single" w:color="auto" w:sz="4" w:space="0"/>
              <w:left w:val="single" w:color="auto" w:sz="4" w:space="0"/>
              <w:bottom w:val="single" w:color="auto" w:sz="4" w:space="0"/>
              <w:right w:val="single" w:color="auto" w:sz="4" w:space="0"/>
            </w:tcBorders>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427.54</w:t>
            </w:r>
            <w:r>
              <w:rPr>
                <w:rFonts w:ascii="Times New Roman" w:hAnsi="Times New Roman" w:eastAsia="仿宋_GB2312" w:cs="Times New Roman"/>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125.7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9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181.8</w:t>
            </w:r>
            <w:r>
              <w:rPr>
                <w:rFonts w:ascii="Times New Roman" w:hAnsi="Times New Roman" w:eastAsia="仿宋_GB2312" w:cs="Times New Roman"/>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82.82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jc w:val="both"/>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jc w:val="both"/>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137.88</w:t>
            </w:r>
            <w:r>
              <w:rPr>
                <w:rFonts w:ascii="Times New Roman" w:hAnsi="Times New Roman" w:eastAsia="仿宋_GB2312" w:cs="Times New Roman"/>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39.22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21.32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9.34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27.84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430.44</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125.7</w:t>
            </w:r>
            <w:r>
              <w:rPr>
                <w:rFonts w:ascii="Times New Roman" w:hAnsi="Times New Roman" w:eastAsia="仿宋_GB2312" w:cs="Times New Roman"/>
                <w:color w:val="000000"/>
                <w:kern w:val="0"/>
                <w:szCs w:val="18"/>
              </w:rPr>
              <w:t>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widowControl/>
        <w:shd w:val="clear" w:color="auto" w:fill="FFFFFF"/>
        <w:spacing w:before="100" w:beforeAutospacing="1" w:after="100" w:afterAutospacing="1" w:line="432" w:lineRule="auto"/>
        <w:ind w:firstLine="537" w:firstLineChars="168"/>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仿宋_GB2312" w:hAnsi="黑体" w:eastAsia="仿宋_GB2312"/>
          <w:sz w:val="32"/>
          <w:szCs w:val="32"/>
          <w:lang w:val="en-US" w:eastAsia="zh-CN"/>
        </w:rPr>
        <w:t>556.15</w:t>
      </w:r>
      <w:r>
        <w:rPr>
          <w:rFonts w:ascii="Times New Roman" w:hAnsi="Times New Roman" w:eastAsia="仿宋_GB2312" w:cs="Times New Roman"/>
          <w:sz w:val="32"/>
          <w:szCs w:val="32"/>
        </w:rPr>
        <w:t>万元。与上年相比，</w:t>
      </w:r>
      <w:r>
        <w:rPr>
          <w:rFonts w:hint="eastAsia" w:ascii="宋体" w:hAnsi="宋体" w:cs="宋体"/>
          <w:sz w:val="32"/>
          <w:szCs w:val="32"/>
          <w:lang w:eastAsia="zh-CN"/>
        </w:rPr>
        <w:t>减少</w:t>
      </w:r>
      <w:r>
        <w:rPr>
          <w:rFonts w:hint="eastAsia" w:ascii="宋体" w:hAnsi="宋体" w:cs="宋体"/>
          <w:sz w:val="32"/>
          <w:szCs w:val="32"/>
          <w:lang w:val="en-US" w:eastAsia="zh-CN"/>
        </w:rPr>
        <w:t>353.64</w:t>
      </w:r>
      <w:r>
        <w:rPr>
          <w:rFonts w:ascii="Times New Roman" w:hAnsi="Times New Roman" w:eastAsia="仿宋_GB2312" w:cs="Times New Roman"/>
          <w:sz w:val="32"/>
          <w:szCs w:val="32"/>
        </w:rPr>
        <w:t>万元，</w:t>
      </w:r>
      <w:r>
        <w:rPr>
          <w:rFonts w:hint="eastAsia" w:ascii="宋体" w:hAnsi="宋体" w:eastAsia="Malgun Gothic Semilight" w:cs="宋体"/>
          <w:color w:val="333333"/>
          <w:kern w:val="0"/>
          <w:sz w:val="32"/>
          <w:szCs w:val="32"/>
          <w:lang w:eastAsia="zh-CN"/>
        </w:rPr>
        <w:t>减低</w:t>
      </w:r>
      <w:r>
        <w:rPr>
          <w:rFonts w:hint="eastAsia" w:ascii="宋体" w:hAnsi="宋体" w:eastAsia="Malgun Gothic Semilight" w:cs="宋体"/>
          <w:color w:val="333333"/>
          <w:kern w:val="0"/>
          <w:sz w:val="32"/>
          <w:szCs w:val="32"/>
          <w:lang w:val="en-US" w:eastAsia="zh-CN"/>
        </w:rPr>
        <w:t>38.87</w:t>
      </w:r>
      <w:r>
        <w:rPr>
          <w:rFonts w:hint="eastAsia" w:ascii="仿宋_GB2312" w:hAnsi="宋体" w:eastAsia="仿宋_GB2312" w:cs="宋体"/>
          <w:color w:val="333333"/>
          <w:kern w:val="0"/>
          <w:sz w:val="32"/>
          <w:szCs w:val="32"/>
        </w:rPr>
        <w:t>%，</w:t>
      </w:r>
      <w:r>
        <w:rPr>
          <w:rFonts w:hint="eastAsia" w:ascii="宋体" w:hAnsi="宋体" w:cs="宋体"/>
          <w:color w:val="333333"/>
          <w:kern w:val="0"/>
          <w:sz w:val="32"/>
          <w:szCs w:val="32"/>
        </w:rPr>
        <w:t>主要是财政拨款收入</w:t>
      </w:r>
      <w:r>
        <w:rPr>
          <w:rFonts w:hint="eastAsia" w:ascii="宋体" w:hAnsi="宋体" w:cs="宋体"/>
          <w:color w:val="333333"/>
          <w:kern w:val="0"/>
          <w:sz w:val="32"/>
          <w:szCs w:val="32"/>
          <w:lang w:eastAsia="zh-CN"/>
        </w:rPr>
        <w:t>减少</w:t>
      </w:r>
      <w:r>
        <w:rPr>
          <w:rFonts w:hint="eastAsia" w:ascii="仿宋_GB2312" w:hAnsi="宋体" w:eastAsia="仿宋_GB2312" w:cs="宋体"/>
          <w:color w:val="333333"/>
          <w:kern w:val="0"/>
          <w:sz w:val="32"/>
          <w:szCs w:val="32"/>
        </w:rPr>
        <w:t>。</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_GB2312" w:hAnsi="黑体" w:eastAsia="仿宋_GB2312"/>
          <w:sz w:val="32"/>
          <w:szCs w:val="32"/>
          <w:lang w:val="en-US" w:eastAsia="zh-CN"/>
        </w:rPr>
        <w:t>556.15</w:t>
      </w:r>
      <w:r>
        <w:rPr>
          <w:rFonts w:ascii="Times New Roman" w:hAnsi="Times New Roman" w:eastAsia="仿宋_GB2312" w:cs="Times New Roman"/>
          <w:sz w:val="32"/>
          <w:szCs w:val="32"/>
        </w:rPr>
        <w:t>万元，其中：财政拨款收入</w:t>
      </w:r>
      <w:r>
        <w:rPr>
          <w:rFonts w:hint="eastAsia" w:ascii="仿宋_GB2312" w:hAnsi="黑体" w:eastAsia="仿宋_GB2312"/>
          <w:sz w:val="32"/>
          <w:szCs w:val="32"/>
          <w:lang w:val="en-US" w:eastAsia="zh-CN"/>
        </w:rPr>
        <w:t>556.15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仿宋_GB2312" w:hAnsi="黑体" w:eastAsia="仿宋_GB2312"/>
          <w:sz w:val="32"/>
          <w:szCs w:val="32"/>
          <w:lang w:val="en-US" w:eastAsia="zh-CN"/>
        </w:rPr>
        <w:t>556.15</w:t>
      </w:r>
      <w:r>
        <w:rPr>
          <w:rFonts w:ascii="Times New Roman" w:hAnsi="Times New Roman" w:eastAsia="仿宋_GB2312" w:cs="Times New Roman"/>
          <w:sz w:val="32"/>
          <w:szCs w:val="32"/>
        </w:rPr>
        <w:t>万元，其中：基本支出</w:t>
      </w:r>
      <w:r>
        <w:rPr>
          <w:rFonts w:hint="eastAsia" w:ascii="仿宋_GB2312" w:hAnsi="黑体" w:eastAsia="仿宋_GB2312"/>
          <w:sz w:val="32"/>
          <w:szCs w:val="32"/>
          <w:lang w:val="en-US" w:eastAsia="zh-CN"/>
        </w:rPr>
        <w:t>556.15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556.15</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353.64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减低</w:t>
      </w:r>
      <w:r>
        <w:rPr>
          <w:rFonts w:hint="eastAsia" w:ascii="Times New Roman" w:hAnsi="Times New Roman" w:eastAsia="仿宋_GB2312" w:cs="Times New Roman"/>
          <w:sz w:val="32"/>
          <w:szCs w:val="32"/>
          <w:lang w:val="en-US" w:eastAsia="zh-CN"/>
        </w:rPr>
        <w:t>38.87</w:t>
      </w:r>
      <w:r>
        <w:rPr>
          <w:rFonts w:hint="eastAsia" w:ascii="Times New Roman" w:hAnsi="Times New Roman" w:eastAsia="仿宋_GB2312" w:cs="Times New Roman"/>
          <w:sz w:val="32"/>
          <w:szCs w:val="32"/>
        </w:rPr>
        <w:t>%，主要是财政拨款收入</w:t>
      </w:r>
      <w:r>
        <w:rPr>
          <w:rFonts w:hint="eastAsia" w:ascii="Times New Roman" w:hAnsi="Times New Roman" w:eastAsia="仿宋_GB2312" w:cs="Times New Roman"/>
          <w:sz w:val="32"/>
          <w:szCs w:val="32"/>
          <w:lang w:eastAsia="zh-CN"/>
        </w:rPr>
        <w:t>减少。</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556.15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353.64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减低</w:t>
      </w:r>
      <w:r>
        <w:rPr>
          <w:rFonts w:hint="eastAsia" w:ascii="Times New Roman" w:hAnsi="Times New Roman" w:eastAsia="仿宋_GB2312" w:cs="Times New Roman"/>
          <w:sz w:val="32"/>
          <w:szCs w:val="32"/>
          <w:lang w:val="en-US" w:eastAsia="zh-CN"/>
        </w:rPr>
        <w:t>38.87</w:t>
      </w:r>
      <w:r>
        <w:rPr>
          <w:rFonts w:hint="eastAsia" w:ascii="Times New Roman" w:hAnsi="Times New Roman" w:eastAsia="仿宋_GB2312" w:cs="Times New Roman"/>
          <w:sz w:val="32"/>
          <w:szCs w:val="32"/>
        </w:rPr>
        <w:t>%，主要是财政拨款收入</w:t>
      </w:r>
      <w:r>
        <w:rPr>
          <w:rFonts w:hint="eastAsia" w:ascii="Times New Roman" w:hAnsi="Times New Roman" w:eastAsia="仿宋_GB2312" w:cs="Times New Roman"/>
          <w:sz w:val="32"/>
          <w:szCs w:val="32"/>
          <w:lang w:eastAsia="zh-CN"/>
        </w:rPr>
        <w:t>减少。</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556.15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426.25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76.64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42.1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医疗卫生与计划生育</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22.89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54.89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556.15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556.15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年初预算为426.25万元，支出决算为426.25万元，完成年初预算的100%。</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2、一般公共服务（类）纪检监察事务（款）其他纪检监察事务支出（项）。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年初预算为6.3万元，支出决算为6.3万元，完成年初预算的100%。</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3、社会保障和就业支出（类）行政事业单位养老支出（款）机关事业单位基本养老保险缴费支出（项）。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年初预算为39.22万元，支出决算为39.22万元，完成年初</w:t>
      </w:r>
      <w:r>
        <w:rPr>
          <w:rFonts w:ascii="Times New Roman" w:hAnsi="Times New Roman" w:eastAsia="仿宋_GB2312" w:cs="Times New Roman"/>
          <w:sz w:val="32"/>
          <w:szCs w:val="32"/>
        </w:rPr>
        <w:t>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死亡抚恤</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林业和草原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森林生态效益补偿</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农村综合改革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对村民委员会和村党支部的补助</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426.25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76.64</w:t>
      </w:r>
      <w:r>
        <w:rPr>
          <w:rFonts w:hint="eastAsia"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556.15</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430.44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77.39</w:t>
      </w:r>
      <w:r>
        <w:rPr>
          <w:rFonts w:ascii="Times New Roman" w:hAnsi="Times New Roman" w:eastAsia="仿宋_GB2312" w:cs="Times New Roman"/>
          <w:sz w:val="32"/>
          <w:szCs w:val="32"/>
        </w:rPr>
        <w:t>%,主要包括基本工资、津贴补贴、奖金、伙食补助费。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125.7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22.61</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车辆维修</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 xml:space="preserve"> 我单位没有政府性基金收入，也没有使用政府性基金安排的支出，故本表无数据。</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125.7</w:t>
      </w:r>
      <w:r>
        <w:rPr>
          <w:rFonts w:ascii="Times New Roman" w:hAnsi="Times New Roman" w:eastAsia="仿宋_GB2312" w:cs="Times New Roman"/>
          <w:sz w:val="32"/>
          <w:szCs w:val="32"/>
        </w:rPr>
        <w:t>万元</w:t>
      </w:r>
    </w:p>
    <w:p>
      <w:pPr>
        <w:pStyle w:val="13"/>
        <w:spacing w:line="600" w:lineRule="exact"/>
        <w:ind w:firstLine="640" w:firstLineChars="200"/>
        <w:rPr>
          <w:rFonts w:hAnsi="黑体"/>
          <w:bCs/>
          <w:sz w:val="32"/>
          <w:szCs w:val="32"/>
        </w:rPr>
      </w:pPr>
      <w:r>
        <w:rPr>
          <w:rFonts w:hint="eastAsia" w:hAnsi="黑体"/>
          <w:bCs/>
          <w:sz w:val="32"/>
          <w:szCs w:val="32"/>
        </w:rPr>
        <w:t>十、一般性支出情况说明</w:t>
      </w:r>
    </w:p>
    <w:p>
      <w:pPr>
        <w:pStyle w:val="13"/>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万元、政府采购工程支出0万元、政府采购服务支出0万元。</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12月31日，部门（单位）共有车辆1辆，其中，副部（省）级及以上领导用车0辆、主要负责人用车0辆、机要通信用车0辆、应急保障用车0辆、执法执勤用车1辆、特种专业技术用车0辆、离退休干部服务用车0辆、其他用车0辆；单位价值100万元以上设备（不含车辆）0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eastAsia="zh-CN"/>
        </w:rPr>
        <w:t>道县横岭瑶族乡人民政府2025</w:t>
      </w:r>
      <w:r>
        <w:rPr>
          <w:rFonts w:hint="eastAsia" w:ascii="Times New Roman" w:hAnsi="Times New Roman" w:eastAsia="仿宋_GB2312"/>
          <w:color w:val="auto"/>
          <w:sz w:val="32"/>
          <w:szCs w:val="32"/>
        </w:rPr>
        <w:t>年度严格按照上级要求进行了绩效管理，并严格进行内部控制及内部审核工作。</w:t>
      </w:r>
    </w:p>
    <w:p>
      <w:pPr>
        <w:pStyle w:val="13"/>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（二）部门（单位）整体支出绩效情况</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根据《会计法》、《预算法》、《行政单位会计制度》等法律和财政部及省财政厅有关财务规章的规定，乡政府先后制订了《财务管理制度》、《道县横岭瑶族乡人民政府公务接待管理办法》、《道县横岭瑶族乡人民政府差旅费管理办法》等制度，制度明确了经费审批权限及程序，经费预算、核算管理、资产购置与处置、财务监督等，针对“三公”经费建立公用经费标准定额体系，开展公用经费使用监督和绩效评估，领导重视，干部参与，制度建立完善。</w:t>
      </w:r>
    </w:p>
    <w:p>
      <w:pPr>
        <w:pStyle w:val="13"/>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（三）存在的问题及原因分析</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1、预算绩效管理机制有待进一步完善，需进一步结合工作实际完善资金管理文件办法等。</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2、绩效目标设定不够细化，绩效目标的科学性、合理性以及量化可考核性有待进一步加强。</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3、内控制度执行有待进一步规范。</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4、存在预算资金不够细分，支出与预算匹配度不够等问题。</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改进方法：</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规范账务处理，提高财务信息质量。严格按照《会计法》、《行政单位会计制度》、《行政单位财务规则》等规定执行财务核算，并结合实际情况，完整、准确地披露相关信息，做到决算与预算相衔接。</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w:t>
      </w:r>
    </w:p>
    <w:p>
      <w:pPr>
        <w:pStyle w:val="13"/>
        <w:jc w:val="center"/>
        <w:rPr>
          <w:sz w:val="72"/>
          <w:szCs w:val="72"/>
        </w:rPr>
      </w:pPr>
    </w:p>
    <w:p>
      <w:pPr>
        <w:pStyle w:val="13"/>
        <w:jc w:val="center"/>
        <w:rPr>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bookmarkStart w:id="3" w:name="_GoBack"/>
      <w:bookmarkEnd w:id="3"/>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algun Gothic Semilight">
    <w:altName w:val="宋体"/>
    <w:panose1 w:val="020B0502040204020203"/>
    <w:charset w:val="86"/>
    <w:family w:val="swiss"/>
    <w:pitch w:val="default"/>
    <w:sig w:usb0="00000000" w:usb1="00000000" w:usb2="00000012" w:usb3="00000000" w:csb0="203E01BD" w:csb1="D7FF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Malgun Gothic Semilight">
    <w:altName w:val="Malgun Gothic"/>
    <w:panose1 w:val="00000000000000000000"/>
    <w:charset w:val="00"/>
    <w:family w:val="auto"/>
    <w:pitch w:val="default"/>
    <w:sig w:usb0="00000000" w:usb1="00000000" w:usb2="00000000" w:usb3="00000000" w:csb0="00000000" w:csb1="00000000"/>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D97DEFF"/>
    <w:rsid w:val="1DFF72E5"/>
    <w:rsid w:val="1EFC6F07"/>
    <w:rsid w:val="23E76EA7"/>
    <w:rsid w:val="2FDF85B8"/>
    <w:rsid w:val="2FFFEE04"/>
    <w:rsid w:val="34DF85B0"/>
    <w:rsid w:val="3B8F36BC"/>
    <w:rsid w:val="491FF225"/>
    <w:rsid w:val="4FFD214C"/>
    <w:rsid w:val="5777D4F5"/>
    <w:rsid w:val="59DD8326"/>
    <w:rsid w:val="5D6F2426"/>
    <w:rsid w:val="5DEF592A"/>
    <w:rsid w:val="5FC6BB1E"/>
    <w:rsid w:val="5FF720F1"/>
    <w:rsid w:val="63AE5057"/>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unhideWhenUsed/>
    <w:qFormat/>
    <w:uiPriority w:val="99"/>
    <w:pPr>
      <w:spacing w:after="12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6071</Words>
  <Characters>7191</Characters>
  <Lines>69</Lines>
  <Paragraphs>19</Paragraphs>
  <TotalTime>6</TotalTime>
  <ScaleCrop>false</ScaleCrop>
  <LinksUpToDate>false</LinksUpToDate>
  <CharactersWithSpaces>8492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2026-09-14T07:39:02Z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B8942B5828EB443CAA46417C5178A062_13</vt:lpwstr>
  </property>
  <property fmtid="{D5CDD505-2E9C-101B-9397-08002B2CF9AE}" pid="4" name="KSOTemplateDocerSaveRecord">
    <vt:lpwstr>eyJoZGlkIjoiMTFlODBkMWMyZjkxNTA5YWQxNzc4YWFlMDM4NDAxMzMiLCJ1c2VySWQiOiI0NTM1MTQ1NzAifQ==</vt:lpwstr>
  </property>
</Properties>
</file>