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spacing w:line="540" w:lineRule="exact"/>
        <w:jc w:val="center"/>
        <w:textAlignment w:val="auto"/>
      </w:pPr>
      <w:r>
        <w:rPr>
          <w:rFonts w:hint="eastAsia"/>
        </w:rPr>
        <w:t>道县</w:t>
      </w:r>
      <w:r>
        <w:rPr>
          <w:rFonts w:hint="eastAsia"/>
          <w:lang w:val="en-US" w:eastAsia="zh-CN"/>
        </w:rPr>
        <w:t>科学技术协会</w:t>
      </w:r>
      <w:r>
        <w:rPr>
          <w:rFonts w:hint="eastAsia"/>
          <w:lang w:eastAsia="zh-CN"/>
        </w:rPr>
        <w:t>202</w:t>
      </w:r>
      <w:r>
        <w:rPr>
          <w:rFonts w:hint="eastAsia"/>
          <w:lang w:val="en-US" w:eastAsia="zh-CN"/>
        </w:rPr>
        <w:t>5</w:t>
      </w:r>
      <w:r>
        <w:rPr>
          <w:rFonts w:hint="eastAsia"/>
        </w:rPr>
        <w:t>年</w:t>
      </w:r>
      <w:r>
        <w:rPr>
          <w:rFonts w:hint="eastAsia"/>
          <w:lang w:val="en-US" w:eastAsia="zh-CN"/>
        </w:rPr>
        <w:t>部门</w:t>
      </w:r>
      <w:r>
        <w:rPr>
          <w:rFonts w:hint="eastAsia"/>
        </w:rPr>
        <w:t>整体</w:t>
      </w:r>
      <w:r>
        <w:t>支出绩效</w:t>
      </w:r>
      <w:r>
        <w:rPr>
          <w:rFonts w:hint="eastAsia"/>
          <w:lang w:val="en-US" w:eastAsia="zh-CN"/>
        </w:rPr>
        <w:t>评价</w:t>
      </w:r>
      <w:r>
        <w:t>报告</w:t>
      </w:r>
    </w:p>
    <w:p>
      <w:pPr>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一、</w:t>
      </w:r>
      <w:r>
        <w:rPr>
          <w:rFonts w:hint="eastAsia" w:ascii="黑体" w:hAnsi="黑体" w:eastAsia="黑体" w:cs="黑体"/>
          <w:b w:val="0"/>
          <w:bCs w:val="0"/>
          <w:sz w:val="32"/>
          <w:szCs w:val="32"/>
        </w:rPr>
        <w:t>基本情况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（一）部门（单位）基本情况</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1、道县</w:t>
      </w:r>
      <w:r>
        <w:rPr>
          <w:rFonts w:hint="eastAsia" w:ascii="仿宋_GB2312" w:hAnsi="仿宋_GB2312" w:eastAsia="仿宋_GB2312" w:cs="仿宋_GB2312"/>
          <w:b w:val="0"/>
          <w:bCs w:val="0"/>
          <w:sz w:val="32"/>
          <w:szCs w:val="32"/>
          <w:lang w:val="en-US" w:eastAsia="zh-CN"/>
        </w:rPr>
        <w:t>科学技术协会</w:t>
      </w:r>
      <w:r>
        <w:rPr>
          <w:rFonts w:hint="eastAsia" w:ascii="仿宋_GB2312" w:hAnsi="仿宋_GB2312" w:eastAsia="仿宋_GB2312" w:cs="仿宋_GB2312"/>
          <w:b w:val="0"/>
          <w:bCs w:val="0"/>
          <w:sz w:val="32"/>
          <w:szCs w:val="32"/>
        </w:rPr>
        <w:t>是正科级</w:t>
      </w:r>
      <w:r>
        <w:rPr>
          <w:rFonts w:hint="eastAsia" w:ascii="仿宋_GB2312" w:hAnsi="仿宋_GB2312" w:eastAsia="仿宋_GB2312" w:cs="仿宋_GB2312"/>
          <w:b w:val="0"/>
          <w:bCs w:val="0"/>
          <w:sz w:val="32"/>
          <w:szCs w:val="32"/>
          <w:lang w:val="en-US" w:eastAsia="zh-CN"/>
        </w:rPr>
        <w:t>参照公务员管理</w:t>
      </w:r>
      <w:r>
        <w:rPr>
          <w:rFonts w:hint="eastAsia" w:ascii="仿宋_GB2312" w:hAnsi="仿宋_GB2312" w:eastAsia="仿宋_GB2312" w:cs="仿宋_GB2312"/>
          <w:b w:val="0"/>
          <w:bCs w:val="0"/>
          <w:sz w:val="32"/>
          <w:szCs w:val="32"/>
        </w:rPr>
        <w:t>全额拨款</w:t>
      </w:r>
      <w:r>
        <w:rPr>
          <w:rFonts w:hint="eastAsia" w:ascii="仿宋_GB2312" w:hAnsi="仿宋_GB2312" w:eastAsia="仿宋_GB2312" w:cs="仿宋_GB2312"/>
          <w:b w:val="0"/>
          <w:bCs w:val="0"/>
          <w:sz w:val="32"/>
          <w:szCs w:val="32"/>
          <w:lang w:val="en-US" w:eastAsia="zh-CN"/>
        </w:rPr>
        <w:t>事业</w:t>
      </w:r>
      <w:r>
        <w:rPr>
          <w:rFonts w:hint="eastAsia" w:ascii="仿宋_GB2312" w:hAnsi="仿宋_GB2312" w:eastAsia="仿宋_GB2312" w:cs="仿宋_GB2312"/>
          <w:b w:val="0"/>
          <w:bCs w:val="0"/>
          <w:sz w:val="32"/>
          <w:szCs w:val="32"/>
        </w:rPr>
        <w:t>单位，内设办公室</w:t>
      </w: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lang w:eastAsia="zh-CN"/>
        </w:rPr>
        <w:t>个</w:t>
      </w:r>
      <w:r>
        <w:rPr>
          <w:rFonts w:hint="eastAsia" w:ascii="仿宋_GB2312" w:hAnsi="仿宋_GB2312" w:eastAsia="仿宋_GB2312" w:cs="仿宋_GB2312"/>
          <w:b w:val="0"/>
          <w:bCs w:val="0"/>
          <w:sz w:val="32"/>
          <w:szCs w:val="32"/>
          <w:lang w:val="en-US" w:eastAsia="zh-CN"/>
        </w:rPr>
        <w:t>机构</w:t>
      </w:r>
      <w:r>
        <w:rPr>
          <w:rFonts w:hint="eastAsia" w:ascii="仿宋_GB2312" w:hAnsi="仿宋_GB2312" w:eastAsia="仿宋_GB2312" w:cs="仿宋_GB2312"/>
          <w:b w:val="0"/>
          <w:bCs w:val="0"/>
          <w:sz w:val="32"/>
          <w:szCs w:val="32"/>
        </w:rPr>
        <w:t>，财务核算执行行政单位会计制度。</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2、认真贯彻落实《科普法》，《全民科学素质行动计划纲要》，继续抓好“五大人群” 的科学普及工作，以提升“五大人群”科学素质为目标，整合资源，统筹协调，积极开展形式多样的群众性、社会性、经常性科普宣传活动。</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3、人员编制：我单位为正科级</w:t>
      </w:r>
      <w:r>
        <w:rPr>
          <w:rFonts w:hint="eastAsia" w:ascii="仿宋_GB2312" w:hAnsi="仿宋_GB2312" w:eastAsia="仿宋_GB2312" w:cs="仿宋_GB2312"/>
          <w:b w:val="0"/>
          <w:bCs w:val="0"/>
          <w:sz w:val="32"/>
          <w:szCs w:val="32"/>
          <w:lang w:val="en-US" w:eastAsia="zh-CN"/>
        </w:rPr>
        <w:t>参照公务员管理</w:t>
      </w:r>
      <w:r>
        <w:rPr>
          <w:rFonts w:hint="eastAsia" w:ascii="仿宋_GB2312" w:hAnsi="仿宋_GB2312" w:eastAsia="仿宋_GB2312" w:cs="仿宋_GB2312"/>
          <w:b w:val="0"/>
          <w:bCs w:val="0"/>
          <w:sz w:val="32"/>
          <w:szCs w:val="32"/>
        </w:rPr>
        <w:t>全额拨款</w:t>
      </w:r>
      <w:r>
        <w:rPr>
          <w:rFonts w:hint="eastAsia" w:ascii="仿宋_GB2312" w:hAnsi="仿宋_GB2312" w:eastAsia="仿宋_GB2312" w:cs="仿宋_GB2312"/>
          <w:b w:val="0"/>
          <w:bCs w:val="0"/>
          <w:sz w:val="32"/>
          <w:szCs w:val="32"/>
          <w:lang w:val="en-US" w:eastAsia="zh-CN"/>
        </w:rPr>
        <w:t>事业</w:t>
      </w:r>
      <w:r>
        <w:rPr>
          <w:rFonts w:hint="eastAsia" w:ascii="仿宋_GB2312" w:hAnsi="仿宋_GB2312" w:eastAsia="仿宋_GB2312" w:cs="仿宋_GB2312"/>
          <w:b w:val="0"/>
          <w:bCs w:val="0"/>
          <w:sz w:val="32"/>
          <w:szCs w:val="32"/>
        </w:rPr>
        <w:t>单位，内设办公室</w:t>
      </w:r>
      <w:r>
        <w:rPr>
          <w:rFonts w:hint="eastAsia" w:ascii="仿宋_GB2312" w:hAnsi="仿宋_GB2312" w:eastAsia="仿宋_GB2312" w:cs="仿宋_GB2312"/>
          <w:b w:val="0"/>
          <w:bCs w:val="0"/>
          <w:sz w:val="32"/>
          <w:szCs w:val="32"/>
          <w:lang w:val="en-US" w:eastAsia="zh-CN"/>
        </w:rPr>
        <w:t>一个机构</w:t>
      </w:r>
      <w:r>
        <w:rPr>
          <w:rFonts w:hint="eastAsia" w:ascii="仿宋_GB2312" w:hAnsi="仿宋_GB2312" w:eastAsia="仿宋_GB2312" w:cs="仿宋_GB2312"/>
          <w:b w:val="0"/>
          <w:bCs w:val="0"/>
          <w:sz w:val="32"/>
          <w:szCs w:val="32"/>
        </w:rPr>
        <w:t>，行政编制</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人。现实有在职人数</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人，退休人员</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t>人。</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4、收支管理办法。严格执行上级制定的财务收支管理办法，加强整体部门支出和固定资产管理，提高资金和资产的使用效率和财务的精细化管理水平。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（二）部门（单位）年度整体支出绩效目标</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为我县常驻人口提供科技服务，提高社会公众的科学素质，为农民增收、农业增效打下基础,促进社会可持续发展。　　</w:t>
      </w:r>
    </w:p>
    <w:p>
      <w:pPr>
        <w:pageBreakBefore w:val="0"/>
        <w:widowControl w:val="0"/>
        <w:numPr>
          <w:ilvl w:val="0"/>
          <w:numId w:val="0"/>
        </w:numPr>
        <w:kinsoku/>
        <w:wordWrap/>
        <w:overflowPunct/>
        <w:topLinePunct w:val="0"/>
        <w:autoSpaceDE/>
        <w:autoSpaceDN/>
        <w:bidi w:val="0"/>
        <w:spacing w:line="540" w:lineRule="exact"/>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kern w:val="2"/>
          <w:sz w:val="32"/>
          <w:szCs w:val="32"/>
          <w:lang w:val="en-US" w:eastAsia="zh-CN" w:bidi="ar-SA"/>
        </w:rPr>
        <w:t>二、</w:t>
      </w:r>
      <w:r>
        <w:rPr>
          <w:rFonts w:hint="eastAsia" w:ascii="黑体" w:hAnsi="黑体" w:eastAsia="黑体" w:cs="黑体"/>
          <w:b w:val="0"/>
          <w:bCs/>
          <w:sz w:val="32"/>
          <w:szCs w:val="32"/>
        </w:rPr>
        <w:t>一般公共预算支出情况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（一）基本支出情况</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基本支出</w:t>
      </w:r>
      <w:r>
        <w:rPr>
          <w:rFonts w:hint="eastAsia" w:ascii="仿宋_GB2312" w:hAnsi="仿宋_GB2312" w:eastAsia="仿宋_GB2312" w:cs="仿宋_GB2312"/>
          <w:b w:val="0"/>
          <w:bCs w:val="0"/>
          <w:sz w:val="32"/>
          <w:szCs w:val="32"/>
          <w:lang w:val="en-US" w:eastAsia="zh-CN"/>
        </w:rPr>
        <w:t>为43.57</w:t>
      </w:r>
      <w:r>
        <w:rPr>
          <w:rFonts w:hint="eastAsia" w:ascii="仿宋_GB2312" w:hAnsi="仿宋_GB2312" w:eastAsia="仿宋_GB2312" w:cs="仿宋_GB2312"/>
          <w:b w:val="0"/>
          <w:bCs w:val="0"/>
          <w:sz w:val="32"/>
          <w:szCs w:val="32"/>
        </w:rPr>
        <w:t>万元。其中：</w:t>
      </w:r>
      <w:r>
        <w:rPr>
          <w:rFonts w:hint="eastAsia" w:ascii="仿宋_GB2312" w:hAnsi="仿宋_GB2312" w:eastAsia="仿宋_GB2312" w:cs="仿宋_GB2312"/>
          <w:b w:val="0"/>
          <w:bCs w:val="0"/>
          <w:sz w:val="32"/>
          <w:szCs w:val="32"/>
          <w:lang w:val="en-US" w:eastAsia="zh-CN"/>
        </w:rPr>
        <w:t>工资福利支出34.79</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主要包括：基本工资支出9.67万元，津贴补贴支出4.79万元，绩效工资3.95</w:t>
      </w:r>
      <w:bookmarkStart w:id="0" w:name="_GoBack"/>
      <w:bookmarkEnd w:id="0"/>
      <w:r>
        <w:rPr>
          <w:rFonts w:hint="eastAsia" w:ascii="仿宋_GB2312" w:hAnsi="仿宋_GB2312" w:eastAsia="仿宋_GB2312" w:cs="仿宋_GB2312"/>
          <w:b w:val="0"/>
          <w:bCs w:val="0"/>
          <w:sz w:val="32"/>
          <w:szCs w:val="32"/>
          <w:lang w:val="en-US" w:eastAsia="zh-CN"/>
        </w:rPr>
        <w:t>万元，</w:t>
      </w:r>
      <w:r>
        <w:rPr>
          <w:rFonts w:hint="eastAsia" w:ascii="仿宋_GB2312" w:hAnsi="仿宋_GB2312" w:eastAsia="仿宋_GB2312" w:cs="仿宋_GB2312"/>
          <w:b w:val="0"/>
          <w:bCs w:val="0"/>
          <w:sz w:val="32"/>
          <w:szCs w:val="32"/>
        </w:rPr>
        <w:t>机关事业单位基本养老保险缴费支出</w:t>
      </w:r>
      <w:r>
        <w:rPr>
          <w:rFonts w:hint="eastAsia" w:ascii="仿宋_GB2312" w:hAnsi="仿宋_GB2312" w:eastAsia="仿宋_GB2312" w:cs="仿宋_GB2312"/>
          <w:b w:val="0"/>
          <w:bCs w:val="0"/>
          <w:sz w:val="32"/>
          <w:szCs w:val="32"/>
          <w:lang w:val="en-US" w:eastAsia="zh-CN"/>
        </w:rPr>
        <w:t>6.76</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val="en-US" w:eastAsia="zh-CN"/>
        </w:rPr>
        <w:t>住房公积金6万元，</w:t>
      </w:r>
      <w:r>
        <w:rPr>
          <w:rFonts w:hint="eastAsia" w:ascii="仿宋_GB2312" w:hAnsi="仿宋_GB2312" w:eastAsia="仿宋_GB2312" w:cs="仿宋_GB2312"/>
          <w:b w:val="0"/>
          <w:bCs w:val="0"/>
          <w:sz w:val="32"/>
          <w:szCs w:val="32"/>
          <w:lang w:eastAsia="zh-CN"/>
        </w:rPr>
        <w:t>职工基本医疗保险缴费</w:t>
      </w:r>
      <w:r>
        <w:rPr>
          <w:rFonts w:hint="eastAsia" w:ascii="仿宋_GB2312" w:hAnsi="仿宋_GB2312" w:eastAsia="仿宋_GB2312" w:cs="仿宋_GB2312"/>
          <w:b w:val="0"/>
          <w:bCs w:val="0"/>
          <w:sz w:val="32"/>
          <w:szCs w:val="32"/>
          <w:lang w:val="en-US" w:eastAsia="zh-CN"/>
        </w:rPr>
        <w:t>3.62</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一般行政管理事务支出8.78万元（主要包括：会议费2.20万元，办公费2.66万元，其他交通费用1.46万元，其他商品和服务支出2.46万元。）</w:t>
      </w:r>
    </w:p>
    <w:p>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640" w:firstLineChars="200"/>
        <w:textAlignment w:val="auto"/>
        <w:rPr>
          <w:rFonts w:hint="eastAsia" w:ascii="楷体" w:hAnsi="楷体" w:eastAsia="楷体" w:cs="楷体"/>
          <w:b w:val="0"/>
          <w:bCs w:val="0"/>
          <w:sz w:val="32"/>
          <w:szCs w:val="32"/>
        </w:rPr>
      </w:pPr>
      <w:r>
        <w:rPr>
          <w:rFonts w:hint="eastAsia" w:ascii="楷体" w:hAnsi="楷体" w:eastAsia="楷体" w:cs="楷体"/>
          <w:b w:val="0"/>
          <w:bCs w:val="0"/>
          <w:sz w:val="32"/>
          <w:szCs w:val="32"/>
        </w:rPr>
        <w:t>项目支出情况</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项目支出35.9万元。其中：科普活动支出32.8万元，青少年科技活动支出3.1万元。</w:t>
      </w:r>
    </w:p>
    <w:p>
      <w:pPr>
        <w:pageBreakBefore w:val="0"/>
        <w:widowControl w:val="0"/>
        <w:numPr>
          <w:ilvl w:val="0"/>
          <w:numId w:val="0"/>
        </w:numPr>
        <w:kinsoku/>
        <w:wordWrap/>
        <w:overflowPunct/>
        <w:topLinePunct w:val="0"/>
        <w:autoSpaceDE/>
        <w:autoSpaceDN/>
        <w:bidi w:val="0"/>
        <w:spacing w:line="54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三、政府性基金预算支出情况</w:t>
      </w:r>
    </w:p>
    <w:p>
      <w:pPr>
        <w:pageBreakBefore w:val="0"/>
        <w:widowControl w:val="0"/>
        <w:kinsoku/>
        <w:wordWrap/>
        <w:overflowPunct/>
        <w:topLinePunct w:val="0"/>
        <w:autoSpaceDE/>
        <w:autoSpaceDN/>
        <w:bidi w:val="0"/>
        <w:spacing w:line="540" w:lineRule="exact"/>
        <w:ind w:firstLine="640" w:firstLineChars="200"/>
        <w:textAlignment w:val="auto"/>
        <w:rPr>
          <w:rFonts w:hint="eastAsia" w:asciiTheme="majorEastAsia" w:hAnsiTheme="majorEastAsia" w:eastAsiaTheme="majorEastAsia"/>
          <w:color w:val="000000"/>
          <w:sz w:val="28"/>
          <w:szCs w:val="28"/>
          <w:lang w:val="en-US" w:eastAsia="zh-CN"/>
        </w:rPr>
      </w:pPr>
      <w:r>
        <w:rPr>
          <w:rFonts w:hint="eastAsia" w:ascii="仿宋_GB2312" w:hAnsi="仿宋_GB2312" w:eastAsia="仿宋_GB2312" w:cs="仿宋_GB2312"/>
          <w:b w:val="0"/>
          <w:bCs w:val="0"/>
          <w:sz w:val="32"/>
          <w:szCs w:val="32"/>
          <w:lang w:val="en-US" w:eastAsia="zh-CN"/>
        </w:rPr>
        <w:t>无。</w:t>
      </w:r>
    </w:p>
    <w:p>
      <w:pPr>
        <w:pageBreakBefore w:val="0"/>
        <w:widowControl w:val="0"/>
        <w:numPr>
          <w:ilvl w:val="0"/>
          <w:numId w:val="0"/>
        </w:numPr>
        <w:kinsoku/>
        <w:wordWrap/>
        <w:overflowPunct/>
        <w:topLinePunct w:val="0"/>
        <w:autoSpaceDE/>
        <w:autoSpaceDN/>
        <w:bidi w:val="0"/>
        <w:spacing w:line="54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四、国有资本经营预算支出情况</w:t>
      </w:r>
    </w:p>
    <w:p>
      <w:pPr>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pageBreakBefore w:val="0"/>
        <w:widowControl w:val="0"/>
        <w:numPr>
          <w:ilvl w:val="0"/>
          <w:numId w:val="2"/>
        </w:numPr>
        <w:kinsoku/>
        <w:wordWrap/>
        <w:overflowPunct/>
        <w:topLinePunct w:val="0"/>
        <w:autoSpaceDE/>
        <w:autoSpaceDN/>
        <w:bidi w:val="0"/>
        <w:spacing w:line="54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社会保险基金预算支出情况</w:t>
      </w:r>
    </w:p>
    <w:p>
      <w:pPr>
        <w:pageBreakBefore w:val="0"/>
        <w:widowControl w:val="0"/>
        <w:kinsoku/>
        <w:wordWrap/>
        <w:overflowPunct/>
        <w:topLinePunct w:val="0"/>
        <w:autoSpaceDE/>
        <w:autoSpaceDN/>
        <w:bidi w:val="0"/>
        <w:spacing w:line="54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无。</w:t>
      </w:r>
    </w:p>
    <w:p>
      <w:pPr>
        <w:pageBreakBefore w:val="0"/>
        <w:widowControl w:val="0"/>
        <w:numPr>
          <w:ilvl w:val="0"/>
          <w:numId w:val="2"/>
        </w:numPr>
        <w:kinsoku/>
        <w:wordWrap/>
        <w:overflowPunct/>
        <w:topLinePunct w:val="0"/>
        <w:autoSpaceDE/>
        <w:autoSpaceDN/>
        <w:bidi w:val="0"/>
        <w:spacing w:line="54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部门整体支出绩效情况</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1.成功举办青少年科技创新大赛。</w:t>
      </w:r>
      <w:r>
        <w:rPr>
          <w:rFonts w:hint="eastAsia" w:ascii="仿宋_GB2312" w:hAnsi="仿宋_GB2312" w:eastAsia="仿宋_GB2312" w:cs="仿宋_GB2312"/>
          <w:b w:val="0"/>
          <w:bCs w:val="0"/>
          <w:sz w:val="32"/>
          <w:szCs w:val="32"/>
          <w:lang w:val="en-US" w:eastAsia="zh-CN"/>
        </w:rPr>
        <w:t>今年2月，按照省、市科协的安排，组织第30届道县青少年科技创新大赛，本次大赛以“科创筑梦 强国有我”为主题，全县共征集参赛作品300余个，评选出160个优秀获奖作品，有效激发青少年科学兴趣。</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2.精心组织全国中学生五项学科竞赛和永州市太空机器人大赛。</w:t>
      </w:r>
      <w:r>
        <w:rPr>
          <w:rFonts w:hint="eastAsia" w:ascii="仿宋_GB2312" w:hAnsi="仿宋_GB2312" w:eastAsia="仿宋_GB2312" w:cs="仿宋_GB2312"/>
          <w:b w:val="0"/>
          <w:bCs w:val="0"/>
          <w:sz w:val="32"/>
          <w:szCs w:val="32"/>
          <w:lang w:val="en-US" w:eastAsia="zh-CN"/>
        </w:rPr>
        <w:t>学科竞赛本年度获得湖南赛区数学二等奖1名，化学三等奖2名。2025年永州市青少年太空机器人竞赛中，县科协精心部署、积极动员，共有4个学校55名学生参加比赛。</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3.联动开展系列科普活动。</w:t>
      </w:r>
      <w:r>
        <w:rPr>
          <w:rFonts w:hint="eastAsia" w:ascii="仿宋_GB2312" w:hAnsi="仿宋_GB2312" w:eastAsia="仿宋_GB2312" w:cs="仿宋_GB2312"/>
          <w:b w:val="0"/>
          <w:bCs w:val="0"/>
          <w:sz w:val="32"/>
          <w:szCs w:val="32"/>
          <w:lang w:val="en-US" w:eastAsia="zh-CN"/>
        </w:rPr>
        <w:t>县科协充分发挥职责，积极联动多个单位强势开展各类科普宣传活动，不断加强科学普及力度。4月25日，县科协联合市场监督管理局开展知识产权宣传周科普宣传活动，5月30日，县科协联合道县科工局在道县敦颐广场开展“科技活动周”科普宣传活动。</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4.创新举办“全国科普月”主场活动。</w:t>
      </w:r>
      <w:r>
        <w:rPr>
          <w:rFonts w:hint="eastAsia" w:ascii="仿宋_GB2312" w:hAnsi="仿宋_GB2312" w:eastAsia="仿宋_GB2312" w:cs="仿宋_GB2312"/>
          <w:b w:val="0"/>
          <w:bCs w:val="0"/>
          <w:sz w:val="32"/>
          <w:szCs w:val="32"/>
          <w:lang w:val="en-US" w:eastAsia="zh-CN"/>
        </w:rPr>
        <w:t>以“科技改变生活 创新赢得未来”为主题的2025年“全国科普月”道县主场活动在敦颐广场隆重举办，联合了23家单位，展出了90余块宣传展板，累计发放资料1.2万余份，80余名科普志愿者与市民互动答疑，单日解答咨询800余人次，并融入义诊服务，深受好评。</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5.有效实施“会县结对乡村行”项目。</w:t>
      </w:r>
      <w:r>
        <w:rPr>
          <w:rFonts w:hint="eastAsia" w:ascii="仿宋_GB2312" w:hAnsi="仿宋_GB2312" w:eastAsia="仿宋_GB2312" w:cs="仿宋_GB2312"/>
          <w:b w:val="0"/>
          <w:bCs w:val="0"/>
          <w:sz w:val="32"/>
          <w:szCs w:val="32"/>
          <w:lang w:val="en-US" w:eastAsia="zh-CN"/>
        </w:rPr>
        <w:t>邀请湖南农业大学、湖南省昆虫学会26名专家，分别在梅花镇贵头村、上关街道龙江桥村、清塘镇楼田村成功举办三期“会县结对科技服务乡村行”专题培训。全县各个乡镇街道农技人员、种植大户、专业合作社代表及周边村民等近千人参加培训。此次活动将先进的农业科学技术直接送达基层，培训内容实用性强，专家讲解的技术和方法易于操作，对解决当前脐橙种植中的病虫害问题、提升科学种植水平大有帮助，为当地脐橙产业发展注入科技动能。</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6.建成省科技新闻学会道县服务站。</w:t>
      </w:r>
      <w:r>
        <w:rPr>
          <w:rFonts w:hint="eastAsia" w:ascii="仿宋_GB2312" w:hAnsi="仿宋_GB2312" w:eastAsia="仿宋_GB2312" w:cs="仿宋_GB2312"/>
          <w:b w:val="0"/>
          <w:bCs w:val="0"/>
          <w:sz w:val="32"/>
          <w:szCs w:val="32"/>
          <w:lang w:val="en-US" w:eastAsia="zh-CN"/>
        </w:rPr>
        <w:t>县科协积极对接省科技新闻学会，争得道县服务站项目落地，该项目旨在整合农业科技资源与新闻传播智库，通过“线下科技咨询”与“新闻人才培训”双轨并行，为道县乡村振兴注入新动能。该服务站2025年组织了16人的专家团队来道县服务，分赴脐橙、蔬菜产业基地开展现场指导，与合作社代表、种植大户及企业技术人员深入交流，解答实际问题，推动科技成果落地转化。与此同时，在县融媒体中心举办了“科技传播赋能道县乡村振兴”新闻人才培训。为全县200多宣传工作者授课，提升了基层科技新闻传播能力。</w:t>
      </w:r>
    </w:p>
    <w:p>
      <w:pPr>
        <w:keepNext w:val="0"/>
        <w:keepLines w:val="0"/>
        <w:pageBreakBefore w:val="0"/>
        <w:widowControl w:val="0"/>
        <w:numPr>
          <w:ilvl w:val="0"/>
          <w:numId w:val="0"/>
        </w:numPr>
        <w:kinsoku/>
        <w:wordWrap/>
        <w:overflowPunct/>
        <w:topLinePunct w:val="0"/>
        <w:autoSpaceDE/>
        <w:autoSpaceDN/>
        <w:bidi w:val="0"/>
        <w:adjustRightInd w:val="0"/>
        <w:snapToGrid/>
        <w:spacing w:line="54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7.用心服务科技工作者。</w:t>
      </w:r>
      <w:r>
        <w:rPr>
          <w:rFonts w:hint="eastAsia" w:ascii="仿宋_GB2312" w:hAnsi="仿宋_GB2312" w:eastAsia="仿宋_GB2312" w:cs="仿宋_GB2312"/>
          <w:b w:val="0"/>
          <w:bCs w:val="0"/>
          <w:sz w:val="32"/>
          <w:szCs w:val="32"/>
          <w:lang w:val="en-US" w:eastAsia="zh-CN"/>
        </w:rPr>
        <w:t>在团结引领科技工作者方面，县科协切实履行桥梁纽带职责。通过建立健全联系服务机制，广泛倾听科技工作者心声，走访慰问道县籍院士胡瑞忠等优秀科技工作者，不断增强组织的凝聚力和向心力。同时，紧密围绕道县发展需求，系统开展科技人才状况摸底与智库建设，已精准识别并向市科协推荐了12名涵盖关键领域、具有深厚学术造诣和战略视野的高端人才进入永州智库，凝聚创新力量。</w:t>
      </w:r>
    </w:p>
    <w:p>
      <w:pPr>
        <w:pageBreakBefore w:val="0"/>
        <w:widowControl w:val="0"/>
        <w:numPr>
          <w:ilvl w:val="0"/>
          <w:numId w:val="0"/>
        </w:numPr>
        <w:kinsoku/>
        <w:wordWrap/>
        <w:overflowPunct/>
        <w:topLinePunct w:val="0"/>
        <w:autoSpaceDE/>
        <w:autoSpaceDN/>
        <w:bidi w:val="0"/>
        <w:spacing w:line="54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七、存在的问题及原因分析</w:t>
      </w:r>
    </w:p>
    <w:p>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1.由于项目指标下达时间较晚，少部分资金未能及时拨付使用。</w:t>
      </w:r>
    </w:p>
    <w:p>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2.内控制度需进一步完善，随着资金管理改革的进一步推进，我单位内部机构进行了相应的优化，建立健全了财务管理制度、固定资产管理制度、费用报销规程等制度，但仍需进一步强化财务约束监督体制。</w:t>
      </w:r>
    </w:p>
    <w:p>
      <w:pPr>
        <w:pageBreakBefore w:val="0"/>
        <w:widowControl w:val="0"/>
        <w:numPr>
          <w:ilvl w:val="0"/>
          <w:numId w:val="0"/>
        </w:numPr>
        <w:kinsoku/>
        <w:wordWrap/>
        <w:overflowPunct/>
        <w:topLinePunct w:val="0"/>
        <w:autoSpaceDE/>
        <w:autoSpaceDN/>
        <w:bidi w:val="0"/>
        <w:spacing w:line="540" w:lineRule="exact"/>
        <w:ind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八、下一步改进措施</w:t>
      </w:r>
    </w:p>
    <w:p>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1.加强队伍建设及相关业务知识，严格执行预算，提高预算编制的科学性及合理性,为资金管理及绩效评价工作开展创造更好的条件。</w:t>
      </w:r>
    </w:p>
    <w:p>
      <w:pPr>
        <w:pStyle w:val="12"/>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2.严格按照绩效管理及考核相关规定，加强绩效管理，将绩效工作细化、量化，做准基本支出预算，做全项目支出预算。</w:t>
      </w:r>
    </w:p>
    <w:p>
      <w:pPr>
        <w:pageBreakBefore w:val="0"/>
        <w:widowControl w:val="0"/>
        <w:numPr>
          <w:ilvl w:val="0"/>
          <w:numId w:val="0"/>
        </w:numPr>
        <w:kinsoku/>
        <w:wordWrap/>
        <w:overflowPunct/>
        <w:topLinePunct w:val="0"/>
        <w:autoSpaceDE/>
        <w:autoSpaceDN/>
        <w:bidi w:val="0"/>
        <w:spacing w:line="540" w:lineRule="exact"/>
        <w:ind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九、绩效自评结果拟应用和公开情况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高度重视绩效评价结果的应用工作，积极探索和建立一套与预算管理相结合、多渠道应用评价结果的有效机制，着力提高绩效意识和财政资金使用效益。同时，道县科学技术协会部门整体支出绩效自评报告在政府门户网站上进行公开，广泛接受社会监督。</w:t>
      </w:r>
    </w:p>
    <w:p>
      <w:pPr>
        <w:pageBreakBefore w:val="0"/>
        <w:widowControl w:val="0"/>
        <w:numPr>
          <w:ilvl w:val="0"/>
          <w:numId w:val="0"/>
        </w:numPr>
        <w:kinsoku/>
        <w:wordWrap/>
        <w:overflowPunct/>
        <w:topLinePunct w:val="0"/>
        <w:autoSpaceDE/>
        <w:autoSpaceDN/>
        <w:bidi w:val="0"/>
        <w:spacing w:line="540" w:lineRule="exact"/>
        <w:ind w:leftChars="200" w:firstLine="320" w:firstLineChars="1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十、其他需要说明的情况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b w:val="0"/>
          <w:bCs/>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hAnsi="仿宋_GB2312" w:eastAsia="仿宋_GB2312" w:cs="仿宋_GB2312"/>
          <w:b w:val="0"/>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 xml:space="preserve"> </w:t>
      </w:r>
    </w:p>
    <w:p>
      <w:pPr>
        <w:pageBreakBefore w:val="0"/>
        <w:widowControl w:val="0"/>
        <w:kinsoku/>
        <w:wordWrap/>
        <w:overflowPunct/>
        <w:topLinePunct w:val="0"/>
        <w:autoSpaceDE/>
        <w:autoSpaceDN/>
        <w:bidi w:val="0"/>
        <w:spacing w:line="540" w:lineRule="exact"/>
        <w:ind w:firstLine="640" w:firstLineChars="200"/>
        <w:jc w:val="center"/>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道县</w:t>
      </w:r>
      <w:r>
        <w:rPr>
          <w:rFonts w:hint="eastAsia" w:ascii="仿宋_GB2312" w:hAnsi="仿宋_GB2312" w:eastAsia="仿宋_GB2312" w:cs="仿宋_GB2312"/>
          <w:b w:val="0"/>
          <w:bCs/>
          <w:sz w:val="32"/>
          <w:szCs w:val="32"/>
          <w:lang w:val="en-US" w:eastAsia="zh-CN"/>
        </w:rPr>
        <w:t>科学技术协会</w:t>
      </w:r>
    </w:p>
    <w:p>
      <w:pPr>
        <w:pageBreakBefore w:val="0"/>
        <w:widowControl w:val="0"/>
        <w:tabs>
          <w:tab w:val="left" w:pos="2085"/>
        </w:tabs>
        <w:kinsoku/>
        <w:wordWrap/>
        <w:overflowPunct/>
        <w:topLinePunct w:val="0"/>
        <w:autoSpaceDE/>
        <w:autoSpaceDN/>
        <w:bidi w:val="0"/>
        <w:spacing w:line="540" w:lineRule="exact"/>
        <w:ind w:firstLine="5440" w:firstLineChars="1700"/>
        <w:jc w:val="both"/>
        <w:textAlignment w:val="auto"/>
        <w:rPr>
          <w:rFonts w:hint="eastAsia" w:asciiTheme="minorEastAsia" w:hAnsiTheme="minorEastAsia" w:eastAsiaTheme="minorEastAsia"/>
          <w:b/>
          <w:sz w:val="28"/>
          <w:szCs w:val="28"/>
        </w:rPr>
      </w:pPr>
      <w:r>
        <w:rPr>
          <w:rFonts w:hint="eastAsia" w:ascii="仿宋_GB2312" w:hAnsi="仿宋_GB2312" w:eastAsia="仿宋_GB2312" w:cs="仿宋_GB2312"/>
          <w:b w:val="0"/>
          <w:bCs/>
          <w:sz w:val="32"/>
          <w:szCs w:val="32"/>
          <w:lang w:eastAsia="zh-CN"/>
        </w:rPr>
        <w:t>202</w:t>
      </w:r>
      <w:r>
        <w:rPr>
          <w:rFonts w:hint="eastAsia" w:ascii="仿宋_GB2312" w:hAnsi="仿宋_GB2312" w:eastAsia="仿宋_GB2312" w:cs="仿宋_GB2312"/>
          <w:b w:val="0"/>
          <w:bCs/>
          <w:sz w:val="32"/>
          <w:szCs w:val="32"/>
          <w:lang w:val="en-US" w:eastAsia="zh-CN"/>
        </w:rPr>
        <w:t>6</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月</w:t>
      </w:r>
      <w:r>
        <w:rPr>
          <w:rFonts w:hint="eastAsia" w:ascii="仿宋_GB2312" w:hAnsi="仿宋_GB2312" w:eastAsia="仿宋_GB2312" w:cs="仿宋_GB2312"/>
          <w:b w:val="0"/>
          <w:bCs/>
          <w:sz w:val="32"/>
          <w:szCs w:val="32"/>
          <w:lang w:val="en-US" w:eastAsia="zh-CN"/>
        </w:rPr>
        <w:t>23</w:t>
      </w:r>
      <w:r>
        <w:rPr>
          <w:rFonts w:hint="eastAsia" w:ascii="仿宋_GB2312" w:hAnsi="仿宋_GB2312" w:eastAsia="仿宋_GB2312" w:cs="仿宋_GB2312"/>
          <w:b w:val="0"/>
          <w:bCs/>
          <w:sz w:val="32"/>
          <w:szCs w:val="32"/>
        </w:rPr>
        <w:t>日</w:t>
      </w:r>
    </w:p>
    <w:sectPr>
      <w:pgSz w:w="11906" w:h="16838"/>
      <w:pgMar w:top="1440" w:right="1684" w:bottom="1440" w:left="168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9DC7E"/>
    <w:multiLevelType w:val="singleLevel"/>
    <w:tmpl w:val="A829DC7E"/>
    <w:lvl w:ilvl="0" w:tentative="0">
      <w:start w:val="5"/>
      <w:numFmt w:val="chineseCounting"/>
      <w:suff w:val="nothing"/>
      <w:lvlText w:val="%1、"/>
      <w:lvlJc w:val="left"/>
      <w:rPr>
        <w:rFonts w:hint="eastAsia"/>
      </w:rPr>
    </w:lvl>
  </w:abstractNum>
  <w:abstractNum w:abstractNumId="1">
    <w:nsid w:val="5B6FD398"/>
    <w:multiLevelType w:val="singleLevel"/>
    <w:tmpl w:val="5B6FD39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000000"/>
    <w:rsid w:val="011C4EE1"/>
    <w:rsid w:val="015E66FD"/>
    <w:rsid w:val="019E6DC1"/>
    <w:rsid w:val="01AE63EF"/>
    <w:rsid w:val="01EC098A"/>
    <w:rsid w:val="05DB1021"/>
    <w:rsid w:val="0731167A"/>
    <w:rsid w:val="07323795"/>
    <w:rsid w:val="0DB91A6D"/>
    <w:rsid w:val="0E164835"/>
    <w:rsid w:val="0E231B43"/>
    <w:rsid w:val="0E6D05D2"/>
    <w:rsid w:val="1125046A"/>
    <w:rsid w:val="116D5A18"/>
    <w:rsid w:val="12CE4D49"/>
    <w:rsid w:val="140B464A"/>
    <w:rsid w:val="14542FEF"/>
    <w:rsid w:val="15BB68D9"/>
    <w:rsid w:val="166C5A93"/>
    <w:rsid w:val="16E0731C"/>
    <w:rsid w:val="17C97E88"/>
    <w:rsid w:val="1A655AAB"/>
    <w:rsid w:val="1D284703"/>
    <w:rsid w:val="1DD411BF"/>
    <w:rsid w:val="1F2A18BD"/>
    <w:rsid w:val="1F7F7D7D"/>
    <w:rsid w:val="22D218CB"/>
    <w:rsid w:val="24225CAE"/>
    <w:rsid w:val="24AE5FEB"/>
    <w:rsid w:val="26BE461F"/>
    <w:rsid w:val="2746231C"/>
    <w:rsid w:val="2788626B"/>
    <w:rsid w:val="2A03014B"/>
    <w:rsid w:val="2CC517DD"/>
    <w:rsid w:val="3066541E"/>
    <w:rsid w:val="38A0706F"/>
    <w:rsid w:val="3AEF75EA"/>
    <w:rsid w:val="3B222E53"/>
    <w:rsid w:val="41087991"/>
    <w:rsid w:val="43B04E43"/>
    <w:rsid w:val="43EF685B"/>
    <w:rsid w:val="47035BFB"/>
    <w:rsid w:val="4AC800C6"/>
    <w:rsid w:val="4AFF1C57"/>
    <w:rsid w:val="4D605DD5"/>
    <w:rsid w:val="500E7706"/>
    <w:rsid w:val="521C1859"/>
    <w:rsid w:val="53602B78"/>
    <w:rsid w:val="54901BAC"/>
    <w:rsid w:val="555207EE"/>
    <w:rsid w:val="56F35C5D"/>
    <w:rsid w:val="5A8436DE"/>
    <w:rsid w:val="63B54C30"/>
    <w:rsid w:val="63E60F3E"/>
    <w:rsid w:val="64D22CAC"/>
    <w:rsid w:val="68812DA4"/>
    <w:rsid w:val="68D34FF4"/>
    <w:rsid w:val="6B7B59FE"/>
    <w:rsid w:val="6C9F4CEC"/>
    <w:rsid w:val="6F86776B"/>
    <w:rsid w:val="6FF50932"/>
    <w:rsid w:val="7037741E"/>
    <w:rsid w:val="712647FF"/>
    <w:rsid w:val="76A24B4E"/>
    <w:rsid w:val="76A86CA7"/>
    <w:rsid w:val="77A05173"/>
    <w:rsid w:val="78C17816"/>
    <w:rsid w:val="793F0635"/>
    <w:rsid w:val="79C37137"/>
    <w:rsid w:val="7B0F6A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5">
    <w:name w:val="endnote text"/>
    <w:basedOn w:val="1"/>
    <w:qFormat/>
    <w:uiPriority w:val="0"/>
    <w:pPr>
      <w:snapToGrid w:val="0"/>
      <w:jc w:val="left"/>
    </w:pPr>
  </w:style>
  <w:style w:type="paragraph" w:styleId="6">
    <w:name w:val="footer"/>
    <w:basedOn w:val="1"/>
    <w:link w:val="15"/>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10">
    <w:name w:val="Emphasis"/>
    <w:basedOn w:val="9"/>
    <w:qFormat/>
    <w:uiPriority w:val="0"/>
    <w:rPr>
      <w:i/>
    </w:rPr>
  </w:style>
  <w:style w:type="character" w:styleId="11">
    <w:name w:val="Hyperlink"/>
    <w:basedOn w:val="9"/>
    <w:qFormat/>
    <w:uiPriority w:val="0"/>
    <w:rPr>
      <w:color w:val="0563C1" w:themeColor="hyperlink"/>
      <w:u w:val="single"/>
      <w14:textFill>
        <w14:solidFill>
          <w14:schemeClr w14:val="hlink"/>
        </w14:solidFill>
      </w14:textFill>
    </w:rPr>
  </w:style>
  <w:style w:type="paragraph" w:customStyle="1" w:styleId="12">
    <w:name w:val="样式 文字 + 首行缩进:  2 字符3"/>
    <w:basedOn w:val="1"/>
    <w:qFormat/>
    <w:uiPriority w:val="99"/>
    <w:pPr>
      <w:spacing w:line="360" w:lineRule="auto"/>
      <w:jc w:val="left"/>
    </w:pPr>
    <w:rPr>
      <w:sz w:val="28"/>
      <w:szCs w:val="28"/>
    </w:rPr>
  </w:style>
  <w:style w:type="paragraph" w:customStyle="1" w:styleId="13">
    <w:name w:val="List Paragraph"/>
    <w:basedOn w:val="1"/>
    <w:unhideWhenUsed/>
    <w:qFormat/>
    <w:uiPriority w:val="99"/>
    <w:pPr>
      <w:ind w:firstLine="420" w:firstLineChars="200"/>
    </w:pPr>
  </w:style>
  <w:style w:type="character" w:customStyle="1" w:styleId="14">
    <w:name w:val="页眉 Char"/>
    <w:basedOn w:val="9"/>
    <w:link w:val="7"/>
    <w:qFormat/>
    <w:uiPriority w:val="0"/>
    <w:rPr>
      <w:kern w:val="2"/>
      <w:sz w:val="18"/>
      <w:szCs w:val="18"/>
    </w:rPr>
  </w:style>
  <w:style w:type="character" w:customStyle="1" w:styleId="15">
    <w:name w:val="页脚 Char"/>
    <w:basedOn w:val="9"/>
    <w:link w:val="6"/>
    <w:qFormat/>
    <w:uiPriority w:val="0"/>
    <w:rPr>
      <w:kern w:val="2"/>
      <w:sz w:val="18"/>
      <w:szCs w:val="18"/>
    </w:rPr>
  </w:style>
  <w:style w:type="paragraph" w:customStyle="1" w:styleId="16">
    <w:name w:val="正文文字"/>
    <w:basedOn w:val="1"/>
    <w:next w:val="1"/>
    <w:qFormat/>
    <w:uiPriority w:val="0"/>
    <w:pPr>
      <w:spacing w:after="12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3</Pages>
  <Words>268</Words>
  <Characters>1531</Characters>
  <Lines>12</Lines>
  <Paragraphs>3</Paragraphs>
  <TotalTime>6</TotalTime>
  <ScaleCrop>false</ScaleCrop>
  <LinksUpToDate>false</LinksUpToDate>
  <CharactersWithSpaces>1796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2019-10-21T08:57:00Z</dcterms:created>
  <dc:creator>哈哈大雄</dc:creator>
  <cp:lastModifiedBy>Administrator</cp:lastModifiedBy>
  <cp:lastPrinted>2023-08-11T03:46:00Z</cp:lastPrinted>
  <dcterms:modified xsi:type="dcterms:W3CDTF">2026-05-23T03:13:39Z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652956FB2A8046209074DBE85F929CC2_13</vt:lpwstr>
  </property>
</Properties>
</file>