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道县上关街道办事处</w:t>
      </w:r>
    </w:p>
    <w:p>
      <w:pPr>
        <w:pStyle w:val="13"/>
        <w:jc w:val="center"/>
        <w:rPr>
          <w:rFonts w:hint="eastAsia" w:ascii="Times New Roman" w:hAnsi="Times New Roman" w:eastAsia="方正小标宋简体" w:cs="Times New Roman"/>
          <w:sz w:val="72"/>
          <w:szCs w:val="72"/>
          <w:lang w:val="en-US" w:eastAsia="zh-CN"/>
        </w:rPr>
        <w:sectPr>
          <w:pgSz w:w="11906" w:h="16838"/>
          <w:pgMar w:top="1417" w:right="1588" w:bottom="1417" w:left="1588" w:header="851" w:footer="992" w:gutter="0"/>
          <w:cols w:space="425" w:num="1"/>
          <w:docGrid w:type="lines" w:linePitch="312" w:charSpace="0"/>
        </w:sectPr>
      </w:pPr>
      <w:r>
        <w:rPr>
          <w:rFonts w:hint="eastAsia" w:ascii="Times New Roman" w:hAnsi="Times New Roman" w:eastAsia="方正小标宋简体" w:cs="Times New Roman"/>
          <w:sz w:val="72"/>
          <w:szCs w:val="72"/>
          <w:lang w:val="en-US" w:eastAsia="zh-CN"/>
        </w:rPr>
        <w:t>部门决算</w:t>
      </w: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道县上关街道办事处</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道县上关街道办事处</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40" w:firstLineChars="200"/>
        <w:rPr>
          <w:rFonts w:hint="eastAsia" w:ascii="Times New Roman" w:hAnsi="Times New Roman" w:eastAsia="仿宋_GB2312" w:cs="Times New Roman"/>
          <w:bCs/>
          <w:kern w:val="0"/>
          <w:sz w:val="32"/>
          <w:szCs w:val="32"/>
        </w:rPr>
      </w:pPr>
      <w:bookmarkStart w:id="0" w:name="FUNCRESP"/>
      <w:r>
        <w:rPr>
          <w:rFonts w:hint="eastAsia" w:ascii="Times New Roman" w:hAnsi="Times New Roman" w:eastAsia="仿宋_GB2312" w:cs="Times New Roman"/>
          <w:bCs/>
          <w:kern w:val="0"/>
          <w:sz w:val="32"/>
          <w:szCs w:val="32"/>
        </w:rPr>
        <w:t>执行县级人民代表大会的决议和上级国家行政机关的决定和命令，管理本行政区域内的行政工作，拟定适合本</w:t>
      </w:r>
      <w:r>
        <w:rPr>
          <w:rFonts w:hint="eastAsia" w:ascii="Times New Roman" w:hAnsi="Times New Roman" w:eastAsia="仿宋_GB2312" w:cs="Times New Roman"/>
          <w:bCs/>
          <w:kern w:val="0"/>
          <w:sz w:val="32"/>
          <w:szCs w:val="32"/>
          <w:lang w:eastAsia="zh-CN"/>
        </w:rPr>
        <w:t>街道</w:t>
      </w:r>
      <w:r>
        <w:rPr>
          <w:rFonts w:hint="eastAsia" w:ascii="Times New Roman" w:hAnsi="Times New Roman" w:eastAsia="仿宋_GB2312" w:cs="Times New Roman"/>
          <w:bCs/>
          <w:kern w:val="0"/>
          <w:sz w:val="32"/>
          <w:szCs w:val="32"/>
        </w:rPr>
        <w:t>实际的具体政策措施。组织制定并实施本</w:t>
      </w:r>
      <w:r>
        <w:rPr>
          <w:rFonts w:hint="eastAsia" w:ascii="Times New Roman" w:hAnsi="Times New Roman" w:eastAsia="仿宋_GB2312" w:cs="Times New Roman"/>
          <w:bCs/>
          <w:kern w:val="0"/>
          <w:sz w:val="32"/>
          <w:szCs w:val="32"/>
          <w:lang w:eastAsia="zh-CN"/>
        </w:rPr>
        <w:t>街道</w:t>
      </w:r>
      <w:r>
        <w:rPr>
          <w:rFonts w:hint="eastAsia" w:ascii="Times New Roman" w:hAnsi="Times New Roman" w:eastAsia="仿宋_GB2312" w:cs="Times New Roman"/>
          <w:bCs/>
          <w:kern w:val="0"/>
          <w:sz w:val="32"/>
          <w:szCs w:val="32"/>
        </w:rPr>
        <w:t>经济和社会发展中长期规划，搞好经济发展的总体布局和产业结构设置。负责本</w:t>
      </w:r>
      <w:r>
        <w:rPr>
          <w:rFonts w:hint="eastAsia" w:ascii="Times New Roman" w:hAnsi="Times New Roman" w:eastAsia="仿宋_GB2312" w:cs="Times New Roman"/>
          <w:bCs/>
          <w:kern w:val="0"/>
          <w:sz w:val="32"/>
          <w:szCs w:val="32"/>
          <w:lang w:eastAsia="zh-CN"/>
        </w:rPr>
        <w:t>街道</w:t>
      </w:r>
      <w:r>
        <w:rPr>
          <w:rFonts w:hint="eastAsia" w:ascii="Times New Roman" w:hAnsi="Times New Roman" w:eastAsia="仿宋_GB2312" w:cs="Times New Roman"/>
          <w:bCs/>
          <w:kern w:val="0"/>
          <w:sz w:val="32"/>
          <w:szCs w:val="32"/>
        </w:rPr>
        <w:t>的科技、教育、文化、卫生等事业发展和计划生育工作</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编制本</w:t>
      </w:r>
      <w:r>
        <w:rPr>
          <w:rFonts w:hint="eastAsia" w:ascii="Times New Roman" w:hAnsi="Times New Roman" w:eastAsia="仿宋_GB2312" w:cs="Times New Roman"/>
          <w:bCs/>
          <w:kern w:val="0"/>
          <w:sz w:val="32"/>
          <w:szCs w:val="32"/>
          <w:lang w:eastAsia="zh-CN"/>
        </w:rPr>
        <w:t>街道</w:t>
      </w:r>
      <w:r>
        <w:rPr>
          <w:rFonts w:hint="eastAsia" w:ascii="Times New Roman" w:hAnsi="Times New Roman" w:eastAsia="仿宋_GB2312" w:cs="Times New Roman"/>
          <w:bCs/>
          <w:kern w:val="0"/>
          <w:sz w:val="32"/>
          <w:szCs w:val="32"/>
        </w:rPr>
        <w:t>财政预决算计划，负责经费的划拨和核算工作。</w:t>
      </w:r>
      <w:bookmarkEnd w:id="0"/>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（一）机构设置。</w:t>
      </w:r>
    </w:p>
    <w:p>
      <w:pPr>
        <w:widowControl/>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道县上关街道为正科级全额拨款行政单位，党政办公室3人，党工委9人，其他党政领导3人，农业农村办2人，安监站2人，财政所5人，党建室1人，纪委3人，综治办2人，其他驻村干部及办公室40人，机动车辆1台。</w:t>
      </w:r>
    </w:p>
    <w:p>
      <w:pPr>
        <w:widowControl/>
        <w:numPr>
          <w:ilvl w:val="0"/>
          <w:numId w:val="1"/>
        </w:numP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pPr>
        <w:widowControl/>
        <w:numPr>
          <w:ilvl w:val="0"/>
          <w:numId w:val="0"/>
        </w:numPr>
        <w:spacing w:line="600" w:lineRule="exact"/>
        <w:ind w:firstLine="640" w:firstLineChars="200"/>
        <w:rPr>
          <w:rFonts w:hint="default" w:ascii="Times New Roman" w:hAnsi="Times New Roman" w:eastAsia="仿宋_GB2312" w:cs="Times New Roman"/>
          <w:bCs/>
          <w:kern w:val="0"/>
          <w:sz w:val="32"/>
          <w:szCs w:val="32"/>
          <w:lang w:val="en-US"/>
        </w:rPr>
      </w:pPr>
      <w:r>
        <w:rPr>
          <w:rFonts w:hint="eastAsia" w:ascii="Times New Roman" w:hAnsi="Times New Roman" w:eastAsia="仿宋_GB2312" w:cs="Times New Roman"/>
          <w:bCs/>
          <w:kern w:val="0"/>
          <w:sz w:val="32"/>
          <w:szCs w:val="32"/>
          <w:lang w:val="en-US" w:eastAsia="zh-CN"/>
        </w:rPr>
        <w:t>道县上关街道办事处</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道县上关街道办事处本级。</w:t>
      </w:r>
    </w:p>
    <w:p>
      <w:pPr>
        <w:jc w:val="left"/>
        <w:rPr>
          <w:rFonts w:ascii="Times New Roman" w:hAnsi="Times New Roman" w:eastAsia="仿宋_GB2312" w:cs="Times New Roman"/>
          <w:sz w:val="28"/>
          <w:szCs w:val="32"/>
        </w:rPr>
      </w:pPr>
    </w:p>
    <w:p>
      <w:pPr>
        <w:jc w:val="both"/>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884.64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696.82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273.83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64.64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40.18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1158.47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63.41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1158.47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210.42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kern w:val="2"/>
                <w:sz w:val="22"/>
                <w:szCs w:val="22"/>
                <w:lang w:val="en-US" w:eastAsia="zh-CN" w:bidi="ar-SA"/>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1158.47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kern w:val="2"/>
                <w:sz w:val="22"/>
                <w:szCs w:val="22"/>
                <w:lang w:val="en-US" w:eastAsia="zh-CN" w:bidi="ar-SA"/>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1158.47</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1158.47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sz w:val="24"/>
                <w:szCs w:val="24"/>
                <w:lang w:val="en-US"/>
              </w:rPr>
            </w:pPr>
            <w:r>
              <w:rPr>
                <w:rFonts w:hint="eastAsia" w:ascii="Times New Roman" w:hAnsi="Times New Roman" w:eastAsia="仿宋_GB2312" w:cs="Times New Roman"/>
                <w:lang w:val="en-US" w:eastAsia="zh-CN"/>
              </w:rPr>
              <w:t>1158.47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696.82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696.82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人大事务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17.06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17.06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2010101</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15.76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15.76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2010108</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代表工作</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政府办公厅（室）及相关机构事务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617.55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617.55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2010301</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486.41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486.41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2010399</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其他政府办公厅（室）及相关机构事务支出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131.14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131.14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20106</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财政事务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2010601</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纪检监察事务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13.94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13.94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2011101</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2011199</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其他纪检监察事务支出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20139</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社会工作事务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2013999</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其他社会工作事务支出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64.64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64.64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40.18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40.18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21013</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医疗救助</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2101399</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其他医疗救助支出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21014</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优抚对象医疗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2101401</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优抚对象医疗补助</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医疗保障管理事务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2101599</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其他医疗保障管理事务支出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节能环保支出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自然生态保护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2110499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其他自然生态保护支出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城乡社区支出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国有土地使用权出让收入安排的支出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2120899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其他国有土地使用权出让收入安排的支出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农林水支出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77.00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77.00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农村综合改革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77.00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77.00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对村级公益事业建设的补助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18.00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对村民委员会和村党支部的补助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59.00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59.00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210.42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210.42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其他政府性基金及对应专项债务收入安排的支出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210.42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210.42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2290402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其他地方自行试点项目收益专项债券收入安排的支出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76.61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76.61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2290403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其他政府性基金债务收入安排的支出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133.81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133.81 </w:t>
            </w: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7" w:type="pct"/>
        <w:jc w:val="center"/>
        <w:tblLayout w:type="autofit"/>
        <w:tblCellMar>
          <w:top w:w="0" w:type="dxa"/>
          <w:left w:w="108" w:type="dxa"/>
          <w:bottom w:w="0" w:type="dxa"/>
          <w:right w:w="108" w:type="dxa"/>
        </w:tblCellMar>
      </w:tblPr>
      <w:tblGrid>
        <w:gridCol w:w="2133"/>
        <w:gridCol w:w="3366"/>
        <w:gridCol w:w="1587"/>
        <w:gridCol w:w="1044"/>
        <w:gridCol w:w="1044"/>
        <w:gridCol w:w="1587"/>
        <w:gridCol w:w="1044"/>
        <w:gridCol w:w="240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1,158.47 </w:t>
            </w:r>
          </w:p>
        </w:tc>
        <w:tc>
          <w:tcPr>
            <w:tcW w:w="469" w:type="pct"/>
            <w:tcBorders>
              <w:top w:val="nil"/>
              <w:left w:val="nil"/>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860.64 </w:t>
            </w:r>
          </w:p>
        </w:tc>
        <w:tc>
          <w:tcPr>
            <w:tcW w:w="469" w:type="pct"/>
            <w:tcBorders>
              <w:top w:val="nil"/>
              <w:left w:val="nil"/>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297.83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696.82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696.82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人大事务</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17.06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17.06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2010101</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15.76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15.76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2010108</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代表工作</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政府办公厅（室）及相关机构事务</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617.55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617.55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2010301</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486.41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486.41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其他政府办公厅（室）及相关机构事务支出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131.14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131.14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财政事务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2010601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纪检监察事务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13.94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13.94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7.64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7.64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其他纪检监察事务支出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社会工作事务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2013999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其他社会工作事务支出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64.64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64.64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40.18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40.18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医疗救助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其他医疗救助支出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优抚对象医疗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2101401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优抚对象医疗补助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医疗保障管理事务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其他医疗保障管理事务支出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自然生态保护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2110499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其他自然生态保护支出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城乡社区支出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国有土地使用权出让收入安排的支出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2120899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其他国有土地使用权出让收入安排的支出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63.41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农林水支出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77.00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59.00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农村综合改革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77.00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59.00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对村级公益事业建设的补助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对村民委员会和村党支部的补助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59.00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59.00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210.42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210.42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其他政府性基金及对应专项债务收入安排的支出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210.42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210.42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2290402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其他地方自行试点项目收益专项债券收入安排的支出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76.61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76.61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2290403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其他政府性基金债务收入安排的支出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133.81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133.81 </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1" w:name="RANGE!A1:I22"/>
      <w:bookmarkEnd w:id="1"/>
      <w:bookmarkStart w:id="2"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931"/>
        <w:gridCol w:w="3516"/>
        <w:gridCol w:w="616"/>
        <w:gridCol w:w="931"/>
        <w:gridCol w:w="1638"/>
        <w:gridCol w:w="1421"/>
        <w:gridCol w:w="1035"/>
      </w:tblGrid>
      <w:tr>
        <w:tblPrEx>
          <w:tblCellMar>
            <w:top w:w="0" w:type="dxa"/>
            <w:left w:w="108" w:type="dxa"/>
            <w:bottom w:w="0" w:type="dxa"/>
            <w:right w:w="108" w:type="dxa"/>
          </w:tblCellMar>
        </w:tblPrEx>
        <w:trPr>
          <w:trHeight w:val="402" w:hRule="atLeast"/>
          <w:jc w:val="center"/>
        </w:trPr>
        <w:tc>
          <w:tcPr>
            <w:tcW w:w="506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57"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5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884.64</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696.82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696.82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273.83</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3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64.64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64.64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1158.47</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十、节能环保支出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63.41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63.41</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十二、农林水支出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31"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1158.47</w:t>
            </w:r>
            <w:r>
              <w:rPr>
                <w:rFonts w:ascii="Times New Roman" w:hAnsi="Times New Roman" w:eastAsia="仿宋_GB2312" w:cs="Times New Roman"/>
                <w:kern w:val="0"/>
                <w:sz w:val="22"/>
              </w:rPr>
              <w:t>　</w:t>
            </w:r>
          </w:p>
        </w:tc>
        <w:tc>
          <w:tcPr>
            <w:tcW w:w="3516" w:type="dxa"/>
            <w:tcBorders>
              <w:top w:val="nil"/>
              <w:left w:val="nil"/>
              <w:bottom w:val="nil"/>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十四、资源勘探工业信息等支出</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十五、商业服务业等支出</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十六、金融支出</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十七、援助其他地区支出</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十八、自然资源海洋气象等支出</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十九、住房保障支出</w:t>
            </w:r>
          </w:p>
        </w:tc>
        <w:tc>
          <w:tcPr>
            <w:tcW w:w="0" w:type="auto"/>
            <w:tcBorders>
              <w:top w:val="nil"/>
              <w:left w:val="nil"/>
              <w:bottom w:val="nil"/>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二十、粮油物资储备支出</w:t>
            </w:r>
          </w:p>
        </w:tc>
        <w:tc>
          <w:tcPr>
            <w:tcW w:w="0" w:type="auto"/>
            <w:tcBorders>
              <w:top w:val="nil"/>
              <w:left w:val="nil"/>
              <w:bottom w:val="nil"/>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二十一、国有资本经营预算支出</w:t>
            </w:r>
          </w:p>
        </w:tc>
        <w:tc>
          <w:tcPr>
            <w:tcW w:w="0" w:type="auto"/>
            <w:tcBorders>
              <w:top w:val="nil"/>
              <w:left w:val="nil"/>
              <w:bottom w:val="nil"/>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二十二、灾害防治及应急管理支出</w:t>
            </w:r>
          </w:p>
        </w:tc>
        <w:tc>
          <w:tcPr>
            <w:tcW w:w="0" w:type="auto"/>
            <w:tcBorders>
              <w:top w:val="nil"/>
              <w:left w:val="nil"/>
              <w:bottom w:val="nil"/>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二十三、其他支出</w:t>
            </w:r>
          </w:p>
        </w:tc>
        <w:tc>
          <w:tcPr>
            <w:tcW w:w="0" w:type="auto"/>
            <w:tcBorders>
              <w:top w:val="nil"/>
              <w:left w:val="nil"/>
              <w:bottom w:val="nil"/>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37</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210.42</w:t>
            </w: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nil"/>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210.42</w:t>
            </w: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lang w:val="en-US" w:eastAsia="zh-CN"/>
              </w:rPr>
            </w:pPr>
            <w:r>
              <w:rPr>
                <w:rFonts w:hint="eastAsia" w:ascii="Times New Roman" w:hAnsi="Times New Roman" w:eastAsia="仿宋_GB2312" w:cs="Times New Roman"/>
                <w:b/>
                <w:bCs/>
                <w:kern w:val="0"/>
                <w:sz w:val="22"/>
              </w:rPr>
              <w:t>本年支出合计</w:t>
            </w:r>
          </w:p>
        </w:tc>
        <w:tc>
          <w:tcPr>
            <w:tcW w:w="0" w:type="auto"/>
            <w:tcBorders>
              <w:top w:val="nil"/>
              <w:left w:val="nil"/>
              <w:bottom w:val="nil"/>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w:t>
            </w:r>
          </w:p>
        </w:tc>
        <w:tc>
          <w:tcPr>
            <w:tcW w:w="0" w:type="auto"/>
            <w:tcBorders>
              <w:top w:val="nil"/>
              <w:left w:val="nil"/>
              <w:bottom w:val="nil"/>
              <w:right w:val="single" w:color="auto" w:sz="4" w:space="0"/>
            </w:tcBorders>
            <w:shd w:val="clear" w:color="000000" w:fill="FFFFFF"/>
            <w:noWrap/>
            <w:vAlign w:val="center"/>
          </w:tcPr>
          <w:p>
            <w:pPr>
              <w:widowControl/>
              <w:jc w:val="center"/>
              <w:rPr>
                <w:rFonts w:hint="default"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1158.47</w:t>
            </w:r>
          </w:p>
        </w:tc>
        <w:tc>
          <w:tcPr>
            <w:tcW w:w="0" w:type="auto"/>
            <w:tcBorders>
              <w:top w:val="nil"/>
              <w:left w:val="nil"/>
              <w:bottom w:val="nil"/>
              <w:right w:val="single" w:color="auto" w:sz="4" w:space="0"/>
            </w:tcBorders>
            <w:shd w:val="clear" w:color="000000" w:fill="FFFFFF"/>
            <w:noWrap/>
            <w:vAlign w:val="center"/>
          </w:tcPr>
          <w:p>
            <w:pPr>
              <w:widowControl/>
              <w:jc w:val="center"/>
              <w:rPr>
                <w:rFonts w:hint="default"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884.64</w:t>
            </w:r>
          </w:p>
        </w:tc>
        <w:tc>
          <w:tcPr>
            <w:tcW w:w="0" w:type="auto"/>
            <w:tcBorders>
              <w:top w:val="nil"/>
              <w:left w:val="nil"/>
              <w:bottom w:val="nil"/>
              <w:right w:val="single" w:color="auto" w:sz="4" w:space="0"/>
            </w:tcBorders>
            <w:shd w:val="clear" w:color="auto" w:fill="auto"/>
            <w:noWrap/>
            <w:vAlign w:val="center"/>
          </w:tcPr>
          <w:p>
            <w:pPr>
              <w:widowControl/>
              <w:jc w:val="center"/>
              <w:rPr>
                <w:rFonts w:hint="default"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273.83</w:t>
            </w: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nil"/>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p>
        </w:tc>
        <w:tc>
          <w:tcPr>
            <w:tcW w:w="3516" w:type="dxa"/>
            <w:tcBorders>
              <w:top w:val="nil"/>
              <w:left w:val="nil"/>
              <w:bottom w:val="nil"/>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年末财政拨款结转和结余</w:t>
            </w:r>
          </w:p>
        </w:tc>
        <w:tc>
          <w:tcPr>
            <w:tcW w:w="0" w:type="auto"/>
            <w:tcBorders>
              <w:top w:val="nil"/>
              <w:left w:val="nil"/>
              <w:bottom w:val="nil"/>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w:t>
            </w: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nil"/>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b/>
                <w:bCs/>
                <w:kern w:val="0"/>
                <w:sz w:val="22"/>
                <w:lang w:val="en-US" w:eastAsia="zh-CN"/>
              </w:rPr>
            </w:pPr>
          </w:p>
        </w:tc>
        <w:tc>
          <w:tcPr>
            <w:tcW w:w="35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1158.47</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884.64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273.83</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2"/>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184"/>
        <w:gridCol w:w="3995"/>
        <w:gridCol w:w="2862"/>
        <w:gridCol w:w="3323"/>
        <w:gridCol w:w="2855"/>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884.64</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860.64</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24</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696.82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696.82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人大事务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17.06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17.06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15.76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15.76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代表工作</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政府办公厅（室）及相关机构事务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617.55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617.55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486.41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486.41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其他政府办公厅（室）及相关机构事务支出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131.14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131.14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财政事务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2010601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47.31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纪检监察事务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13.94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13.94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7.64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7.64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2011199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其他纪检监察事务支出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社会工作事务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2013999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其他社会工作事务支出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0.96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64.64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64.64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58.62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40.18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40.18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31.95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医疗救助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其他医疗救助支出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优抚对象医疗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2101401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优抚对象医疗补助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医疗保障管理事务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其他医疗保障管理事务支出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自然生态保护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2110499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其他自然生态保护支出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农林水支出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77.00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59.00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18.00 </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农村综合改革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77.00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59.00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18.00 </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对村级公益事业建设的补助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18.00 </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对村民委员会和村党支部的补助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59.00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59.00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仿宋_GB2312" w:cs="Times New Roman"/>
                <w:lang w:val="en-US" w:eastAsia="zh-CN"/>
              </w:rPr>
            </w:pPr>
          </w:p>
        </w:tc>
      </w:tr>
    </w:tbl>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注：本表反映部门本年度一般公共预算</w:t>
      </w:r>
      <w:r>
        <w:rPr>
          <w:rFonts w:ascii="Times New Roman" w:hAnsi="Times New Roman" w:eastAsia="仿宋_GB2312" w:cs="Times New Roman"/>
          <w:kern w:val="0"/>
          <w:szCs w:val="21"/>
        </w:rPr>
        <w:t>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3" w:name="RANGE!A1:I34"/>
      <w:r>
        <w:rPr>
          <w:rFonts w:ascii="Times New Roman" w:hAnsi="Times New Roman" w:eastAsia="黑体" w:cs="Times New Roman"/>
          <w:color w:val="000000"/>
          <w:kern w:val="0"/>
          <w:sz w:val="36"/>
          <w:szCs w:val="36"/>
          <w:lang w:bidi="ar"/>
        </w:rPr>
        <w:t>一般公共预算财政拨款基本支出决算明细表</w:t>
      </w:r>
      <w:bookmarkEnd w:id="3"/>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823" w:type="dxa"/>
        <w:jc w:val="center"/>
        <w:tblLayout w:type="fixed"/>
        <w:tblCellMar>
          <w:top w:w="0" w:type="dxa"/>
          <w:left w:w="108" w:type="dxa"/>
          <w:bottom w:w="0" w:type="dxa"/>
          <w:right w:w="108" w:type="dxa"/>
        </w:tblCellMar>
      </w:tblPr>
      <w:tblGrid>
        <w:gridCol w:w="1081"/>
        <w:gridCol w:w="2850"/>
        <w:gridCol w:w="1067"/>
        <w:gridCol w:w="1015"/>
        <w:gridCol w:w="2018"/>
        <w:gridCol w:w="1062"/>
        <w:gridCol w:w="1088"/>
        <w:gridCol w:w="3517"/>
        <w:gridCol w:w="1125"/>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6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1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6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8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2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652.74</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193.14</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281.89</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56</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122.45</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143.01</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65.08</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35.47</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4.85</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8.5</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14.77</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5.9</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6.03</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18.79</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2.84</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06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25.55</w:t>
            </w:r>
          </w:p>
        </w:tc>
        <w:tc>
          <w:tcPr>
            <w:tcW w:w="10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06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667.51</w:t>
            </w:r>
          </w:p>
        </w:tc>
        <w:tc>
          <w:tcPr>
            <w:tcW w:w="8700"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12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193.14</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273.83</w:t>
            </w:r>
          </w:p>
        </w:tc>
        <w:tc>
          <w:tcPr>
            <w:tcW w:w="1919"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273.83</w:t>
            </w:r>
          </w:p>
        </w:tc>
        <w:tc>
          <w:tcPr>
            <w:tcW w:w="1935"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273.83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212</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城乡社区支出</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63.41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63.41 </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63.41 </w:t>
            </w:r>
          </w:p>
        </w:tc>
        <w:tc>
          <w:tcPr>
            <w:tcW w:w="1919" w:type="dxa"/>
            <w:tcBorders>
              <w:top w:val="single" w:color="000000" w:sz="4" w:space="0"/>
              <w:left w:val="single" w:color="auto"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21208</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国有土地使用权出让收入安排的支出</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63.41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63.41 </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63.41 </w:t>
            </w:r>
          </w:p>
        </w:tc>
        <w:tc>
          <w:tcPr>
            <w:tcW w:w="1919" w:type="dxa"/>
            <w:tcBorders>
              <w:top w:val="single" w:color="000000" w:sz="4" w:space="0"/>
              <w:left w:val="single" w:color="auto"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2120899</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其他国有土地使用权出让收入安排的支出</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63.41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63.41 </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63.41 </w:t>
            </w:r>
          </w:p>
        </w:tc>
        <w:tc>
          <w:tcPr>
            <w:tcW w:w="1919" w:type="dxa"/>
            <w:tcBorders>
              <w:top w:val="single" w:color="000000" w:sz="4" w:space="0"/>
              <w:left w:val="single" w:color="auto"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229</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其他支出</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210.42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210.42 </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210.42 </w:t>
            </w:r>
          </w:p>
        </w:tc>
        <w:tc>
          <w:tcPr>
            <w:tcW w:w="1919" w:type="dxa"/>
            <w:tcBorders>
              <w:top w:val="single" w:color="000000" w:sz="4" w:space="0"/>
              <w:left w:val="single" w:color="auto"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22904</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其他政府性基金及对应专项债务收入安排的支出</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210.42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210.42 </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210.42 </w:t>
            </w:r>
          </w:p>
        </w:tc>
        <w:tc>
          <w:tcPr>
            <w:tcW w:w="1919" w:type="dxa"/>
            <w:tcBorders>
              <w:top w:val="single" w:color="000000" w:sz="4" w:space="0"/>
              <w:left w:val="single" w:color="auto" w:sz="4" w:space="0"/>
              <w:bottom w:val="single" w:color="auto"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2290402</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其他地方自行试点项目收益专项债券收入安排的支出</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76.61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76.61 </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76.61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2290403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其他政府性基金债务收入安排的支出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133.81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133.81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 xml:space="preserve">133.81 </w:t>
            </w:r>
          </w:p>
        </w:tc>
        <w:tc>
          <w:tcPr>
            <w:tcW w:w="0" w:type="auto"/>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1158.47</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1158.47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1158.47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1157.47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860.64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297.83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1157.47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884.64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884.64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696.82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64.64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40.18万元，占5%；节能环保支出6万元，占1%；农林水支出77万元，占8%。</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884.64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884.64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15.76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15.76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代表工作</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486.41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486.41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其他政府办公厅（室）及相关机构事务支出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131.14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131.14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财政事务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47.31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47.31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其他纪检监察事务支出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3"/>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社会工作事务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其他社会工作事务支出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0.96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9、</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58.62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58.62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死亡抚恤</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31.95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医疗救助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其他医疗救助支出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优抚对象医疗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优抚对象医疗补助</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医疗保障管理事务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其他医疗保障管理事务支出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w:t>
      </w:r>
      <w:r>
        <w:rPr>
          <w:rFonts w:hint="eastAsia" w:ascii="Times New Roman" w:hAnsi="Times New Roman" w:eastAsia="仿宋_GB2312" w:cs="Times New Roman"/>
          <w:sz w:val="32"/>
          <w:szCs w:val="32"/>
        </w:rPr>
        <w:t>节能环保支出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自然生态保护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其他自然生态保护支出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16、</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对村级公益事业建设的补助</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17、</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对村民委员会和村党支部的补助</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按照支出功能分类，政府办公厅（室）及相关机构事务方面的支出规模较大，主要是：行政运行，2025年度决算数为</w:t>
      </w:r>
      <w:r>
        <w:rPr>
          <w:rFonts w:hint="eastAsia" w:ascii="Times New Roman" w:hAnsi="Times New Roman" w:eastAsia="仿宋_GB2312" w:cs="Times New Roman"/>
          <w:sz w:val="32"/>
          <w:szCs w:val="32"/>
          <w:lang w:val="en-US" w:eastAsia="zh-CN"/>
        </w:rPr>
        <w:t>486.41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工资发放、日常行政运行经费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860.64</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667.51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281.89万元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122.45万元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143.01万元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机关事业单位基本养老保险缴费65.08万元、职工基本医疗保险缴费35.47万元等</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193.14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56万元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20万元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维护费8.5万元、劳务费23万元、其他交通费用18.79万元等</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基本持平</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基本持平</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主要是公务用车运行</w:t>
      </w:r>
      <w:r>
        <w:rPr>
          <w:rFonts w:hint="eastAsia" w:ascii="Times New Roman" w:hAnsi="Times New Roman" w:eastAsia="仿宋_GB2312" w:cs="Times New Roman"/>
          <w:sz w:val="32"/>
          <w:szCs w:val="32"/>
          <w:lang w:val="en-US" w:eastAsia="zh-CN"/>
        </w:rPr>
        <w:t>及</w:t>
      </w:r>
      <w:r>
        <w:rPr>
          <w:rFonts w:ascii="Times New Roman" w:hAnsi="Times New Roman" w:eastAsia="仿宋_GB2312" w:cs="Times New Roman"/>
          <w:sz w:val="32"/>
          <w:szCs w:val="32"/>
        </w:rPr>
        <w:t>维护支出，完成预算的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基本持平</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273.83</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273.83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273.83</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63.41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其他地方自行试点项目收益专项债券收入安排的支出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76.61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76.61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133.81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133.81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860.65</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行政</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832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安全生产会议、防溺水、防汛抗旱会议、以工代赈项目会议、信访维稳工作会议等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各类教育、业务培训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377</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廉政警示教育</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作风建设培训、应急处置培训、财政财务培训、主题教育专题培训等</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290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12.4</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273.8</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290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16.2</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综合办公用车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3"/>
        <w:numPr>
          <w:ilvl w:val="0"/>
          <w:numId w:val="4"/>
        </w:numPr>
        <w:spacing w:line="580" w:lineRule="exact"/>
        <w:rPr>
          <w:rFonts w:hint="eastAsia" w:ascii="楷体" w:hAnsi="楷体" w:eastAsia="楷体" w:cs="楷体"/>
          <w:b/>
          <w:bCs/>
          <w:sz w:val="32"/>
          <w:szCs w:val="32"/>
        </w:rPr>
      </w:pPr>
      <w:r>
        <w:rPr>
          <w:rFonts w:hint="eastAsia" w:ascii="楷体" w:hAnsi="楷体" w:eastAsia="楷体" w:cs="楷体"/>
          <w:b/>
          <w:bCs/>
          <w:sz w:val="32"/>
          <w:szCs w:val="32"/>
        </w:rPr>
        <w:t>绩效管理工作开展情况</w:t>
      </w:r>
    </w:p>
    <w:p>
      <w:pPr>
        <w:pStyle w:val="13"/>
        <w:spacing w:line="580" w:lineRule="exact"/>
        <w:ind w:firstLine="640" w:firstLineChars="200"/>
        <w:rPr>
          <w:rFonts w:ascii="楷体" w:hAnsi="楷体" w:eastAsia="楷体" w:cs="楷体"/>
          <w:bCs/>
          <w:sz w:val="32"/>
          <w:szCs w:val="32"/>
        </w:rPr>
      </w:pPr>
      <w:r>
        <w:rPr>
          <w:rFonts w:hint="eastAsia" w:ascii="楷体" w:hAnsi="楷体" w:eastAsia="楷体" w:cs="楷体"/>
          <w:bCs/>
          <w:sz w:val="32"/>
          <w:szCs w:val="32"/>
        </w:rPr>
        <w:t>道县</w:t>
      </w:r>
      <w:r>
        <w:rPr>
          <w:rFonts w:hint="eastAsia" w:ascii="楷体" w:hAnsi="楷体" w:eastAsia="楷体" w:cs="楷体"/>
          <w:bCs/>
          <w:sz w:val="32"/>
          <w:szCs w:val="32"/>
          <w:lang w:val="en-US" w:eastAsia="zh-CN"/>
        </w:rPr>
        <w:t>上关</w:t>
      </w:r>
      <w:r>
        <w:rPr>
          <w:rFonts w:hint="eastAsia" w:ascii="楷体" w:hAnsi="楷体" w:eastAsia="楷体" w:cs="楷体"/>
          <w:bCs/>
          <w:sz w:val="32"/>
          <w:szCs w:val="32"/>
        </w:rPr>
        <w:t>街道办事处</w:t>
      </w:r>
      <w:r>
        <w:rPr>
          <w:rFonts w:hint="eastAsia" w:ascii="楷体" w:hAnsi="楷体" w:eastAsia="楷体" w:cs="楷体"/>
          <w:bCs/>
          <w:sz w:val="32"/>
          <w:szCs w:val="32"/>
          <w:lang w:eastAsia="zh-CN"/>
        </w:rPr>
        <w:t>2025</w:t>
      </w:r>
      <w:r>
        <w:rPr>
          <w:rFonts w:hint="eastAsia" w:ascii="楷体" w:hAnsi="楷体" w:eastAsia="楷体" w:cs="楷体"/>
          <w:bCs/>
          <w:sz w:val="32"/>
          <w:szCs w:val="32"/>
        </w:rPr>
        <w:t>年度严格按照上级要求进行了</w:t>
      </w:r>
      <w:r>
        <w:rPr>
          <w:rFonts w:hint="eastAsia" w:ascii="楷体" w:hAnsi="楷体" w:eastAsia="楷体" w:cs="楷体"/>
          <w:bCs/>
          <w:sz w:val="32"/>
          <w:szCs w:val="32"/>
          <w:lang w:val="en-US" w:eastAsia="zh-CN"/>
        </w:rPr>
        <w:t>绩</w:t>
      </w:r>
      <w:r>
        <w:rPr>
          <w:rFonts w:hint="eastAsia" w:ascii="楷体" w:hAnsi="楷体" w:eastAsia="楷体" w:cs="楷体"/>
          <w:bCs/>
          <w:sz w:val="32"/>
          <w:szCs w:val="32"/>
        </w:rPr>
        <w:t>效管理，并严格进行内部控制及内部审核工作。</w:t>
      </w:r>
    </w:p>
    <w:p>
      <w:pPr>
        <w:pStyle w:val="13"/>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（二）部门（单位）整体支出绩效情况</w:t>
      </w:r>
    </w:p>
    <w:p>
      <w:pPr>
        <w:pStyle w:val="13"/>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根据《会计法》、《预算法》、《行政单位会计制度》等法律和财政部及省财政厅有关财务规章的规定，</w:t>
      </w:r>
      <w:r>
        <w:rPr>
          <w:rFonts w:hint="eastAsia" w:ascii="Times New Roman" w:hAnsi="Times New Roman" w:eastAsia="仿宋_GB2312"/>
          <w:sz w:val="32"/>
          <w:szCs w:val="32"/>
          <w:lang w:val="en-US" w:eastAsia="zh-CN"/>
        </w:rPr>
        <w:t>街道</w:t>
      </w:r>
      <w:r>
        <w:rPr>
          <w:rFonts w:hint="eastAsia" w:ascii="Times New Roman" w:hAnsi="Times New Roman" w:eastAsia="仿宋_GB2312"/>
          <w:sz w:val="32"/>
          <w:szCs w:val="32"/>
        </w:rPr>
        <w:t>先后制订了《财务管理制度》、《</w:t>
      </w:r>
      <w:r>
        <w:rPr>
          <w:rFonts w:hint="eastAsia" w:ascii="Times New Roman" w:hAnsi="Times New Roman" w:eastAsia="仿宋_GB2312"/>
          <w:sz w:val="32"/>
          <w:szCs w:val="32"/>
          <w:lang w:val="en-US" w:eastAsia="zh-CN"/>
        </w:rPr>
        <w:t>上关</w:t>
      </w:r>
      <w:r>
        <w:rPr>
          <w:rFonts w:hint="eastAsia" w:ascii="Times New Roman" w:hAnsi="Times New Roman" w:eastAsia="仿宋_GB2312"/>
          <w:sz w:val="32"/>
          <w:szCs w:val="32"/>
          <w:lang w:eastAsia="zh-CN"/>
        </w:rPr>
        <w:t>街道办事处</w:t>
      </w:r>
      <w:r>
        <w:rPr>
          <w:rFonts w:hint="eastAsia" w:ascii="Times New Roman" w:hAnsi="Times New Roman" w:eastAsia="仿宋_GB2312"/>
          <w:sz w:val="32"/>
          <w:szCs w:val="32"/>
          <w:lang w:val="en-US" w:eastAsia="zh-CN"/>
        </w:rPr>
        <w:t>内部管理制度</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上关</w:t>
      </w:r>
      <w:r>
        <w:rPr>
          <w:rFonts w:hint="eastAsia" w:ascii="Times New Roman" w:hAnsi="Times New Roman" w:eastAsia="仿宋_GB2312"/>
          <w:sz w:val="32"/>
          <w:szCs w:val="32"/>
          <w:lang w:eastAsia="zh-CN"/>
        </w:rPr>
        <w:t>街道办事处</w:t>
      </w:r>
      <w:r>
        <w:rPr>
          <w:rFonts w:hint="eastAsia" w:ascii="Times New Roman" w:hAnsi="Times New Roman" w:eastAsia="仿宋_GB2312"/>
          <w:sz w:val="32"/>
          <w:szCs w:val="32"/>
        </w:rPr>
        <w:t>差旅费管理办法》等制度，制度明确了经费审批权限及程序，经费预算、核算管理、资产购置与处置、财务监督等，针对“三公”经费建立公用经费标准定额体系，开展公用经费使用监督和绩效评估，领导重视，干部参与，制度建立完善。</w:t>
      </w:r>
    </w:p>
    <w:p>
      <w:pPr>
        <w:pStyle w:val="13"/>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（三）存在的问题及原因分析</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1、预算绩效管理机制有待进一步完善，需进一步结合工作实际完善资金管理文件办法等。</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2、绩效目标设定不够细化，绩效目标的科学性、合理性以及量化可考核性有待进一步加强。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3、内控制度执行有待进一步规范。</w:t>
      </w:r>
    </w:p>
    <w:p>
      <w:pPr>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    4、存在预算资金不够细分，支出与预算匹配度不够等问题。</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改进方法：</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规范账务处理，提高财务信息质量 。</w:t>
      </w:r>
    </w:p>
    <w:p>
      <w:pPr>
        <w:pStyle w:val="13"/>
        <w:ind w:firstLine="640" w:firstLineChars="200"/>
        <w:jc w:val="both"/>
        <w:rPr>
          <w:rFonts w:ascii="Times New Roman" w:hAnsi="Times New Roman" w:cs="Times New Roman"/>
          <w:sz w:val="72"/>
          <w:szCs w:val="72"/>
        </w:rPr>
      </w:pPr>
      <w:r>
        <w:rPr>
          <w:rFonts w:hint="eastAsia" w:ascii="Times New Roman" w:hAnsi="Times New Roman" w:eastAsia="仿宋_GB2312" w:cs="黑体"/>
          <w:color w:val="000000"/>
          <w:kern w:val="0"/>
          <w:sz w:val="32"/>
          <w:szCs w:val="32"/>
          <w:lang w:val="en-US" w:eastAsia="zh-CN" w:bidi="ar-SA"/>
        </w:rPr>
        <w:t>严格按照《会计法》、《行政单位会计制度》、《行政单位财务规则》等规定执行财务核算，并结合实际情况，完整、准确地披露相关信息，做到决算与预算相衔接。</w:t>
      </w: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1．财政拨款收入：指单位本年度从同级财政部门取得的各类财政拨款。</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2．上级补助收入：指事业单位从主管部门和上级单位取得的非财政补助收入。</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5．对附属单位补助支出：指事业单位用财政拨款收入之外的收入对附属单位补助发生的支出。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6．经营支出：指事业单位在专业业务活动及其辅助活动之外开展非独立核算经营活动发生的支出。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7．上缴上级支出：指事业单位按照财政部门和主管部门的规定上缴上级单位的支出。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8．项目支出：指在为完成特定的工作任务和事业发展目标所发生的支出。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9．基本支出：指为保障机构正常运转、完成日常工作任务而发生的支出，包括人员经费和公用经费。</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10．年末结转和结余资金：指本年度或以前年度预算安排、因客观条件发生变化无法按原计划实施，需要延迟到以后年度按有关规定继续使用的资金。</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11．结余分配：指事业单位按规定对非财政拨款结余资金提取的专用基金、缴纳的所得税和转入非财政拨款结余等。</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12．年初结转和结余：指单位上年结转本年使用的基本支出结转、项目支出结转和结余和经营结余。</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13．使用非财政拨款结余：指事业单位使用非财政拨款结余（原事业基金）弥补当年收支差额的数额。</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14．其他收入：指单位取得的除上述“财政拨款收入”、“事业收入”、“经营收入”等以外的各项收入。</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15．事业收入：指事业单位开展专业业务活动及其辅助活动取得的收入，事业单位收到的财政专户实际核拨的教育收费等资金在此反映。</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16．经营收入：指事业单位在专业业务活动及其辅助活动之外开展非独立核算经营活动取得的收入。</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17．附属单位上缴收入：指事业单位附属独立核算单位按照有关规定上缴的收入。</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18．一般公共服务支出（类）人大事务（款）其他人大事务支出（项）：反映除上述项目以外的其他人大事务支出。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19．一般公共服务支出（类）政府办公厅（室）及相关机构事务（款）行政运行（项）：反映行政单位（包括实行公务员管理的事业单位）的基本 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20．一般公共服务支出（类）政府办公厅（室）及相关机构事务（款）其他政府办公厅（室）及相关机构事务支出（项）：反映除上述项目以外的其他政府办公厅（室）及相关机构事 务支出。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21．一般公共服务支出（类）纪检监察事务（款）其他纪检监察事务支出（项）：反映除上述项目以外其他纪检监察事务方面的支出。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22．一般公共服务支出（类）群众团体事务（款）其他群众团体事务支出（项）：反映除上述项目以外其他用于群众团体事务方面的支出。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23．一般公共服务支出（类）其他一般公共服务支出（款）其他一般公共服务支出（项）：反映除上述项目以外的其他一般公共服务支出。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24．社会保障和就业支出（类）行政事业单位养老支出（款）机关事业单位基本养老保险缴费支出（项）：反映机关事业单位实施养老保险制度由单位缴纳的基本养老保险费支出。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25．社会保障和就业支出（类）抚恤（款）死亡抚恤（项）：反映按规定用于烈士和牺牲、病故人员家属的一次性和定期 抚恤金、丧葬补助费以及烈士褒扬金。</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27．农林水支出（类）巩固脱贫衔接乡村振兴（款）其他巩固脱贫衔接乡村振兴支出（项）：反映除上述项目以外其他用于巩固拓展脱贫攻坚成果同乡村</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28．农林水支出（类）农村综合改革（款）对村级公益事业建设的补助（项）：反映农村综合改革方面的支出。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29．农林水支出（类）农村综合改革（款）对村民委员会和村党支部的补助（项）：反映各级财政对村民委员会和村党支部的补助支出，以及支持建立县级基本财力保障机制安排的村级组织运转奖补资金。</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30．灾害防治及应急管理支出（类）自然灾害防治（款）森林草原防灾减灾（项）：反映防治森林草原火灾、自然水呈灾害等发生的支出。</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both"/>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pPr>
        <w:pStyle w:val="13"/>
        <w:spacing w:line="600" w:lineRule="exact"/>
        <w:ind w:firstLine="1280" w:firstLineChars="400"/>
        <w:rPr>
          <w:rFonts w:ascii="Times New Roman" w:hAnsi="Times New Roman" w:eastAsia="仿宋_GB2312" w:cs="Times New Roman"/>
          <w:sz w:val="32"/>
          <w:szCs w:val="32"/>
        </w:rPr>
      </w:pPr>
      <w:bookmarkStart w:id="4" w:name="_GoBack"/>
      <w:bookmarkEnd w:id="4"/>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E561C6"/>
    <w:multiLevelType w:val="singleLevel"/>
    <w:tmpl w:val="D2E561C6"/>
    <w:lvl w:ilvl="0" w:tentative="0">
      <w:start w:val="2"/>
      <w:numFmt w:val="chineseCounting"/>
      <w:suff w:val="nothing"/>
      <w:lvlText w:val="（%1）"/>
      <w:lvlJc w:val="left"/>
      <w:rPr>
        <w:rFonts w:hint="eastAsia"/>
      </w:rPr>
    </w:lvl>
  </w:abstractNum>
  <w:abstractNum w:abstractNumId="1">
    <w:nsid w:val="F69D1169"/>
    <w:multiLevelType w:val="singleLevel"/>
    <w:tmpl w:val="F69D1169"/>
    <w:lvl w:ilvl="0" w:tentative="0">
      <w:start w:val="3"/>
      <w:numFmt w:val="decimal"/>
      <w:suff w:val="nothing"/>
      <w:lvlText w:val="%1、"/>
      <w:lvlJc w:val="left"/>
    </w:lvl>
  </w:abstractNum>
  <w:abstractNum w:abstractNumId="2">
    <w:nsid w:val="1D445391"/>
    <w:multiLevelType w:val="singleLevel"/>
    <w:tmpl w:val="1D445391"/>
    <w:lvl w:ilvl="0" w:tentative="0">
      <w:start w:val="8"/>
      <w:numFmt w:val="decimal"/>
      <w:suff w:val="nothing"/>
      <w:lvlText w:val="%1、"/>
      <w:lvlJc w:val="left"/>
    </w:lvl>
  </w:abstractNum>
  <w:abstractNum w:abstractNumId="3">
    <w:nsid w:val="303C23B6"/>
    <w:multiLevelType w:val="multilevel"/>
    <w:tmpl w:val="303C23B6"/>
    <w:lvl w:ilvl="0" w:tentative="0">
      <w:start w:val="1"/>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90F0C4C"/>
    <w:rsid w:val="12906AB9"/>
    <w:rsid w:val="16A232FB"/>
    <w:rsid w:val="1D97DEFF"/>
    <w:rsid w:val="1DFF72E5"/>
    <w:rsid w:val="1EFC6F07"/>
    <w:rsid w:val="22547532"/>
    <w:rsid w:val="22697A51"/>
    <w:rsid w:val="23E76EA7"/>
    <w:rsid w:val="2FDF85B8"/>
    <w:rsid w:val="2FFFEE04"/>
    <w:rsid w:val="3489465B"/>
    <w:rsid w:val="34DF85B0"/>
    <w:rsid w:val="373655DA"/>
    <w:rsid w:val="3B5B73B5"/>
    <w:rsid w:val="3B8F36BC"/>
    <w:rsid w:val="3C6A26CF"/>
    <w:rsid w:val="3CB95393"/>
    <w:rsid w:val="3D284407"/>
    <w:rsid w:val="41004147"/>
    <w:rsid w:val="491FF225"/>
    <w:rsid w:val="4BD20AA9"/>
    <w:rsid w:val="4FFD214C"/>
    <w:rsid w:val="52171E30"/>
    <w:rsid w:val="5777D4F5"/>
    <w:rsid w:val="58D040AC"/>
    <w:rsid w:val="59DD8326"/>
    <w:rsid w:val="5DEF592A"/>
    <w:rsid w:val="5E212157"/>
    <w:rsid w:val="5FC6BB1E"/>
    <w:rsid w:val="5FF720F1"/>
    <w:rsid w:val="60F11A9E"/>
    <w:rsid w:val="6469198B"/>
    <w:rsid w:val="67FF5C0B"/>
    <w:rsid w:val="6EFC0924"/>
    <w:rsid w:val="6FB74722"/>
    <w:rsid w:val="6FEF8B7E"/>
    <w:rsid w:val="71A6591B"/>
    <w:rsid w:val="737D59BA"/>
    <w:rsid w:val="77C37683"/>
    <w:rsid w:val="780261EF"/>
    <w:rsid w:val="78126F7B"/>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qFormat/>
    <w:uiPriority w:val="0"/>
    <w:pPr>
      <w:ind w:firstLine="420"/>
    </w:pPr>
    <w:rPr>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Pages>
  <Words>10463</Words>
  <Characters>13387</Characters>
  <Lines>69</Lines>
  <Paragraphs>19</Paragraphs>
  <TotalTime>5</TotalTime>
  <ScaleCrop>false</ScaleCrop>
  <LinksUpToDate>false</LinksUpToDate>
  <CharactersWithSpaces>14952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2026-09-15T00:59:46Z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y fmtid="{D5CDD505-2E9C-101B-9397-08002B2CF9AE}" pid="4" name="KSOTemplateDocerSaveRecord">
    <vt:lpwstr>eyJoZGlkIjoiMzhiYjc0OWIzNDEwZDEyODExN2E1OGE2YjZhOTU2M2UiLCJ1c2VySWQiOiIxMDgwMTA1MDY2In0=</vt:lpwstr>
  </property>
</Properties>
</file>