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rFonts w:ascii="黑体" w:hAnsi="Calibri" w:eastAsia="黑体" w:cs="黑体"/>
          <w:color w:val="000000"/>
          <w:kern w:val="0"/>
          <w:sz w:val="56"/>
          <w:szCs w:val="24"/>
          <w:lang w:val="en-US" w:eastAsia="zh-CN" w:bidi="ar-SA"/>
        </w:rPr>
        <w:pict>
          <v:rect id="文本框 1" o:spid="_x0000_s1026" o:spt="1" style="position:absolute;left:0pt;margin-left:-18.6pt;margin-top:-23.4pt;height:40.75pt;width:119.95pt;z-index:251659264;mso-width-relative:page;mso-height-relative:page;" fillcolor="#FFFFFF" filled="t" o:preferrelative="t" stroked="f" coordsize="21600,21600">
            <v:path/>
            <v:fill on="t" focussize="0,0"/>
            <v:stroke on="f"/>
            <v:imagedata gain="65536f" blacklevel="0f" gamma="0" o:title=""/>
            <o:lock v:ext="edit" position="f" selection="f" grouping="f" rotation="f" cropping="f" text="f"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rect>
        </w:pic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道县就业服务中心</w:t>
      </w: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40" w:lineRule="exact"/>
        <w:jc w:val="center"/>
        <w:rPr>
          <w:sz w:val="56"/>
          <w:szCs w:val="56"/>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部门基本</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2025年</w:t>
      </w:r>
      <w:r>
        <w:rPr>
          <w:rFonts w:hint="eastAsia" w:ascii="方正小标宋_GBK" w:hAnsi="方正小标宋_GBK" w:eastAsia="方正小标宋_GBK" w:cs="方正小标宋_GBK"/>
          <w:sz w:val="84"/>
          <w:szCs w:val="84"/>
          <w:lang w:eastAsia="zh-CN"/>
        </w:rPr>
        <w:t>部门基本</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pStyle w:val="15"/>
        <w:numPr>
          <w:ilvl w:val="0"/>
          <w:numId w:val="0"/>
        </w:numPr>
        <w:ind w:leftChars="0"/>
        <w:jc w:val="left"/>
        <w:rPr>
          <w:rFonts w:hint="eastAsia" w:ascii="黑体" w:hAnsi="黑体" w:eastAsia="黑体" w:cs="黑体"/>
          <w:b w:val="0"/>
          <w:bCs w:val="0"/>
          <w:sz w:val="32"/>
          <w:szCs w:val="32"/>
          <w:lang w:val="en-US" w:eastAsia="zh-CN"/>
        </w:rPr>
      </w:pPr>
    </w:p>
    <w:p>
      <w:pPr>
        <w:pStyle w:val="15"/>
        <w:numPr>
          <w:ilvl w:val="0"/>
          <w:numId w:val="0"/>
        </w:numPr>
        <w:ind w:leftChars="0" w:firstLine="640" w:firstLineChars="200"/>
        <w:jc w:val="left"/>
        <w:rPr>
          <w:rFonts w:hint="eastAsia" w:ascii="Times New Roman" w:hAnsi="Times New Roman" w:eastAsia="仿宋_GB2312" w:cs="仿宋_GB2312"/>
          <w:sz w:val="32"/>
          <w:szCs w:val="32"/>
          <w:lang w:eastAsia="zh-CN"/>
        </w:rPr>
      </w:pPr>
      <w:r>
        <w:rPr>
          <w:rFonts w:hint="eastAsia" w:ascii="黑体" w:hAnsi="黑体" w:eastAsia="黑体" w:cs="黑体"/>
          <w:b w:val="0"/>
          <w:bCs w:val="0"/>
          <w:sz w:val="32"/>
          <w:szCs w:val="32"/>
          <w:lang w:val="en-US" w:eastAsia="zh-CN"/>
        </w:rPr>
        <w:t xml:space="preserve">  一、</w:t>
      </w:r>
      <w:r>
        <w:rPr>
          <w:rFonts w:hint="eastAsia" w:ascii="黑体" w:hAnsi="黑体" w:eastAsia="黑体" w:cs="黑体"/>
          <w:b w:val="0"/>
          <w:bCs w:val="0"/>
          <w:sz w:val="32"/>
          <w:szCs w:val="32"/>
        </w:rPr>
        <w:t>部门职责</w:t>
      </w:r>
    </w:p>
    <w:p>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0" w:name="AGENCY_NAME_TITLE3"/>
      <w:r>
        <w:rPr>
          <w:rFonts w:hint="eastAsia" w:ascii="仿宋_GB2312" w:hAnsi="仿宋_GB2312" w:eastAsia="仿宋_GB2312" w:cs="仿宋_GB2312"/>
          <w:color w:val="000000"/>
          <w:sz w:val="32"/>
          <w:szCs w:val="32"/>
          <w:shd w:val="clear" w:color="auto" w:fill="FFFFFF"/>
        </w:rPr>
        <w:t>道县就业服务中心</w:t>
      </w:r>
      <w:bookmarkEnd w:id="0"/>
      <w:r>
        <w:rPr>
          <w:rFonts w:hint="eastAsia" w:ascii="仿宋_GB2312" w:hAnsi="仿宋_GB2312" w:eastAsia="仿宋_GB2312" w:cs="仿宋_GB2312"/>
          <w:color w:val="000000"/>
          <w:sz w:val="32"/>
          <w:szCs w:val="32"/>
          <w:shd w:val="clear" w:color="auto" w:fill="FFFFFF"/>
        </w:rPr>
        <w:t>的主要职责是：</w:t>
      </w:r>
    </w:p>
    <w:p>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1" w:name="FUNCRESP"/>
      <w:r>
        <w:rPr>
          <w:rFonts w:hint="eastAsia" w:ascii="仿宋_GB2312" w:hAnsi="仿宋_GB2312" w:eastAsia="仿宋_GB2312" w:cs="仿宋_GB2312"/>
          <w:color w:val="000000"/>
          <w:sz w:val="32"/>
          <w:szCs w:val="32"/>
          <w:shd w:val="clear" w:color="auto" w:fill="FFFFFF"/>
        </w:rPr>
        <w:t>根据就业失业有关规定，本单位主要工作职责是：指导全县就业服务工作，负责城镇街道和乡镇劳动保障管理站的建设和业务指导工作；承办就业培训中心和企业单位职工培训中心工作、组织城乡劳动者就业前预备役培训，失业人员和下岗职工转岗训练；承担社会力量办学资格审核和年检工作；负责失业人员的登记，调查、统计。失业保险基金的征缴、管理；核发失业保险金及其它失业保险待遇。为自主创业人员提供小额担保贷款。拨付下岗失业人员职业培训，职业介绍等补贴费用；为失业人员提供免费咨询服务；国家规定由其履行的其它职责。</w:t>
      </w:r>
      <w:bookmarkEnd w:id="1"/>
    </w:p>
    <w:p>
      <w:pPr>
        <w:pStyle w:val="10"/>
        <w:rPr>
          <w:rFonts w:hint="eastAsia"/>
        </w:rPr>
      </w:pPr>
    </w:p>
    <w:p>
      <w:pPr>
        <w:numPr>
          <w:ilvl w:val="0"/>
          <w:numId w:val="0"/>
        </w:numPr>
        <w:ind w:firstLine="964" w:firstLineChars="3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二、机构设置</w:t>
      </w:r>
    </w:p>
    <w:p>
      <w:pPr>
        <w:pStyle w:val="4"/>
        <w:numPr>
          <w:ilvl w:val="0"/>
          <w:numId w:val="0"/>
        </w:numPr>
        <w:ind w:firstLine="960" w:firstLineChars="300"/>
        <w:rPr>
          <w:rFonts w:hint="eastAsia" w:ascii="Times New Roman" w:hAnsi="Times New Roman" w:eastAsia="仿宋_GB2312" w:cs="仿宋_GB2312"/>
          <w:sz w:val="32"/>
          <w:szCs w:val="32"/>
        </w:rPr>
      </w:pPr>
      <w:r>
        <w:rPr>
          <w:rFonts w:hint="eastAsia" w:ascii="仿宋_GB2312" w:hAnsi="仿宋_GB2312" w:eastAsia="仿宋_GB2312" w:cs="仿宋_GB2312"/>
          <w:color w:val="000000"/>
          <w:sz w:val="32"/>
          <w:szCs w:val="32"/>
          <w:shd w:val="clear" w:color="auto" w:fill="FFFFFF"/>
        </w:rPr>
        <w:t>本部门属于事业单位,内设办公室、失业保险股、城乡就业股、培训股以及小额担保贷款中心</w:t>
      </w:r>
      <w:r>
        <w:rPr>
          <w:rFonts w:hint="eastAsia" w:ascii="仿宋_GB2312" w:hAnsi="仿宋_GB2312" w:eastAsia="仿宋_GB2312" w:cs="仿宋_GB2312"/>
          <w:color w:val="000000"/>
          <w:sz w:val="32"/>
          <w:szCs w:val="32"/>
          <w:shd w:val="clear" w:color="auto" w:fill="FFFFFF"/>
          <w:lang w:eastAsia="zh-CN"/>
        </w:rPr>
        <w:t>。</w:t>
      </w:r>
    </w:p>
    <w:p>
      <w:pPr>
        <w:widowControl/>
        <w:spacing w:line="600" w:lineRule="exact"/>
        <w:rPr>
          <w:rFonts w:hint="eastAsia" w:ascii="Times New Roman" w:hAnsi="Times New Roman" w:eastAsia="仿宋_GB2312" w:cs="仿宋_GB2312"/>
          <w:bCs/>
          <w:kern w:val="0"/>
          <w:sz w:val="32"/>
          <w:szCs w:val="32"/>
        </w:rPr>
      </w:pPr>
    </w:p>
    <w:p>
      <w:pPr>
        <w:jc w:val="left"/>
        <w:rPr>
          <w:rFonts w:ascii="仿宋_GB2312" w:hAnsi="宋体" w:eastAsia="仿宋_GB2312"/>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pStyle w:val="10"/>
        <w:rPr>
          <w:rFonts w:hint="eastAsia" w:eastAsia="宋体"/>
          <w:lang w:eastAsia="zh-CN"/>
        </w:rPr>
        <w:sectPr>
          <w:pgSz w:w="11906" w:h="16838"/>
          <w:pgMar w:top="720" w:right="720" w:bottom="720" w:left="720" w:header="851" w:footer="992" w:gutter="0"/>
          <w:cols w:space="720" w:num="1"/>
          <w:docGrid w:type="lines" w:linePitch="312" w:charSpace="0"/>
        </w:sectPr>
      </w:pPr>
    </w:p>
    <w:tbl>
      <w:tblPr>
        <w:tblStyle w:val="12"/>
        <w:tblW w:w="154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87"/>
        <w:gridCol w:w="287"/>
        <w:gridCol w:w="1477"/>
        <w:gridCol w:w="1803"/>
        <w:gridCol w:w="1803"/>
        <w:gridCol w:w="1803"/>
        <w:gridCol w:w="1803"/>
        <w:gridCol w:w="1803"/>
        <w:gridCol w:w="1803"/>
        <w:gridCol w:w="25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tcMar>
              <w:top w:w="15" w:type="dxa"/>
              <w:left w:w="15" w:type="dxa"/>
              <w:bottom w:w="0" w:type="dxa"/>
              <w:right w:w="15" w:type="dxa"/>
            </w:tcMar>
            <w:vAlign w:val="center"/>
          </w:tcPr>
          <w:tbl>
            <w:tblPr>
              <w:tblStyle w:val="12"/>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75"/>
              <w:gridCol w:w="854"/>
              <w:gridCol w:w="1425"/>
              <w:gridCol w:w="4356"/>
              <w:gridCol w:w="1505"/>
              <w:gridCol w:w="494"/>
              <w:gridCol w:w="1032"/>
              <w:gridCol w:w="15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175" w:type="dxa"/>
                  <w:tcBorders>
                    <w:top w:val="nil"/>
                    <w:left w:val="nil"/>
                    <w:bottom w:val="nil"/>
                    <w:right w:val="nil"/>
                  </w:tcBorders>
                  <w:vAlign w:val="center"/>
                </w:tcPr>
                <w:p>
                  <w:pPr>
                    <w:jc w:val="left"/>
                    <w:rPr>
                      <w:rFonts w:hint="eastAsia" w:ascii="黑体" w:hAnsi="宋体" w:eastAsia="黑体" w:cs="黑体"/>
                      <w:i w:val="0"/>
                      <w:color w:val="000000"/>
                      <w:sz w:val="24"/>
                      <w:szCs w:val="24"/>
                      <w:u w:val="none"/>
                    </w:rPr>
                  </w:pPr>
                </w:p>
              </w:tc>
              <w:tc>
                <w:tcPr>
                  <w:tcW w:w="854" w:type="dxa"/>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1425" w:type="dxa"/>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4356" w:type="dxa"/>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1999" w:type="dxa"/>
                  <w:gridSpan w:val="2"/>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2589" w:type="dxa"/>
                  <w:gridSpan w:val="2"/>
                  <w:tcBorders>
                    <w:top w:val="nil"/>
                    <w:left w:val="nil"/>
                    <w:bottom w:val="nil"/>
                    <w:right w:val="nil"/>
                  </w:tcBorders>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vAlign w:val="center"/>
                </w:tcPr>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175"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854"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425"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4356"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999" w:type="dxa"/>
                  <w:gridSpan w:val="2"/>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2589" w:type="dxa"/>
                  <w:gridSpan w:val="2"/>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175"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854"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425"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4356"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999" w:type="dxa"/>
                  <w:gridSpan w:val="2"/>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2589" w:type="dxa"/>
                  <w:gridSpan w:val="2"/>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90" w:hRule="atLeast"/>
              </w:trPr>
              <w:tc>
                <w:tcPr>
                  <w:tcW w:w="645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收入</w:t>
                  </w:r>
                </w:p>
              </w:tc>
              <w:tc>
                <w:tcPr>
                  <w:tcW w:w="7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5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5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1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4"/>
                      <w:szCs w:val="24"/>
                      <w:u w:val="none"/>
                    </w:rPr>
                  </w:pPr>
                </w:p>
              </w:tc>
              <w:tc>
                <w:tcPr>
                  <w:tcW w:w="15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7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一、一般公共预算财政拨款收入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175.14</w:t>
                  </w: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一、一般公共服务支出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14</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4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二、政府性基金预算财政拨款收入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二、外交支出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15</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4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三、国有资本经营预算财政拨款收入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三、国防支出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16</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3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四、上级补助收入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四、公共安全支出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17</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28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五、事业收入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五、教育支出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18</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6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六、经营收入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六、科学技术支出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19</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3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七、附属单位上缴收入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七、文化旅游体育与传媒支出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20</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4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八、其他收入</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八、社会保障和就业支出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21</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147.93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1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319"/>
                    </w:tabs>
                    <w:jc w:val="left"/>
                    <w:rPr>
                      <w:rFonts w:hint="eastAsia" w:ascii="宋体" w:hAnsi="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九、卫生健康支出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22</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b w:val="0"/>
                      <w:bCs/>
                      <w:i w:val="0"/>
                      <w:color w:val="000000"/>
                      <w:sz w:val="22"/>
                      <w:szCs w:val="22"/>
                      <w:u w:val="none"/>
                      <w:lang w:val="en-US" w:eastAsia="zh-CN"/>
                    </w:rPr>
                  </w:pPr>
                  <w:r>
                    <w:rPr>
                      <w:rFonts w:hint="eastAsia" w:ascii="宋体" w:hAnsi="宋体" w:cs="宋体"/>
                      <w:b w:val="0"/>
                      <w:bCs/>
                      <w:i w:val="0"/>
                      <w:color w:val="000000"/>
                      <w:sz w:val="22"/>
                      <w:szCs w:val="22"/>
                      <w:u w:val="none"/>
                      <w:lang w:val="en-US" w:eastAsia="zh-CN"/>
                    </w:rPr>
                    <w:t>7.85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3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2"/>
                      <w:szCs w:val="22"/>
                      <w:u w:val="none"/>
                      <w:lang w:val="en-US" w:eastAsia="zh-CN"/>
                    </w:rPr>
                    <w:t>十、节能环保支出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23</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2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十一、城乡社区支出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24</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33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十二、农林水支出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25</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b w:val="0"/>
                      <w:bCs/>
                      <w:i w:val="0"/>
                      <w:color w:val="000000"/>
                      <w:sz w:val="22"/>
                      <w:szCs w:val="22"/>
                      <w:u w:val="none"/>
                      <w:lang w:val="en-US" w:eastAsia="zh-CN"/>
                    </w:rPr>
                  </w:pPr>
                  <w:r>
                    <w:rPr>
                      <w:rFonts w:hint="eastAsia" w:ascii="宋体" w:hAnsi="宋体" w:cs="宋体"/>
                      <w:b w:val="0"/>
                      <w:bCs/>
                      <w:i w:val="0"/>
                      <w:color w:val="000000"/>
                      <w:sz w:val="22"/>
                      <w:szCs w:val="22"/>
                      <w:u w:val="none"/>
                      <w:lang w:val="en-US" w:eastAsia="zh-CN"/>
                    </w:rPr>
                    <w:t>19.36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44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26</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44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本年收入合计</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175.14</w:t>
                  </w: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本年支出合计</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r>
                    <w:rPr>
                      <w:rFonts w:hint="eastAsia" w:ascii="宋体" w:hAnsi="宋体" w:cs="宋体"/>
                      <w:i w:val="0"/>
                      <w:color w:val="000000"/>
                      <w:kern w:val="0"/>
                      <w:sz w:val="22"/>
                      <w:szCs w:val="22"/>
                      <w:u w:val="none"/>
                      <w:lang w:val="en-US" w:eastAsia="zh-CN"/>
                    </w:rPr>
                    <w:t>7</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44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使用非财政拨款结余（含专用结余）</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结余分配</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r>
                    <w:rPr>
                      <w:rFonts w:hint="eastAsia" w:ascii="宋体" w:hAnsi="宋体" w:cs="宋体"/>
                      <w:i w:val="0"/>
                      <w:color w:val="000000"/>
                      <w:kern w:val="0"/>
                      <w:sz w:val="22"/>
                      <w:szCs w:val="22"/>
                      <w:u w:val="none"/>
                      <w:lang w:val="en-US" w:eastAsia="zh-CN"/>
                    </w:rPr>
                    <w:t>8</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628" w:hRule="atLeast"/>
              </w:trPr>
              <w:tc>
                <w:tcPr>
                  <w:tcW w:w="4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年初结转和结余</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43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年末结转和结余</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r>
                    <w:rPr>
                      <w:rFonts w:hint="eastAsia" w:ascii="宋体" w:hAnsi="宋体" w:cs="宋体"/>
                      <w:i w:val="0"/>
                      <w:color w:val="000000"/>
                      <w:kern w:val="0"/>
                      <w:sz w:val="22"/>
                      <w:szCs w:val="22"/>
                      <w:u w:val="none"/>
                      <w:lang w:val="en-US" w:eastAsia="zh-CN"/>
                    </w:rPr>
                    <w:t>9</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7" w:type="dxa"/>
                <w:trHeight w:val="273" w:hRule="atLeast"/>
              </w:trPr>
              <w:tc>
                <w:tcPr>
                  <w:tcW w:w="41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13</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175.14</w:t>
                  </w:r>
                </w:p>
              </w:tc>
              <w:tc>
                <w:tcPr>
                  <w:tcW w:w="43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15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30</w:t>
                  </w:r>
                </w:p>
              </w:tc>
              <w:tc>
                <w:tcPr>
                  <w:tcW w:w="1526" w:type="dxa"/>
                  <w:gridSpan w:val="2"/>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b/>
                      <w:i w:val="0"/>
                      <w:color w:val="000000"/>
                      <w:sz w:val="22"/>
                      <w:szCs w:val="22"/>
                      <w:u w:val="none"/>
                      <w:lang w:val="en-US" w:eastAsia="zh-CN"/>
                    </w:rPr>
                  </w:pPr>
                  <w:r>
                    <w:rPr>
                      <w:rFonts w:hint="eastAsia" w:ascii="宋体" w:hAnsi="宋体" w:cs="宋体"/>
                      <w:b w:val="0"/>
                      <w:bCs/>
                      <w:i w:val="0"/>
                      <w:color w:val="000000"/>
                      <w:sz w:val="22"/>
                      <w:szCs w:val="22"/>
                      <w:u w:val="none"/>
                      <w:lang w:val="en-US" w:eastAsia="zh-CN"/>
                    </w:rPr>
                    <w:t>175.14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vAlign w:val="center"/>
                </w:tcPr>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注：1.本表反映部门本年度的总收支和年末结转结余情况。</w:t>
                  </w:r>
                </w:p>
                <w:p>
                  <w:pPr>
                    <w:pStyle w:val="10"/>
                    <w:rPr>
                      <w:rFonts w:hint="eastAsia"/>
                      <w:lang w:val="en-US" w:eastAsia="zh-CN"/>
                    </w:rPr>
                  </w:pPr>
                </w:p>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28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8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7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74" w:type="dxa"/>
            <w:gridSpan w:val="2"/>
            <w:tcBorders>
              <w:top w:val="nil"/>
              <w:left w:val="nil"/>
              <w:bottom w:val="nil"/>
              <w:right w:val="nil"/>
            </w:tcBorders>
            <w:shd w:val="clear" w:color="000000" w:fill="FFFFFF"/>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47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205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8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80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8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8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47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77"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205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80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80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80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80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5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205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175.14</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175.14</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255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7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both"/>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2080150</w:t>
            </w:r>
          </w:p>
        </w:tc>
        <w:tc>
          <w:tcPr>
            <w:tcW w:w="147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left"/>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事业运行</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147.93</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147.93</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255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both"/>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2130804</w:t>
            </w:r>
            <w:r>
              <w:rPr>
                <w:rFonts w:ascii="Times New Roman" w:hAnsi="Times New Roman" w:eastAsia="仿宋_GB2312" w:cs="Times New Roman"/>
                <w:kern w:val="0"/>
                <w:szCs w:val="21"/>
              </w:rPr>
              <w:t>　</w:t>
            </w:r>
          </w:p>
        </w:tc>
        <w:tc>
          <w:tcPr>
            <w:tcW w:w="147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left"/>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eastAsia="zh-CN"/>
              </w:rPr>
              <w:t>创业担保贷款贴息及奖补</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lang w:val="en-US" w:eastAsia="zh-CN"/>
              </w:rPr>
              <w:t>19.36</w:t>
            </w:r>
            <w:r>
              <w:rPr>
                <w:rFonts w:hint="eastAsia" w:ascii="华文中宋" w:hAnsi="华文中宋" w:eastAsia="华文中宋"/>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19.36</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255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both"/>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2101102</w:t>
            </w:r>
            <w:r>
              <w:rPr>
                <w:rFonts w:ascii="Times New Roman" w:hAnsi="Times New Roman" w:eastAsia="仿宋_GB2312" w:cs="Times New Roman"/>
                <w:kern w:val="0"/>
                <w:szCs w:val="21"/>
              </w:rPr>
              <w:t>　</w:t>
            </w:r>
          </w:p>
        </w:tc>
        <w:tc>
          <w:tcPr>
            <w:tcW w:w="147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left"/>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val="en-US" w:eastAsia="zh-CN" w:bidi="ar-SA"/>
              </w:rPr>
              <w:t>事业单位医疗</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7.85</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7.85</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c>
          <w:tcPr>
            <w:tcW w:w="255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47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47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2"/>
        <w:tblW w:w="15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cs="宋体"/>
                <w:kern w:val="0"/>
                <w:sz w:val="24"/>
                <w:szCs w:val="24"/>
                <w:lang w:val="en-US" w:eastAsia="zh-CN"/>
              </w:rPr>
              <w:t>175.14</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cs="宋体"/>
                <w:kern w:val="0"/>
                <w:sz w:val="24"/>
                <w:szCs w:val="24"/>
                <w:lang w:val="en-US" w:eastAsia="zh-CN"/>
              </w:rPr>
              <w:t>175.14</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both"/>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2080150</w:t>
            </w:r>
          </w:p>
        </w:tc>
        <w:tc>
          <w:tcPr>
            <w:tcW w:w="1481"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事业运行</w:t>
            </w:r>
          </w:p>
        </w:tc>
        <w:tc>
          <w:tcPr>
            <w:tcW w:w="1952"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147.93</w:t>
            </w:r>
          </w:p>
        </w:tc>
        <w:tc>
          <w:tcPr>
            <w:tcW w:w="1991"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147.93</w:t>
            </w:r>
          </w:p>
        </w:tc>
        <w:tc>
          <w:tcPr>
            <w:tcW w:w="1991" w:type="dxa"/>
            <w:tcBorders>
              <w:top w:val="nil"/>
              <w:left w:val="nil"/>
              <w:bottom w:val="single" w:color="auto" w:sz="4" w:space="0"/>
              <w:right w:val="single" w:color="auto" w:sz="4" w:space="0"/>
            </w:tcBorders>
            <w:vAlign w:val="center"/>
          </w:tcPr>
          <w:p>
            <w:pPr>
              <w:widowControl/>
              <w:jc w:val="left"/>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both"/>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2130804</w:t>
            </w:r>
            <w:r>
              <w:rPr>
                <w:rFonts w:ascii="Times New Roman" w:hAnsi="Times New Roman" w:eastAsia="仿宋_GB2312" w:cs="Times New Roman"/>
                <w:kern w:val="0"/>
                <w:szCs w:val="21"/>
              </w:rPr>
              <w:t>　</w:t>
            </w:r>
          </w:p>
        </w:tc>
        <w:tc>
          <w:tcPr>
            <w:tcW w:w="1481"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eastAsia="zh-CN"/>
              </w:rPr>
              <w:t>创业担保贷款贴息及奖补</w:t>
            </w:r>
          </w:p>
        </w:tc>
        <w:tc>
          <w:tcPr>
            <w:tcW w:w="1952"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19.36</w:t>
            </w:r>
          </w:p>
        </w:tc>
        <w:tc>
          <w:tcPr>
            <w:tcW w:w="1991"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93.36</w:t>
            </w:r>
          </w:p>
        </w:tc>
        <w:tc>
          <w:tcPr>
            <w:tcW w:w="1991" w:type="dxa"/>
            <w:tcBorders>
              <w:top w:val="nil"/>
              <w:left w:val="nil"/>
              <w:bottom w:val="single" w:color="auto" w:sz="4" w:space="0"/>
              <w:right w:val="single" w:color="auto" w:sz="4" w:space="0"/>
            </w:tcBorders>
            <w:vAlign w:val="center"/>
          </w:tcPr>
          <w:p>
            <w:pPr>
              <w:widowControl/>
              <w:jc w:val="left"/>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both"/>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2101102</w:t>
            </w:r>
            <w:r>
              <w:rPr>
                <w:rFonts w:ascii="Times New Roman" w:hAnsi="Times New Roman" w:eastAsia="仿宋_GB2312" w:cs="Times New Roman"/>
                <w:kern w:val="0"/>
                <w:szCs w:val="21"/>
              </w:rPr>
              <w:t>　</w:t>
            </w:r>
          </w:p>
        </w:tc>
        <w:tc>
          <w:tcPr>
            <w:tcW w:w="1481"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val="en-US" w:eastAsia="zh-CN" w:bidi="ar-SA"/>
              </w:rPr>
              <w:t>事业单位医疗</w:t>
            </w:r>
          </w:p>
        </w:tc>
        <w:tc>
          <w:tcPr>
            <w:tcW w:w="1952"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7.85</w:t>
            </w:r>
          </w:p>
        </w:tc>
        <w:tc>
          <w:tcPr>
            <w:tcW w:w="1991"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7.85</w:t>
            </w:r>
          </w:p>
        </w:tc>
        <w:tc>
          <w:tcPr>
            <w:tcW w:w="1991"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2"/>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95" w:type="dxa"/>
            <w:tcBorders>
              <w:top w:val="nil"/>
              <w:left w:val="nil"/>
              <w:bottom w:val="nil"/>
              <w:right w:val="nil"/>
            </w:tcBorders>
            <w:vAlign w:val="center"/>
          </w:tcPr>
          <w:p>
            <w:pPr>
              <w:widowControl/>
              <w:jc w:val="left"/>
              <w:rPr>
                <w:rFonts w:ascii="黑体" w:hAnsi="黑体" w:eastAsia="黑体" w:cs="宋体"/>
                <w:kern w:val="0"/>
                <w:sz w:val="24"/>
                <w:szCs w:val="24"/>
              </w:rPr>
            </w:pPr>
            <w:bookmarkStart w:id="2" w:name="RANGE!A1:I22"/>
            <w:bookmarkEnd w:id="2"/>
            <w:bookmarkStart w:id="3" w:name="RANGE!A1:F16"/>
          </w:p>
        </w:tc>
        <w:tc>
          <w:tcPr>
            <w:tcW w:w="436"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vAlign w:val="center"/>
          </w:tcPr>
          <w:p>
            <w:pPr>
              <w:widowControl/>
              <w:jc w:val="righ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cs="宋体"/>
                <w:kern w:val="0"/>
                <w:sz w:val="22"/>
                <w:lang w:val="en-US" w:eastAsia="zh-CN"/>
              </w:rPr>
              <w:t>175.14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9</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4</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七、文化旅游体育与传媒支出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5</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lang w:eastAsia="zh-CN"/>
              </w:rPr>
              <w:t>八、社会保障和就业支出</w:t>
            </w: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6</w:t>
            </w:r>
          </w:p>
        </w:tc>
        <w:tc>
          <w:tcPr>
            <w:tcW w:w="1573"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cs="宋体"/>
                <w:kern w:val="0"/>
                <w:sz w:val="22"/>
                <w:lang w:val="en-US" w:eastAsia="zh-CN"/>
              </w:rPr>
              <w:t>147.93</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cs="宋体"/>
                <w:kern w:val="0"/>
                <w:sz w:val="22"/>
                <w:lang w:val="en-US" w:eastAsia="zh-CN"/>
              </w:rPr>
              <w:t>147.93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78"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vAlign w:val="center"/>
          </w:tcPr>
          <w:p>
            <w:pPr>
              <w:widowControl/>
              <w:numPr>
                <w:ilvl w:val="0"/>
                <w:numId w:val="1"/>
              </w:numPr>
              <w:jc w:val="left"/>
              <w:rPr>
                <w:rFonts w:hint="eastAsia"/>
                <w:lang w:eastAsia="zh-CN"/>
              </w:rPr>
            </w:pPr>
            <w:r>
              <w:rPr>
                <w:rFonts w:hint="eastAsia" w:ascii="宋体" w:hAnsi="宋体" w:eastAsia="宋体" w:cs="宋体"/>
                <w:kern w:val="0"/>
                <w:sz w:val="22"/>
                <w:lang w:eastAsia="zh-CN"/>
              </w:rPr>
              <w:t>卫生健康支出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1573"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cs="宋体"/>
                <w:kern w:val="0"/>
                <w:sz w:val="22"/>
                <w:lang w:val="en-US" w:eastAsia="zh-CN"/>
              </w:rPr>
              <w:t>7.85</w:t>
            </w:r>
          </w:p>
        </w:tc>
        <w:tc>
          <w:tcPr>
            <w:tcW w:w="1394"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cs="宋体"/>
                <w:kern w:val="0"/>
                <w:sz w:val="22"/>
                <w:lang w:val="en-US" w:eastAsia="zh-CN"/>
              </w:rPr>
              <w:t>7.85</w:t>
            </w:r>
          </w:p>
        </w:tc>
        <w:tc>
          <w:tcPr>
            <w:tcW w:w="139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078"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lang w:eastAsia="zh-CN"/>
              </w:rPr>
            </w:pPr>
            <w:r>
              <w:rPr>
                <w:rFonts w:hint="eastAsia" w:ascii="宋体" w:hAnsi="宋体" w:eastAsia="宋体" w:cs="宋体"/>
                <w:kern w:val="0"/>
                <w:sz w:val="22"/>
                <w:lang w:eastAsia="zh-CN"/>
              </w:rPr>
              <w:t>十、节能环保支出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573"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078"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lang w:eastAsia="zh-CN"/>
              </w:rPr>
            </w:pPr>
            <w:r>
              <w:rPr>
                <w:rFonts w:hint="eastAsia" w:ascii="宋体" w:hAnsi="宋体" w:eastAsia="宋体" w:cs="宋体"/>
                <w:kern w:val="0"/>
                <w:sz w:val="22"/>
                <w:lang w:eastAsia="zh-CN"/>
              </w:rPr>
              <w:t>十一、城乡社区支出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29</w:t>
            </w:r>
          </w:p>
        </w:tc>
        <w:tc>
          <w:tcPr>
            <w:tcW w:w="1573"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w:t>
            </w:r>
          </w:p>
        </w:tc>
        <w:tc>
          <w:tcPr>
            <w:tcW w:w="1078"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lang w:eastAsia="zh-CN"/>
              </w:rPr>
            </w:pPr>
            <w:r>
              <w:rPr>
                <w:rFonts w:hint="eastAsia" w:ascii="宋体" w:hAnsi="宋体" w:eastAsia="宋体" w:cs="宋体"/>
                <w:kern w:val="0"/>
                <w:sz w:val="22"/>
                <w:lang w:eastAsia="zh-CN"/>
              </w:rPr>
              <w:t>十二、农林水支出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573"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cs="宋体"/>
                <w:kern w:val="0"/>
                <w:sz w:val="22"/>
                <w:lang w:val="en-US" w:eastAsia="zh-CN"/>
              </w:rPr>
              <w:t>19.36</w:t>
            </w:r>
          </w:p>
        </w:tc>
        <w:tc>
          <w:tcPr>
            <w:tcW w:w="1394"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cs="宋体"/>
                <w:kern w:val="0"/>
                <w:sz w:val="22"/>
                <w:lang w:val="en-US" w:eastAsia="zh-CN"/>
              </w:rPr>
              <w:t>19.36</w:t>
            </w:r>
          </w:p>
        </w:tc>
        <w:tc>
          <w:tcPr>
            <w:tcW w:w="139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13</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cs="宋体"/>
                <w:kern w:val="0"/>
                <w:sz w:val="22"/>
                <w:lang w:val="en-US" w:eastAsia="zh-CN"/>
              </w:rPr>
              <w:t>175.14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cs="宋体"/>
                <w:kern w:val="0"/>
                <w:sz w:val="22"/>
                <w:lang w:val="en-US" w:eastAsia="zh-CN"/>
              </w:rPr>
              <w:t>175.14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cs="宋体"/>
                <w:kern w:val="0"/>
                <w:sz w:val="22"/>
                <w:lang w:val="en-US" w:eastAsia="zh-CN"/>
              </w:rPr>
              <w:t>175.14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4</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5</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33</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6</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34</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7</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35</w:t>
            </w:r>
          </w:p>
        </w:tc>
        <w:tc>
          <w:tcPr>
            <w:tcW w:w="1573"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9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cs="宋体"/>
                <w:kern w:val="0"/>
                <w:sz w:val="22"/>
                <w:lang w:val="en-US" w:eastAsia="zh-CN"/>
              </w:rPr>
              <w:t>175.14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36</w:t>
            </w:r>
          </w:p>
        </w:tc>
        <w:tc>
          <w:tcPr>
            <w:tcW w:w="1573"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cs="宋体"/>
                <w:kern w:val="0"/>
                <w:sz w:val="22"/>
                <w:lang w:val="en-US" w:eastAsia="zh-CN"/>
              </w:rPr>
              <w:t>175.14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cs="宋体"/>
                <w:kern w:val="0"/>
                <w:sz w:val="22"/>
                <w:lang w:val="en-US" w:eastAsia="zh-CN"/>
              </w:rPr>
              <w:t>175.14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0</w:t>
            </w:r>
          </w:p>
        </w:tc>
        <w:tc>
          <w:tcPr>
            <w:tcW w:w="1573" w:type="dxa"/>
            <w:tcBorders>
              <w:top w:val="nil"/>
              <w:left w:val="nil"/>
              <w:bottom w:val="single" w:color="auto" w:sz="4" w:space="0"/>
              <w:right w:val="single" w:color="auto" w:sz="4" w:space="0"/>
            </w:tcBorders>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lang w:val="en-US" w:eastAsia="zh-CN"/>
              </w:rPr>
              <w:t>0</w:t>
            </w:r>
            <w:r>
              <w:rPr>
                <w:rFonts w:hint="eastAsia" w:ascii="宋体" w:hAnsi="宋体" w:eastAsia="宋体" w:cs="宋体"/>
                <w:b/>
                <w:bCs/>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3"/>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2"/>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0"/>
        <w:gridCol w:w="3527"/>
        <w:gridCol w:w="3000"/>
        <w:gridCol w:w="3492"/>
        <w:gridCol w:w="3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175.14</w:t>
            </w:r>
          </w:p>
        </w:tc>
        <w:tc>
          <w:tcPr>
            <w:tcW w:w="349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175.14</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2080150</w:t>
            </w:r>
          </w:p>
        </w:tc>
        <w:tc>
          <w:tcPr>
            <w:tcW w:w="3527"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事业运行</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147.93</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147.93</w:t>
            </w:r>
          </w:p>
        </w:tc>
        <w:tc>
          <w:tcPr>
            <w:tcW w:w="3000" w:type="dxa"/>
            <w:tcBorders>
              <w:top w:val="nil"/>
              <w:left w:val="nil"/>
              <w:bottom w:val="single" w:color="auto" w:sz="4" w:space="0"/>
              <w:right w:val="single" w:color="auto" w:sz="8" w:space="0"/>
            </w:tcBorders>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2130804</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创业担保贷款贴息及奖补</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19.36</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19.36</w:t>
            </w:r>
          </w:p>
        </w:tc>
        <w:tc>
          <w:tcPr>
            <w:tcW w:w="3000" w:type="dxa"/>
            <w:tcBorders>
              <w:top w:val="nil"/>
              <w:left w:val="nil"/>
              <w:bottom w:val="single" w:color="auto" w:sz="4" w:space="0"/>
              <w:right w:val="single" w:color="auto" w:sz="8" w:space="0"/>
            </w:tcBorders>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2101102</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 w:val="21"/>
                <w:szCs w:val="21"/>
                <w:lang w:val="en-US" w:eastAsia="zh-CN" w:bidi="ar-SA"/>
              </w:rPr>
              <w:t>事业单位医疗</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7.85</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7.85</w:t>
            </w:r>
          </w:p>
        </w:tc>
        <w:tc>
          <w:tcPr>
            <w:tcW w:w="3000" w:type="dxa"/>
            <w:tcBorders>
              <w:top w:val="nil"/>
              <w:left w:val="nil"/>
              <w:bottom w:val="single" w:color="auto" w:sz="4" w:space="0"/>
              <w:right w:val="single" w:color="auto" w:sz="8" w:space="0"/>
            </w:tcBorders>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both"/>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Cs w:val="21"/>
                <w:lang w:eastAsia="zh-CN"/>
              </w:rPr>
            </w:pPr>
          </w:p>
        </w:tc>
        <w:tc>
          <w:tcPr>
            <w:tcW w:w="300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vAlign w:val="center"/>
          </w:tcPr>
          <w:p>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vAlign w:val="center"/>
          </w:tcPr>
          <w:p>
            <w:pPr>
              <w:widowControl/>
              <w:jc w:val="left"/>
              <w:rPr>
                <w:rFonts w:hint="eastAsia" w:ascii="Times New Roman" w:hAnsi="Times New Roman" w:eastAsia="仿宋_GB2312" w:cs="Times New Roman"/>
                <w:kern w:val="0"/>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2"/>
        <w:tblW w:w="156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1"/>
        <w:gridCol w:w="240"/>
        <w:gridCol w:w="94"/>
        <w:gridCol w:w="1291"/>
        <w:gridCol w:w="2031"/>
        <w:gridCol w:w="77"/>
        <w:gridCol w:w="1051"/>
        <w:gridCol w:w="915"/>
        <w:gridCol w:w="306"/>
        <w:gridCol w:w="1979"/>
        <w:gridCol w:w="112"/>
        <w:gridCol w:w="783"/>
        <w:gridCol w:w="955"/>
        <w:gridCol w:w="356"/>
        <w:gridCol w:w="2091"/>
        <w:gridCol w:w="1701"/>
        <w:gridCol w:w="390"/>
        <w:gridCol w:w="2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vAlign w:val="center"/>
          </w:tcPr>
          <w:p>
            <w:pPr>
              <w:widowControl/>
              <w:jc w:val="center"/>
              <w:rPr>
                <w:rFonts w:ascii="华文中宋" w:hAnsi="华文中宋" w:eastAsia="华文中宋" w:cs="宋体"/>
                <w:color w:val="000000"/>
                <w:kern w:val="0"/>
                <w:szCs w:val="32"/>
              </w:rPr>
            </w:pPr>
            <w:bookmarkStart w:id="4" w:name="RANGE!A1:I34"/>
            <w:r>
              <w:rPr>
                <w:rFonts w:hint="eastAsia" w:ascii="华文中宋" w:hAnsi="华文中宋" w:eastAsia="华文中宋" w:cs="宋体"/>
                <w:color w:val="000000"/>
                <w:kern w:val="0"/>
                <w:szCs w:val="32"/>
              </w:rPr>
              <w:t>一般公共预算财政拨款基本支出决算明细表</w:t>
            </w:r>
            <w:bookmarkEnd w:id="4"/>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325"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22"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28"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15" w:type="dxa"/>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85"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5"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55" w:type="dxa"/>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148"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1"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28"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135.25</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37.89</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28"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56.84</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5.79</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28"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2.67</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11.21</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28"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24.44</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28"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28"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28.54</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28"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14.91</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28"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0.4</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28"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7.85</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2.12</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cs="宋体"/>
                <w:color w:val="000000"/>
                <w:kern w:val="0"/>
                <w:szCs w:val="20"/>
                <w:lang w:val="en-US" w:eastAsia="zh-CN"/>
              </w:rPr>
              <w:t>4.13</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3.62</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28"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1.64</w:t>
            </w:r>
          </w:p>
        </w:tc>
        <w:tc>
          <w:tcPr>
            <w:tcW w:w="955"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148"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2"/>
              <w:tblW w:w="393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pPr>
              <w:widowControl/>
              <w:jc w:val="left"/>
              <w:rPr>
                <w:rFonts w:hint="eastAsia" w:ascii="宋体" w:hAnsi="宋体" w:eastAsia="宋体" w:cs="宋体"/>
                <w:color w:val="000000"/>
                <w:kern w:val="0"/>
                <w:szCs w:val="20"/>
              </w:rPr>
            </w:pPr>
          </w:p>
          <w:tbl>
            <w:tblPr>
              <w:tblStyle w:val="12"/>
              <w:tblW w:w="393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pPr>
              <w:widowControl/>
              <w:jc w:val="left"/>
              <w:rPr>
                <w:rFonts w:ascii="宋体" w:hAnsi="宋体" w:eastAsia="宋体" w:cs="宋体"/>
                <w:color w:val="000000"/>
                <w:kern w:val="0"/>
                <w:szCs w:val="20"/>
              </w:rPr>
            </w:pP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148" w:type="dxa"/>
            <w:gridSpan w:val="3"/>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2.58</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28"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9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22"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8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9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rPr>
            </w:pPr>
            <w:r>
              <w:rPr>
                <w:rFonts w:hint="eastAsia" w:ascii="宋体" w:hAnsi="宋体" w:cs="宋体"/>
                <w:color w:val="000000"/>
                <w:kern w:val="0"/>
                <w:szCs w:val="20"/>
                <w:lang w:val="en-US" w:eastAsia="zh-CN"/>
              </w:rPr>
              <w:t>6.4</w:t>
            </w:r>
          </w:p>
        </w:tc>
        <w:tc>
          <w:tcPr>
            <w:tcW w:w="955"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48"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4647"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28"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135.25</w:t>
            </w:r>
          </w:p>
        </w:tc>
        <w:tc>
          <w:tcPr>
            <w:tcW w:w="9198" w:type="dxa"/>
            <w:gridSpan w:val="9"/>
            <w:tcBorders>
              <w:top w:val="single" w:color="auto" w:sz="4" w:space="0"/>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公用经费合计</w:t>
            </w:r>
            <w:r>
              <w:rPr>
                <w:rFonts w:hint="eastAsia" w:ascii="宋体" w:hAnsi="宋体" w:cs="宋体"/>
                <w:color w:val="000000"/>
                <w:kern w:val="0"/>
                <w:szCs w:val="20"/>
                <w:lang w:val="en-US" w:eastAsia="zh-CN"/>
              </w:rPr>
              <w:t>37.89</w:t>
            </w:r>
          </w:p>
        </w:tc>
        <w:tc>
          <w:tcPr>
            <w:tcW w:w="64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345" w:hRule="atLeast"/>
        </w:trPr>
        <w:tc>
          <w:tcPr>
            <w:tcW w:w="99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85"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0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4"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690" w:hRule="atLeast"/>
        </w:trPr>
        <w:tc>
          <w:tcPr>
            <w:tcW w:w="991"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85"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0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4"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459" w:hRule="atLeast"/>
        </w:trPr>
        <w:tc>
          <w:tcPr>
            <w:tcW w:w="2616"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Style w:val="20"/>
                <w:lang w:val="en-US" w:eastAsia="zh-CN"/>
              </w:rPr>
              <w:t xml:space="preserve">   </w:t>
            </w:r>
            <w:r>
              <w:rPr>
                <w:rStyle w:val="21"/>
                <w:lang w:val="en-US" w:eastAsia="zh-CN"/>
              </w:rPr>
              <w:t>目</w:t>
            </w:r>
          </w:p>
        </w:tc>
        <w:tc>
          <w:tcPr>
            <w:tcW w:w="2108"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年初结转和结余</w:t>
            </w:r>
          </w:p>
        </w:tc>
        <w:tc>
          <w:tcPr>
            <w:tcW w:w="2272"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本年收入</w:t>
            </w:r>
          </w:p>
        </w:tc>
        <w:tc>
          <w:tcPr>
            <w:tcW w:w="6276"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c>
          <w:tcPr>
            <w:tcW w:w="2091"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609" w:hRule="atLeast"/>
        </w:trPr>
        <w:tc>
          <w:tcPr>
            <w:tcW w:w="1231"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1385"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2108"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1"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小计</w:t>
            </w:r>
          </w:p>
        </w:tc>
        <w:tc>
          <w:tcPr>
            <w:tcW w:w="2094"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209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c>
          <w:tcPr>
            <w:tcW w:w="2091"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4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20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09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vAlign w:val="center"/>
          </w:tcPr>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注：本表反映部门本年度政府性基金预算财政拨款收入、支出及结转和结余情况。</w:t>
            </w:r>
          </w:p>
          <w:p>
            <w:pPr>
              <w:widowControl/>
              <w:jc w:val="left"/>
              <w:textAlignment w:val="center"/>
              <w:rPr>
                <w:rFonts w:hint="eastAsia" w:ascii="宋体" w:hAnsi="宋体" w:eastAsia="宋体" w:cs="宋体"/>
                <w:i w:val="0"/>
                <w:color w:val="000000"/>
                <w:kern w:val="0"/>
                <w:sz w:val="24"/>
                <w:szCs w:val="24"/>
                <w:u w:val="none"/>
                <w:lang w:val="en-US" w:eastAsia="zh-CN"/>
              </w:rPr>
            </w:pPr>
          </w:p>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2"/>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Fonts w:hint="eastAsia" w:ascii="宋体" w:hAnsi="宋体" w:eastAsia="宋体" w:cs="宋体"/>
                <w:i w:val="0"/>
                <w:color w:val="000000"/>
                <w:kern w:val="0"/>
                <w:sz w:val="22"/>
                <w:szCs w:val="22"/>
                <w:u w:val="none"/>
                <w:lang w:val="en-US" w:eastAsia="zh-CN"/>
              </w:rPr>
              <w:t xml:space="preserve">   </w:t>
            </w:r>
            <w:r>
              <w:rPr>
                <w:rStyle w:val="22"/>
                <w:lang w:val="en-US" w:eastAsia="zh-CN"/>
              </w:rPr>
              <w:t>目</w:t>
            </w:r>
          </w:p>
        </w:tc>
        <w:tc>
          <w:tcPr>
            <w:tcW w:w="10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41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417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vAlign w:val="center"/>
          </w:tcPr>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注：本表反映部门本年度国有资本经营预算财政拨款支出情况。</w:t>
            </w:r>
          </w:p>
          <w:p>
            <w:pPr>
              <w:widowControl/>
              <w:jc w:val="left"/>
              <w:textAlignment w:val="center"/>
              <w:rPr>
                <w:rFonts w:hint="eastAsia" w:ascii="宋体" w:hAnsi="宋体" w:eastAsia="宋体" w:cs="宋体"/>
                <w:i w:val="0"/>
                <w:color w:val="000000"/>
                <w:kern w:val="0"/>
                <w:sz w:val="24"/>
                <w:szCs w:val="24"/>
                <w:u w:val="none"/>
                <w:lang w:val="en-US" w:eastAsia="zh-CN"/>
              </w:rPr>
            </w:pPr>
          </w:p>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2"/>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公务用车</w:t>
            </w:r>
          </w:p>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公务用车</w:t>
            </w:r>
          </w:p>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公务用车</w:t>
            </w:r>
          </w:p>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公务用车</w:t>
            </w:r>
          </w:p>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c>
          <w:tcPr>
            <w:tcW w:w="1270"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720"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宋体" w:hAnsi="宋体" w:eastAsia="宋体"/>
          <w:sz w:val="32"/>
          <w:szCs w:val="32"/>
        </w:rPr>
      </w:pPr>
      <w:r>
        <w:rPr>
          <w:rFonts w:hint="eastAsia" w:ascii="方正小标宋_GBK" w:hAnsi="方正小标宋_GBK" w:eastAsia="方正小标宋_GBK" w:cs="方正小标宋_GBK"/>
          <w:sz w:val="70"/>
          <w:szCs w:val="70"/>
        </w:rPr>
        <w:br w:type="page"/>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4"/>
        <w:widowControl w:val="0"/>
        <w:wordWrap/>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增加了91.98</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增加110.60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人员增加了，基本工资、奖金等人员经费增加了</w:t>
      </w:r>
      <w:r>
        <w:rPr>
          <w:rFonts w:hint="eastAsia" w:ascii="Times New Roman" w:hAnsi="Times New Roman" w:eastAsia="仿宋_GB2312"/>
          <w:sz w:val="32"/>
          <w:szCs w:val="32"/>
          <w:lang w:eastAsia="zh-CN"/>
        </w:rPr>
        <w:t>。</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4"/>
        <w:widowControl w:val="0"/>
        <w:wordWrap/>
        <w:snapToGrid/>
        <w:spacing w:line="60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增加了91.98</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增加110.60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人员增加了，基本工资、奖金等人员经费增加了</w:t>
      </w:r>
      <w:r>
        <w:rPr>
          <w:rFonts w:hint="eastAsia" w:ascii="Times New Roman" w:hAnsi="Times New Roman" w:eastAsia="仿宋_GB2312"/>
          <w:sz w:val="32"/>
          <w:szCs w:val="32"/>
          <w:lang w:eastAsia="zh-CN"/>
        </w:rPr>
        <w:t>。</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widowControl w:val="0"/>
        <w:wordWrap/>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4"/>
        <w:widowControl w:val="0"/>
        <w:wordWrap/>
        <w:snapToGrid/>
        <w:spacing w:line="60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增加了91.98</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增加110.60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人员增加了，基本工资、奖金等人员经费增加了，2025年项目支出0万元</w:t>
      </w:r>
      <w:r>
        <w:rPr>
          <w:rFonts w:hint="eastAsia" w:ascii="Times New Roman" w:hAnsi="Times New Roman" w:eastAsia="仿宋_GB2312"/>
          <w:sz w:val="32"/>
          <w:szCs w:val="32"/>
          <w:lang w:eastAsia="zh-CN"/>
        </w:rPr>
        <w:t>。</w:t>
      </w:r>
    </w:p>
    <w:p>
      <w:pPr>
        <w:pStyle w:val="14"/>
        <w:widowControl w:val="0"/>
        <w:wordWrap/>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4"/>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万元，主要用于以下方面：</w:t>
      </w:r>
      <w:r>
        <w:rPr>
          <w:rFonts w:hint="eastAsia" w:ascii="Times New Roman" w:hAnsi="Times New Roman" w:eastAsia="仿宋_GB2312"/>
          <w:sz w:val="32"/>
          <w:szCs w:val="32"/>
          <w:lang w:eastAsia="zh-CN"/>
        </w:rPr>
        <w:t>社会保障和就业</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147.93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84.46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事业单位医疗支出7.85万元，占4.48%，</w:t>
      </w:r>
      <w:r>
        <w:rPr>
          <w:rFonts w:hint="eastAsia" w:ascii="Times New Roman" w:hAnsi="Times New Roman" w:eastAsia="仿宋_GB2312"/>
          <w:sz w:val="32"/>
          <w:szCs w:val="32"/>
          <w:lang w:eastAsia="zh-CN"/>
        </w:rPr>
        <w:t>农林水</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19.36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11.06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4"/>
        <w:widowControl w:val="0"/>
        <w:wordWrap/>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4"/>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2619.11</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6.68</w:t>
      </w:r>
      <w:r>
        <w:rPr>
          <w:rFonts w:hint="eastAsia" w:ascii="Times New Roman" w:hAnsi="Times New Roman" w:eastAsia="仿宋_GB2312"/>
          <w:sz w:val="32"/>
          <w:szCs w:val="32"/>
        </w:rPr>
        <w:t>%，其中：</w:t>
      </w:r>
    </w:p>
    <w:p>
      <w:pPr>
        <w:pStyle w:val="14"/>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w:t>
      </w:r>
    </w:p>
    <w:p>
      <w:pPr>
        <w:pStyle w:val="14"/>
        <w:widowControl w:val="0"/>
        <w:wordWrap/>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2602.21</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147.93</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5.68</w:t>
      </w:r>
      <w:r>
        <w:rPr>
          <w:rFonts w:hint="eastAsia" w:ascii="Times New Roman" w:hAnsi="Times New Roman" w:eastAsia="仿宋_GB2312"/>
          <w:sz w:val="32"/>
          <w:szCs w:val="32"/>
          <w:lang w:eastAsia="zh-CN"/>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lang w:eastAsia="zh-CN"/>
        </w:rPr>
        <w:t>年初预算数的主要原因是：</w:t>
      </w:r>
      <w:r>
        <w:rPr>
          <w:rFonts w:hint="eastAsia" w:ascii="Times New Roman" w:hAnsi="Times New Roman" w:eastAsia="仿宋_GB2312"/>
          <w:sz w:val="32"/>
          <w:szCs w:val="32"/>
          <w:lang w:val="en-US" w:eastAsia="zh-CN"/>
        </w:rPr>
        <w:t>2025年无项目支出，基本</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lang w:val="en-US" w:eastAsia="zh-CN"/>
        </w:rPr>
        <w:t>为175.14万元</w:t>
      </w:r>
      <w:r>
        <w:rPr>
          <w:rFonts w:hint="eastAsia" w:ascii="Times New Roman" w:hAnsi="Times New Roman" w:eastAsia="仿宋_GB2312"/>
          <w:sz w:val="32"/>
          <w:szCs w:val="32"/>
          <w:lang w:eastAsia="zh-CN"/>
        </w:rPr>
        <w:t>。</w:t>
      </w:r>
    </w:p>
    <w:p>
      <w:pPr>
        <w:pStyle w:val="14"/>
        <w:widowControl w:val="0"/>
        <w:wordWrap/>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2、农林水支出。</w:t>
      </w:r>
    </w:p>
    <w:p>
      <w:pPr>
        <w:pStyle w:val="14"/>
        <w:widowControl w:val="0"/>
        <w:wordWrap/>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19.36</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lang w:eastAsia="zh-CN"/>
        </w:rPr>
        <w:t>%，决算数大于年初预算数的主要原因是：创业担保贷款贴息及奖补支出增加。</w:t>
      </w:r>
    </w:p>
    <w:p>
      <w:pPr>
        <w:pStyle w:val="14"/>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3、卫生健康支出。</w:t>
      </w:r>
    </w:p>
    <w:p>
      <w:pPr>
        <w:pStyle w:val="14"/>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年初预算为7.13万元，支出决算为7.85万元，决算数大于年初预算数的主要原因是医疗保险由二级机构机构缴纳。</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175.14</w:t>
      </w:r>
      <w:r>
        <w:rPr>
          <w:rFonts w:hint="eastAsia" w:ascii="Times New Roman" w:hAnsi="Times New Roman" w:eastAsia="仿宋_GB2312"/>
          <w:sz w:val="32"/>
          <w:szCs w:val="32"/>
        </w:rPr>
        <w:t>万元，其中：</w:t>
      </w:r>
    </w:p>
    <w:p>
      <w:pPr>
        <w:pStyle w:val="14"/>
        <w:widowControl w:val="0"/>
        <w:wordWrap/>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135.25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77.22</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eastAsia="zh-CN"/>
        </w:rPr>
        <w:t>绩效工资、</w:t>
      </w:r>
      <w:r>
        <w:rPr>
          <w:rFonts w:hint="eastAsia" w:ascii="Times New Roman" w:hAnsi="Times New Roman" w:eastAsia="仿宋_GB2312"/>
          <w:sz w:val="32"/>
          <w:szCs w:val="32"/>
          <w:lang w:val="en-US" w:eastAsia="zh-CN"/>
        </w:rPr>
        <w:t>养老保险、医疗保险</w:t>
      </w:r>
      <w:r>
        <w:rPr>
          <w:rFonts w:hint="eastAsia" w:ascii="Times New Roman" w:hAnsi="Times New Roman" w:eastAsia="仿宋_GB2312"/>
          <w:sz w:val="32"/>
          <w:szCs w:val="32"/>
          <w:lang w:eastAsia="zh-CN"/>
        </w:rPr>
        <w:t>。</w:t>
      </w:r>
    </w:p>
    <w:p>
      <w:pPr>
        <w:pStyle w:val="14"/>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37.89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22.78</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eastAsia="zh-CN"/>
        </w:rPr>
        <w:t>邮电费、差旅费、工会经费、福利费、其他交通费用、其他商品和服务支出</w:t>
      </w:r>
      <w:r>
        <w:rPr>
          <w:rFonts w:hint="eastAsia" w:ascii="Times New Roman" w:hAnsi="Times New Roman" w:eastAsia="仿宋_GB2312"/>
          <w:sz w:val="32"/>
          <w:szCs w:val="32"/>
        </w:rPr>
        <w:t>。</w:t>
      </w:r>
    </w:p>
    <w:p>
      <w:pPr>
        <w:pStyle w:val="14"/>
        <w:widowControl w:val="0"/>
        <w:wordWrap/>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4"/>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4"/>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val="en-US" w:eastAsia="zh-CN"/>
        </w:rPr>
        <w:t>2025年无</w:t>
      </w:r>
      <w:r>
        <w:rPr>
          <w:rFonts w:hint="eastAsia" w:ascii="Times New Roman" w:hAnsi="Times New Roman" w:eastAsia="仿宋_GB2312"/>
          <w:sz w:val="32"/>
          <w:szCs w:val="32"/>
          <w:lang w:eastAsia="zh-CN"/>
        </w:rPr>
        <w:t>公务接待活动，</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0.69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公务接待活动减少，相应的公务接待费支出减少</w:t>
      </w:r>
      <w:r>
        <w:rPr>
          <w:rFonts w:hint="eastAsia" w:ascii="Times New Roman" w:hAnsi="Times New Roman" w:eastAsia="仿宋_GB2312"/>
          <w:sz w:val="32"/>
          <w:szCs w:val="32"/>
        </w:rPr>
        <w:t>。其中：</w:t>
      </w:r>
    </w:p>
    <w:p>
      <w:pPr>
        <w:pStyle w:val="14"/>
        <w:widowControl w:val="0"/>
        <w:wordWrap/>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本部门无因公出国（境）费用支出。</w:t>
      </w:r>
    </w:p>
    <w:p>
      <w:pPr>
        <w:pStyle w:val="14"/>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val="en-US" w:eastAsia="zh-CN"/>
        </w:rPr>
        <w:t>2025年无</w:t>
      </w:r>
      <w:r>
        <w:rPr>
          <w:rFonts w:hint="eastAsia" w:ascii="Times New Roman" w:hAnsi="Times New Roman" w:eastAsia="仿宋_GB2312"/>
          <w:sz w:val="32"/>
          <w:szCs w:val="32"/>
          <w:lang w:eastAsia="zh-CN"/>
        </w:rPr>
        <w:t>公务接待活动，公务接待费相应减少</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0.69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公务接待活动减少，相应的公务接待费支出减少</w:t>
      </w:r>
      <w:r>
        <w:rPr>
          <w:rFonts w:hint="eastAsia" w:ascii="Times New Roman" w:hAnsi="Times New Roman" w:eastAsia="仿宋_GB2312"/>
          <w:sz w:val="32"/>
          <w:szCs w:val="32"/>
        </w:rPr>
        <w:t>。</w:t>
      </w:r>
    </w:p>
    <w:p>
      <w:pPr>
        <w:pStyle w:val="14"/>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本部门无公务用车购置费支出</w:t>
      </w:r>
      <w:r>
        <w:rPr>
          <w:rFonts w:hint="eastAsia" w:ascii="Times New Roman" w:hAnsi="Times New Roman" w:eastAsia="仿宋_GB2312"/>
          <w:sz w:val="32"/>
          <w:szCs w:val="32"/>
        </w:rPr>
        <w:t>。</w:t>
      </w:r>
    </w:p>
    <w:p>
      <w:pPr>
        <w:pStyle w:val="14"/>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本部门无公务用车运行维护费支出</w:t>
      </w:r>
      <w:r>
        <w:rPr>
          <w:rFonts w:hint="eastAsia" w:ascii="Times New Roman" w:hAnsi="Times New Roman" w:eastAsia="仿宋_GB2312"/>
          <w:sz w:val="32"/>
          <w:szCs w:val="32"/>
        </w:rPr>
        <w:t>。</w:t>
      </w:r>
    </w:p>
    <w:p>
      <w:pPr>
        <w:pStyle w:val="14"/>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4"/>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0.69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4"/>
        <w:widowControl w:val="0"/>
        <w:wordWrap/>
        <w:snapToGrid/>
        <w:spacing w:line="600" w:lineRule="exact"/>
        <w:ind w:firstLine="800" w:firstLineChars="250"/>
        <w:textAlignment w:val="auto"/>
        <w:rPr>
          <w:rFonts w:hint="eastAsia" w:ascii="楷体" w:hAnsi="楷体" w:eastAsia="楷体" w:cs="楷体"/>
          <w:b/>
          <w:bCs/>
          <w:i/>
          <w:color w:val="auto"/>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4"/>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万元，全年共接待来访团组XX个、来宾XXXX人次</w:t>
      </w:r>
      <w:r>
        <w:rPr>
          <w:rFonts w:hint="eastAsia" w:ascii="楷体" w:hAnsi="楷体" w:eastAsia="楷体" w:cs="楷体"/>
          <w:b/>
          <w:bCs/>
          <w:i/>
          <w:color w:val="auto"/>
          <w:sz w:val="32"/>
          <w:szCs w:val="32"/>
        </w:rPr>
        <w:t>（精确到个位数）</w:t>
      </w:r>
      <w:r>
        <w:rPr>
          <w:rFonts w:hint="eastAsia" w:ascii="Times New Roman" w:hAnsi="Times New Roman" w:eastAsia="仿宋_GB2312"/>
          <w:sz w:val="32"/>
          <w:szCs w:val="32"/>
        </w:rPr>
        <w:t>，主要是</w:t>
      </w:r>
      <w:r>
        <w:rPr>
          <w:rFonts w:ascii="Times New Roman" w:hAnsi="Times New Roman" w:eastAsia="仿宋_GB2312"/>
          <w:sz w:val="32"/>
          <w:szCs w:val="32"/>
        </w:rPr>
        <w:t>………</w:t>
      </w:r>
      <w:r>
        <w:rPr>
          <w:rFonts w:hint="eastAsia" w:ascii="楷体" w:hAnsi="楷体" w:eastAsia="楷体" w:cs="楷体"/>
          <w:b/>
          <w:bCs/>
          <w:i/>
          <w:color w:val="auto"/>
          <w:sz w:val="32"/>
          <w:szCs w:val="32"/>
        </w:rPr>
        <w:t>（活动内容）</w:t>
      </w:r>
      <w:r>
        <w:rPr>
          <w:rFonts w:hint="eastAsia" w:ascii="Times New Roman" w:hAnsi="Times New Roman" w:eastAsia="仿宋_GB2312"/>
          <w:sz w:val="32"/>
          <w:szCs w:val="32"/>
        </w:rPr>
        <w:t>发生的接待支出。</w:t>
      </w:r>
    </w:p>
    <w:p>
      <w:pPr>
        <w:widowControl w:val="0"/>
        <w:wordWrap/>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道县就业服务中心</w:t>
      </w:r>
      <w:r>
        <w:rPr>
          <w:rFonts w:hint="eastAsia" w:ascii="Times New Roman" w:hAnsi="Times New Roman" w:eastAsia="仿宋_GB2312"/>
          <w:sz w:val="32"/>
          <w:szCs w:val="32"/>
        </w:rPr>
        <w:t>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sz w:val="32"/>
          <w:szCs w:val="32"/>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widowControl w:val="0"/>
        <w:wordWrap/>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本部门</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政府性基金预算财政拨款收入。</w:t>
      </w:r>
    </w:p>
    <w:p>
      <w:pPr>
        <w:pStyle w:val="14"/>
        <w:widowControl w:val="0"/>
        <w:wordWrap/>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机关运行经费。</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4"/>
        <w:widowControl w:val="0"/>
        <w:wordWrap/>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2025年未举行晚会、节庆、论坛等赛事活动。</w:t>
      </w:r>
    </w:p>
    <w:p>
      <w:pPr>
        <w:pStyle w:val="14"/>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4"/>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13.67</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13.67</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13.67</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13.67万</w:t>
      </w:r>
      <w:r>
        <w:rPr>
          <w:rFonts w:hint="eastAsia" w:ascii="Times New Roman" w:hAnsi="Times New Roman" w:eastAsia="仿宋_GB2312"/>
          <w:sz w:val="32"/>
          <w:szCs w:val="32"/>
        </w:rPr>
        <w:t>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pPr>
        <w:pStyle w:val="14"/>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4"/>
        <w:widowControl w:val="0"/>
        <w:wordWrap/>
        <w:autoSpaceDE w:val="0"/>
        <w:autoSpaceDN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4"/>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4"/>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adjustRightInd w:val="0"/>
        <w:snapToGrid w:val="0"/>
        <w:spacing w:line="600" w:lineRule="exact"/>
        <w:ind w:firstLine="900" w:firstLineChars="300"/>
        <w:rPr>
          <w:rFonts w:hint="eastAsia" w:ascii="楷体" w:hAnsi="楷体" w:eastAsia="楷体" w:cs="楷体"/>
          <w:b/>
          <w:bCs/>
          <w:sz w:val="32"/>
          <w:szCs w:val="32"/>
          <w:lang w:eastAsia="zh-CN"/>
        </w:rPr>
      </w:pPr>
      <w:r>
        <w:rPr>
          <w:rFonts w:hint="eastAsia" w:eastAsia="仿宋_GB2312"/>
          <w:sz w:val="30"/>
          <w:szCs w:val="30"/>
        </w:rPr>
        <w:t>本单位部门管理严格依法依规，做到公开公平公正，严格执行各项有关法律法规、财经纪律、财务规章制度。</w:t>
      </w:r>
    </w:p>
    <w:p>
      <w:pPr>
        <w:pStyle w:val="14"/>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widowControl/>
        <w:spacing w:line="600" w:lineRule="exact"/>
        <w:ind w:firstLine="660"/>
        <w:jc w:val="left"/>
        <w:rPr>
          <w:rFonts w:hint="eastAsia" w:ascii="Times New Roman" w:hAnsi="Times New Roman" w:eastAsia="仿宋_GB2312" w:cs="Times New Roman"/>
          <w:sz w:val="30"/>
          <w:szCs w:val="30"/>
          <w:lang w:eastAsia="zh-CN"/>
        </w:rPr>
      </w:pPr>
      <w:r>
        <w:rPr>
          <w:rFonts w:hint="eastAsia" w:ascii="Times New Roman" w:hAnsi="Times New Roman" w:eastAsia="仿宋_GB2312" w:cs="黑体"/>
          <w:color w:val="000000"/>
          <w:kern w:val="0"/>
          <w:sz w:val="32"/>
          <w:szCs w:val="32"/>
          <w:lang w:val="en-US" w:eastAsia="zh-CN" w:bidi="ar-SA"/>
        </w:rPr>
        <w:t>根据</w:t>
      </w:r>
      <w:r>
        <w:rPr>
          <w:rFonts w:hint="eastAsia" w:ascii="Times New Roman" w:hAnsi="Times New Roman" w:eastAsia="仿宋_GB2312" w:cs="Times New Roman"/>
          <w:sz w:val="30"/>
          <w:szCs w:val="30"/>
          <w:lang w:eastAsia="zh-CN"/>
        </w:rPr>
        <w:t>县财政局绩效管理要求，我单位对部门整体支出绩效开展了自评，并出具了绩效评价报告。绩效评价结果显示，我单位20</w:t>
      </w:r>
      <w:r>
        <w:rPr>
          <w:rFonts w:hint="eastAsia" w:ascii="Times New Roman" w:hAnsi="Times New Roman" w:eastAsia="仿宋_GB2312" w:cs="Times New Roman"/>
          <w:sz w:val="30"/>
          <w:szCs w:val="30"/>
          <w:lang w:val="en-US" w:eastAsia="zh-CN"/>
        </w:rPr>
        <w:t>25</w:t>
      </w:r>
      <w:r>
        <w:rPr>
          <w:rFonts w:hint="eastAsia" w:ascii="Times New Roman" w:hAnsi="Times New Roman" w:eastAsia="仿宋_GB2312" w:cs="Times New Roman"/>
          <w:sz w:val="30"/>
          <w:szCs w:val="30"/>
          <w:lang w:eastAsia="zh-CN"/>
        </w:rPr>
        <w:t>年度绩效目标完成较好，主要在以下方面：</w:t>
      </w:r>
    </w:p>
    <w:p>
      <w:pPr>
        <w:pStyle w:val="14"/>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（一）坚持就业优先，筑牢创业就业“稳定器”。</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1.突出充分就业优服务。</w:t>
      </w:r>
      <w:r>
        <w:rPr>
          <w:rFonts w:hint="eastAsia" w:ascii="Times New Roman" w:hAnsi="Times New Roman" w:eastAsia="仿宋_GB2312" w:cs="黑体"/>
          <w:color w:val="000000"/>
          <w:kern w:val="0"/>
          <w:sz w:val="32"/>
          <w:szCs w:val="32"/>
          <w:lang w:val="en-US" w:eastAsia="zh-CN" w:bidi="ar-SA"/>
        </w:rPr>
        <w:t>一是全县城镇新增就业人数7510人，失业人员再就业2964人，就业困难实现再就业1051人；二是新增农村劳动力转移就业5055人；三是城镇调查失业率去年排名全市一类县区。</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2.突出创新创业促就业。</w:t>
      </w:r>
      <w:r>
        <w:rPr>
          <w:rFonts w:hint="eastAsia" w:ascii="Times New Roman" w:hAnsi="Times New Roman" w:eastAsia="仿宋_GB2312" w:cs="黑体"/>
          <w:color w:val="000000"/>
          <w:kern w:val="0"/>
          <w:sz w:val="32"/>
          <w:szCs w:val="32"/>
          <w:lang w:val="en-US" w:eastAsia="zh-CN" w:bidi="ar-SA"/>
        </w:rPr>
        <w:t>一是简化创业担保贷款手续，为219名符合条件人员发放创业担保贷款7964万元，带动就业2394人，创业带动就业的倍增效应得到充分显现。</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3.突出重点保障守底线。</w:t>
      </w:r>
      <w:r>
        <w:rPr>
          <w:rFonts w:hint="eastAsia" w:ascii="Times New Roman" w:hAnsi="Times New Roman" w:eastAsia="仿宋_GB2312" w:cs="黑体"/>
          <w:color w:val="000000"/>
          <w:kern w:val="0"/>
          <w:sz w:val="32"/>
          <w:szCs w:val="32"/>
          <w:lang w:val="en-US" w:eastAsia="zh-CN" w:bidi="ar-SA"/>
        </w:rPr>
        <w:t>一是开发公益性岗位安置就业困难人员、脱贫劳动力、退役军人等重点群体就业，一至四季度发放公益性岗位补贴717人，金额588.8万元。城镇零就业家庭实现动态清零；二是支持高校毕业生就业，落实就业见习补贴政策，一至四季度发放见习补贴458人次，金额546.92万元；三是大力发展就业帮扶车间，积极引导我县园区重点企业到乡镇开设车间，目前认定就业乡村车间43家，共带动1500人就近就业，其中脱贫人口473人；四是帮助有劳动能力且有就业意愿退捕渔民56人全部实现就业。</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4.突出技能培训提素质。</w:t>
      </w:r>
      <w:r>
        <w:rPr>
          <w:rFonts w:hint="eastAsia" w:ascii="Times New Roman" w:hAnsi="Times New Roman" w:eastAsia="仿宋_GB2312" w:cs="黑体"/>
          <w:color w:val="000000"/>
          <w:kern w:val="0"/>
          <w:sz w:val="32"/>
          <w:szCs w:val="32"/>
          <w:lang w:val="en-US" w:eastAsia="zh-CN" w:bidi="ar-SA"/>
        </w:rPr>
        <w:t>一是强化职业技能培训促进就业，开办企业培训中心、民办职业培训等培训机构，开设形式多样的职业技能工种促进就业，重点打造“企业进校园，上课到车间”特色培训载体，采取“以工代训”模式，帮助企业技工人才和学员两种角色转换。目前，已开办创业培训班32期1087人；二是扩大培训范围带动就业率，将创业培训对象延伸到退役军人、青年学生、城镇登记失业人员、返乡农民工等，开展了灵活多样的定向培训，提高困难群体实现就业几率。</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5.突出失业保障保安定。</w:t>
      </w:r>
      <w:r>
        <w:rPr>
          <w:rFonts w:hint="eastAsia" w:ascii="Times New Roman" w:hAnsi="Times New Roman" w:eastAsia="仿宋_GB2312" w:cs="黑体"/>
          <w:color w:val="000000"/>
          <w:kern w:val="0"/>
          <w:sz w:val="32"/>
          <w:szCs w:val="32"/>
          <w:lang w:val="en-US" w:eastAsia="zh-CN" w:bidi="ar-SA"/>
        </w:rPr>
        <w:t>一是提高职工失业保险保障水平，失业保险待遇提至最低工资标准的90%，全县失业保险金每人每月达到1620元；二是通过永就业、道州人社、微信和进企入户发放宣传资料等方式，广泛宣传失业保险金申领发放条件、申领流程，积极发放失业保险金。今年以来，全县网上申领和现场“一证申领”，发放失业保险金4677人次729.36万元；农民工一次性生活补助51人次，41.85万元；对全县企事业单位降费757家,金额2388.91万元；累计代缴医疗保险费4600人次，金额206.52万元；发放一次性扩岗补助118人17.7万元；发放稳岗返还补贴107家，金额81.65万元；发放技能提升补贴30人4.4万元。</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楷体" w:hAnsi="楷体" w:eastAsia="楷体" w:cs="楷体"/>
          <w:b/>
          <w:bCs/>
          <w:color w:val="000000"/>
          <w:kern w:val="0"/>
          <w:sz w:val="32"/>
          <w:szCs w:val="32"/>
          <w:lang w:val="en-US" w:eastAsia="zh-CN" w:bidi="ar-SA"/>
        </w:rPr>
        <w:t>（二）坚持岗位推送，打造用工求职“助力器”。</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1.积极安排部署。</w:t>
      </w:r>
      <w:r>
        <w:rPr>
          <w:rFonts w:hint="eastAsia" w:ascii="Times New Roman" w:hAnsi="Times New Roman" w:eastAsia="仿宋_GB2312" w:cs="黑体"/>
          <w:color w:val="000000"/>
          <w:kern w:val="0"/>
          <w:sz w:val="32"/>
          <w:szCs w:val="32"/>
          <w:lang w:val="en-US" w:eastAsia="zh-CN" w:bidi="ar-SA"/>
        </w:rPr>
        <w:t>一是1月22日县委书记唐超学在县政府常务会议室组织召开了“创业就业工作座谈会”，县政府常务副县长刘军、县组织部部长陈葳等县级领导出席了座谈会。1月23日，县政府常务副县长刘军在县政府常务会议室组织召开了“道县2025年“春风行动暨就业援助月工作调度会”，会上对我县企业用工工作作了重要强调和部署；二是结合我县实际，印发《道县2025年春风行动暨就业援助月活动实施方案》（道人社联发〔2025〕1号）文件；三是制定《道县2025年服务园区招工参照数据》发放至各乡镇（街道）等职能部门，并加强与各职能部门间数据比对，掌握农村劳动者、就业困难人员就业失业情况和服务需求。四是1月下旬在持续开展“道县2025年春风行动暨就业援助月专项招聘</w:t>
      </w:r>
      <w:r>
        <w:rPr>
          <w:rFonts w:hint="default" w:ascii="Times New Roman" w:hAnsi="Times New Roman" w:eastAsia="仿宋_GB2312" w:cs="黑体"/>
          <w:color w:val="000000"/>
          <w:kern w:val="0"/>
          <w:sz w:val="32"/>
          <w:szCs w:val="32"/>
          <w:lang w:val="en-US" w:eastAsia="zh-CN" w:bidi="ar-SA"/>
        </w:rPr>
        <w:t>”</w:t>
      </w:r>
      <w:r>
        <w:rPr>
          <w:rFonts w:hint="eastAsia" w:ascii="Times New Roman" w:hAnsi="Times New Roman" w:eastAsia="仿宋_GB2312" w:cs="黑体"/>
          <w:color w:val="000000"/>
          <w:kern w:val="0"/>
          <w:sz w:val="32"/>
          <w:szCs w:val="32"/>
          <w:lang w:val="en-US" w:eastAsia="zh-CN" w:bidi="ar-SA"/>
        </w:rPr>
        <w:t>招聘会，组织县内60余家企业提供2300余个岗位。</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2.多渠道宣传造氛围。</w:t>
      </w:r>
      <w:r>
        <w:rPr>
          <w:rFonts w:hint="eastAsia" w:ascii="Times New Roman" w:hAnsi="Times New Roman" w:eastAsia="仿宋_GB2312" w:cs="黑体"/>
          <w:color w:val="000000"/>
          <w:kern w:val="0"/>
          <w:sz w:val="32"/>
          <w:szCs w:val="32"/>
          <w:lang w:val="en-US" w:eastAsia="zh-CN" w:bidi="ar-SA"/>
        </w:rPr>
        <w:t>一是收集59家企业岗位信息，编制《道县2025年春风行动就业信息指南》手册 、折页21万余份，已全部由各乡镇、街道分发至辖区各社区（村）；二是在敦颐广场、乡镇（街道）显示屏进行滚动播放岗位信息；三是在全县醒目位置张贴招聘信息；四是制作简易版招聘信息，通过乡镇驻村干部和就业专干分布在全县369个村级微信群；五是通过网页、微信、朋友圈、短信等形式进行线上就业宣传；六是县人社局会同县融媒体中心为永州市三雨电子科技有限公司、湖南紫金锂多金属新材料公司等59家企业拍摄招工宣传片21期，同时陆续拍摄“道县创业就业模范系列报道”2期。</w:t>
      </w:r>
    </w:p>
    <w:p>
      <w:pPr>
        <w:widowControl/>
        <w:spacing w:line="600" w:lineRule="exact"/>
        <w:ind w:firstLine="660"/>
        <w:jc w:val="left"/>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3.开展线上线下招聘。</w:t>
      </w:r>
      <w:r>
        <w:rPr>
          <w:rFonts w:hint="eastAsia" w:ascii="Times New Roman" w:hAnsi="Times New Roman" w:eastAsia="仿宋_GB2312" w:cs="黑体"/>
          <w:color w:val="000000"/>
          <w:kern w:val="0"/>
          <w:sz w:val="32"/>
          <w:szCs w:val="32"/>
          <w:lang w:val="en-US" w:eastAsia="zh-CN" w:bidi="ar-SA"/>
        </w:rPr>
        <w:t>一是通过“湘就业”、“永就业”、“道州就业”等平台发布招聘岗位和通过“道州就业”微信公众号开播直播带岗线上招聘会，截止目前，开展线上招聘活动35场；二是人社局组织企业在敦颐广场、白马渡镇、高新区135地块等地以2025年“春风行动暨就业援助月”为契机，陆续开展了“道县2025年农民“湘融湘爱·春暖农民工服务行动”“道县2025年残疾人专场招聘会”“道县2025年高校毕业生专场招聘会”“道县2025年脱贫劳动力专场招聘会”“道县2025年园区企业专场招聘会”“道县2025年退捕渔民专场招聘会”“道县2025年四进四心专场活动”“道县2025年金秋招聘月”等主题线下招聘会79场，春节期间实现乡镇招聘活动全覆盖，截止目前，人社局会同县高新区组织县内60余家用工企业，提供岗位2300余个，初步达成就业意向11720人，帮助园区企业新招工员工2085人；三是人社局会同团县委在火车站、营江汽车站、步步高新天地商业圈等人员较集中的区域设立志愿服务站开展企业招聘宣传；四是鼓励园区企业提高福利待遇，长期在招聘活动中开展就业创业、劳动维权等政策宣传。五</w:t>
      </w:r>
      <w:r>
        <w:rPr>
          <w:rFonts w:hint="default" w:ascii="Times New Roman" w:hAnsi="Times New Roman" w:eastAsia="仿宋_GB2312" w:cs="黑体"/>
          <w:color w:val="000000"/>
          <w:kern w:val="0"/>
          <w:sz w:val="32"/>
          <w:szCs w:val="32"/>
          <w:lang w:val="en-US" w:eastAsia="zh-CN" w:bidi="ar-SA"/>
        </w:rPr>
        <w:t>是多渠道上门送岗</w:t>
      </w:r>
      <w:r>
        <w:rPr>
          <w:rFonts w:hint="eastAsia" w:ascii="Times New Roman" w:hAnsi="Times New Roman" w:eastAsia="仿宋_GB2312" w:cs="黑体"/>
          <w:color w:val="000000"/>
          <w:kern w:val="0"/>
          <w:sz w:val="32"/>
          <w:szCs w:val="32"/>
          <w:lang w:val="en-US" w:eastAsia="zh-CN" w:bidi="ar-SA"/>
        </w:rPr>
        <w:t>，</w:t>
      </w:r>
      <w:r>
        <w:rPr>
          <w:rFonts w:hint="default" w:ascii="Times New Roman" w:hAnsi="Times New Roman" w:eastAsia="仿宋_GB2312" w:cs="黑体"/>
          <w:color w:val="000000"/>
          <w:kern w:val="0"/>
          <w:sz w:val="32"/>
          <w:szCs w:val="32"/>
          <w:lang w:val="en-US" w:eastAsia="zh-CN" w:bidi="ar-SA"/>
        </w:rPr>
        <w:t>人社部门、园区管理部门和街道乡镇共同组建招工小分队，带领企业人员走村入户、送岗上门，组织有务工意愿人员进入园区现场参观企业，对各乡镇有3人以上的愿意到园区务工人员，安排专车下乡接至企业入职</w:t>
      </w:r>
      <w:r>
        <w:rPr>
          <w:rFonts w:hint="eastAsia" w:ascii="Times New Roman" w:hAnsi="Times New Roman" w:eastAsia="仿宋_GB2312" w:cs="黑体"/>
          <w:color w:val="000000"/>
          <w:kern w:val="0"/>
          <w:sz w:val="32"/>
          <w:szCs w:val="32"/>
          <w:lang w:val="en-US" w:eastAsia="zh-CN" w:bidi="ar-SA"/>
        </w:rPr>
        <w:t>；六是</w:t>
      </w:r>
      <w:r>
        <w:rPr>
          <w:rFonts w:hint="default" w:ascii="Times New Roman" w:hAnsi="Times New Roman" w:eastAsia="仿宋_GB2312" w:cs="黑体"/>
          <w:color w:val="000000"/>
          <w:kern w:val="0"/>
          <w:sz w:val="32"/>
          <w:szCs w:val="32"/>
          <w:lang w:val="en-US" w:eastAsia="zh-CN" w:bidi="ar-SA"/>
        </w:rPr>
        <w:t>积极组织劳务对接</w:t>
      </w:r>
      <w:r>
        <w:rPr>
          <w:rFonts w:hint="eastAsia" w:ascii="Times New Roman" w:hAnsi="Times New Roman" w:eastAsia="仿宋_GB2312" w:cs="黑体"/>
          <w:color w:val="000000"/>
          <w:kern w:val="0"/>
          <w:sz w:val="32"/>
          <w:szCs w:val="32"/>
          <w:lang w:val="en-US" w:eastAsia="zh-CN" w:bidi="ar-SA"/>
        </w:rPr>
        <w:t>，</w:t>
      </w:r>
      <w:r>
        <w:rPr>
          <w:rFonts w:hint="default" w:ascii="Times New Roman" w:hAnsi="Times New Roman" w:eastAsia="仿宋_GB2312" w:cs="黑体"/>
          <w:color w:val="000000"/>
          <w:kern w:val="0"/>
          <w:sz w:val="32"/>
          <w:szCs w:val="32"/>
          <w:lang w:val="en-US" w:eastAsia="zh-CN" w:bidi="ar-SA"/>
        </w:rPr>
        <w:t>组织劳务工作站、人力资源服务机构、劳务派遣公司、劳务经纪人等积极参与，</w:t>
      </w:r>
      <w:r>
        <w:rPr>
          <w:rFonts w:hint="eastAsia" w:ascii="Times New Roman" w:hAnsi="Times New Roman" w:eastAsia="仿宋_GB2312" w:cs="黑体"/>
          <w:color w:val="000000"/>
          <w:kern w:val="0"/>
          <w:sz w:val="32"/>
          <w:szCs w:val="32"/>
          <w:lang w:val="en-US" w:eastAsia="zh-CN" w:bidi="ar-SA"/>
        </w:rPr>
        <w:t>为全县用工企业</w:t>
      </w:r>
      <w:r>
        <w:rPr>
          <w:rFonts w:hint="default" w:ascii="Times New Roman" w:hAnsi="Times New Roman" w:eastAsia="仿宋_GB2312" w:cs="黑体"/>
          <w:color w:val="000000"/>
          <w:kern w:val="0"/>
          <w:sz w:val="32"/>
          <w:szCs w:val="32"/>
          <w:lang w:val="en-US" w:eastAsia="zh-CN" w:bidi="ar-SA"/>
        </w:rPr>
        <w:t>提供精准匹配、高效输出全流程服务。</w:t>
      </w:r>
    </w:p>
    <w:p>
      <w:pPr>
        <w:widowControl/>
        <w:spacing w:line="600" w:lineRule="exact"/>
        <w:ind w:firstLine="660"/>
        <w:jc w:val="left"/>
        <w:rPr>
          <w:rFonts w:hint="eastAsia" w:ascii="楷体" w:hAnsi="楷体" w:eastAsia="楷体" w:cs="楷体"/>
          <w:b/>
          <w:bCs/>
          <w:color w:val="000000"/>
          <w:kern w:val="0"/>
          <w:sz w:val="32"/>
          <w:szCs w:val="32"/>
          <w:lang w:val="en-US" w:eastAsia="zh-CN" w:bidi="ar-SA"/>
        </w:rPr>
      </w:pPr>
      <w:r>
        <w:rPr>
          <w:rFonts w:hint="eastAsia" w:ascii="楷体" w:hAnsi="楷体" w:eastAsia="楷体" w:cs="楷体"/>
          <w:b/>
          <w:bCs/>
          <w:color w:val="000000"/>
          <w:kern w:val="0"/>
          <w:sz w:val="32"/>
          <w:szCs w:val="32"/>
          <w:lang w:val="en-US" w:eastAsia="zh-CN" w:bidi="ar-SA"/>
        </w:rPr>
        <w:t>二、下一步工作计划</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我中心将重点围绕就业创业工作补短板、强弱项，找准政策“痛点”、排查资源“堵点”、架设沟通“节点”、破解承接“难点”，推进全县创业就业工作更高质量、更高水平发展。</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w:t>
      </w:r>
      <w:r>
        <w:rPr>
          <w:rFonts w:hint="eastAsia" w:ascii="Times New Roman" w:hAnsi="Times New Roman" w:eastAsia="仿宋_GB2312" w:cs="黑体"/>
          <w:b/>
          <w:bCs/>
          <w:color w:val="000000"/>
          <w:kern w:val="0"/>
          <w:sz w:val="32"/>
          <w:szCs w:val="32"/>
          <w:lang w:val="en-US" w:eastAsia="zh-CN" w:bidi="ar-SA"/>
        </w:rPr>
        <w:t xml:space="preserve"> 1.抓好“两个就业”的落实。</w:t>
      </w:r>
      <w:r>
        <w:rPr>
          <w:rFonts w:hint="eastAsia" w:ascii="Times New Roman" w:hAnsi="Times New Roman" w:eastAsia="仿宋_GB2312" w:cs="黑体"/>
          <w:color w:val="000000"/>
          <w:kern w:val="0"/>
          <w:sz w:val="32"/>
          <w:szCs w:val="32"/>
          <w:lang w:val="en-US" w:eastAsia="zh-CN" w:bidi="ar-SA"/>
        </w:rPr>
        <w:t>一是抓好园区企业用工和剩余劳动力就业。充分发挥县国投众聚人力资源公司平台优势，通过在园区内建立人力资源市场以及主城区内设立零工驿站、22个乡镇设立分站、369个社区（村）成立联络点的三级用工平台，为企业用工和劳动力求职搭建好对接平台，确保企业用工和劳动力求职供需平台畅通；二是抓好高校毕业生、脱贫人口、退捕渔民、登记失业人员等重点群体的就业帮扶。用活用好就业创业政策，积极开展“民营企业服务月”、“高校毕业生专场招聘”、“百日千万网络招聘专项行动”、“退役军人军属招聘会”、“退捕渔民专场招聘会”、等系统招聘活动，通过线上网络招聘、直播带岗，线下进企入户现场宣传等，竭力帮助重点群体实现就业创业。</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2.抓好“两个指标”的落实。</w:t>
      </w:r>
      <w:r>
        <w:rPr>
          <w:rFonts w:hint="eastAsia" w:ascii="Times New Roman" w:hAnsi="Times New Roman" w:eastAsia="仿宋_GB2312" w:cs="黑体"/>
          <w:color w:val="000000"/>
          <w:kern w:val="0"/>
          <w:sz w:val="32"/>
          <w:szCs w:val="32"/>
          <w:lang w:val="en-US" w:eastAsia="zh-CN" w:bidi="ar-SA"/>
        </w:rPr>
        <w:t>一是紧扣先进地区考核指标。参考2024年全省促进就业工作先进地区评价指标，在就业指标完成情况、重点群体就业、就业资金保障使用、创业工作成效、职业技能培训成效、就业服务工作、失业保险工作和督查落实等8个方面28项指标上，早谋划，早安排，早抓落实，确保各项指标月月排名靠前，争创佳绩。二是紧扣高质量发展指标。紧紧围绕全市高质量发展综合绩效评价指标中的城镇调查失业率这一指标，扎实做好全县充分就业社区（村）创建工作，在充分就业、就业服务、政策实施、平台建设和社会影响等5个方面，确保每月得分在96分以上，争创省级“星级社区”，确保调查失业率工作在全市排名靠前。</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3.抓好“两个建设”的落实。</w:t>
      </w:r>
      <w:r>
        <w:rPr>
          <w:rFonts w:hint="eastAsia" w:ascii="Times New Roman" w:hAnsi="Times New Roman" w:eastAsia="仿宋_GB2312" w:cs="黑体"/>
          <w:color w:val="000000"/>
          <w:kern w:val="0"/>
          <w:sz w:val="32"/>
          <w:szCs w:val="32"/>
          <w:lang w:val="en-US" w:eastAsia="zh-CN" w:bidi="ar-SA"/>
        </w:rPr>
        <w:t>一是抓好劳动力信息化建设，以搭建人力资源市场为契机，整合人力、人才资源，建立建全全县劳动力台帐和电子数据，及时更新维护劳动力信息，准确掌握剩余劳动力动向，充分发挥就业中心的服务作用；二是抓好乡镇帮扶车间的建设，围绕就业帮扶工作，促进劳动力就近就业，力争在全县打造43个以上乡村车间，为脱贫人口等剩余劳动力创造就近就业岗位。</w:t>
      </w:r>
    </w:p>
    <w:p>
      <w:pPr>
        <w:widowControl/>
        <w:spacing w:line="600" w:lineRule="exact"/>
        <w:ind w:firstLine="660"/>
        <w:jc w:val="left"/>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4.抓好“两个保障”的落实。</w:t>
      </w:r>
      <w:r>
        <w:rPr>
          <w:rFonts w:hint="eastAsia" w:ascii="Times New Roman" w:hAnsi="Times New Roman" w:eastAsia="仿宋_GB2312" w:cs="黑体"/>
          <w:color w:val="000000"/>
          <w:kern w:val="0"/>
          <w:sz w:val="32"/>
          <w:szCs w:val="32"/>
          <w:lang w:val="en-US" w:eastAsia="zh-CN" w:bidi="ar-SA"/>
        </w:rPr>
        <w:t>一是做好重点群体政策扶持保障，加大对高校毕业生、就业困难人员、脱贫人口的创业扶持，优先扶持符合条件重点群体创业，优先给予审核、发放，协调放宽重点群体自主创业贷款担保人条件、贷款额度等；二是做好就业困难群体兜底保障，加大失业保险扩面征缴力度，对符合领取失业保险生活待遇的失业人员实行“一申即发”。进一步加大公益性岗位扩量和提标，结合“三基六化”建设要求，在全县369个行政村开发公益性岗位从事就业、社保、安全生产、防火防溺水等阶段性中心工作，按照工作要求，适当提高补助金额。</w:t>
      </w:r>
    </w:p>
    <w:p>
      <w:pPr>
        <w:widowControl/>
        <w:spacing w:line="600" w:lineRule="exact"/>
        <w:ind w:firstLine="66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5.抓好“两个大赛”的落实。</w:t>
      </w:r>
      <w:r>
        <w:rPr>
          <w:rFonts w:hint="eastAsia" w:ascii="Times New Roman" w:hAnsi="Times New Roman" w:eastAsia="仿宋_GB2312" w:cs="黑体"/>
          <w:color w:val="000000"/>
          <w:kern w:val="0"/>
          <w:sz w:val="32"/>
          <w:szCs w:val="32"/>
          <w:lang w:val="en-US" w:eastAsia="zh-CN" w:bidi="ar-SA"/>
        </w:rPr>
        <w:t>一是举办好道州工匠大赛，充分利用技能培训机构的培训力量，开发好适合本地劳动力的技能项目，着力发掘龙头雕刻、道州调子戏等传统工艺能人以及培养道州麻园泡、特色烧烤等手艺能人，努力打造我县特色劳务品牌;二是举办好网络直播带货大赛，大力营造创新创业的浓厚氛围，引导和带动我县企业加快适应新业态发展，助力道州特色产业、产品等优势资源破圈出圈，发展电商经济，培养直播带货人才，发挥电商人才示范带动作用。</w:t>
      </w:r>
    </w:p>
    <w:p>
      <w:pPr>
        <w:widowControl w:val="0"/>
        <w:wordWrap/>
        <w:spacing w:line="520" w:lineRule="exact"/>
        <w:textAlignment w:val="auto"/>
        <w:rPr>
          <w:rFonts w:hint="default" w:eastAsia="仿宋_GB2312"/>
          <w:lang w:val="en-US" w:eastAsia="zh-CN"/>
        </w:rPr>
      </w:pPr>
    </w:p>
    <w:p>
      <w:pPr>
        <w:pStyle w:val="14"/>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pPr>
        <w:adjustRightInd w:val="0"/>
        <w:snapToGrid w:val="0"/>
        <w:spacing w:line="600" w:lineRule="exact"/>
        <w:ind w:firstLine="600" w:firstLineChars="200"/>
        <w:rPr>
          <w:rFonts w:hint="eastAsia" w:ascii="Times New Roman" w:hAnsi="Times New Roman" w:eastAsia="仿宋_GB2312" w:cs="Times New Roman"/>
          <w:sz w:val="30"/>
          <w:szCs w:val="30"/>
          <w:lang w:eastAsia="zh-CN"/>
        </w:rPr>
      </w:pPr>
    </w:p>
    <w:p>
      <w:pPr>
        <w:adjustRightInd w:val="0"/>
        <w:snapToGrid w:val="0"/>
        <w:spacing w:line="600" w:lineRule="exact"/>
        <w:ind w:firstLine="600" w:firstLineChars="200"/>
        <w:rPr>
          <w:rFonts w:ascii="仿宋_GB2312" w:hAnsi="仿宋_GB2312" w:eastAsia="仿宋_GB2312" w:cs="仿宋_GB2312"/>
          <w:sz w:val="30"/>
          <w:szCs w:val="30"/>
        </w:rPr>
      </w:pPr>
    </w:p>
    <w:p>
      <w:pPr>
        <w:pStyle w:val="14"/>
        <w:jc w:val="both"/>
        <w:rPr>
          <w:sz w:val="72"/>
          <w:szCs w:val="72"/>
        </w:rPr>
      </w:pP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ind w:firstLine="640" w:firstLineChars="200"/>
        <w:jc w:val="left"/>
        <w:rPr>
          <w:rFonts w:hint="eastAsia" w:ascii="宋体" w:hAnsi="宋体" w:eastAsia="宋体" w:cs="黑体"/>
          <w:color w:val="000000"/>
          <w:kern w:val="0"/>
          <w:sz w:val="32"/>
          <w:szCs w:val="32"/>
          <w:lang w:eastAsia="zh-CN"/>
        </w:rPr>
      </w:pPr>
      <w:r>
        <w:rPr>
          <w:rFonts w:hint="eastAsia" w:ascii="宋体" w:hAnsi="宋体" w:cs="黑体"/>
          <w:color w:val="000000"/>
          <w:kern w:val="0"/>
          <w:sz w:val="32"/>
          <w:szCs w:val="32"/>
        </w:rPr>
        <w:t>一</w:t>
      </w:r>
      <w:r>
        <w:rPr>
          <w:rFonts w:hint="eastAsia" w:ascii="宋体" w:hAnsi="宋体" w:cs="黑体"/>
          <w:color w:val="000000"/>
          <w:kern w:val="0"/>
          <w:sz w:val="32"/>
          <w:szCs w:val="32"/>
          <w:lang w:eastAsia="zh-CN"/>
        </w:rPr>
        <w:t>、三公经费</w:t>
      </w:r>
    </w:p>
    <w:p>
      <w:pPr>
        <w:ind w:firstLine="640" w:firstLineChars="200"/>
        <w:jc w:val="left"/>
        <w:rPr>
          <w:rFonts w:hint="eastAsia" w:ascii="宋体" w:hAnsi="宋体" w:cs="黑体"/>
          <w:color w:val="000000"/>
          <w:kern w:val="0"/>
          <w:sz w:val="32"/>
          <w:szCs w:val="32"/>
          <w:lang w:eastAsia="zh-CN"/>
        </w:rPr>
      </w:pPr>
      <w:r>
        <w:rPr>
          <w:rFonts w:hint="eastAsia" w:ascii="宋体" w:hAnsi="宋体" w:cs="黑体"/>
          <w:color w:val="000000"/>
          <w:kern w:val="0"/>
          <w:sz w:val="32"/>
          <w:szCs w:val="32"/>
        </w:rPr>
        <w:t>二、</w:t>
      </w:r>
      <w:r>
        <w:rPr>
          <w:rFonts w:hint="eastAsia" w:ascii="宋体" w:hAnsi="宋体" w:cs="黑体"/>
          <w:color w:val="000000"/>
          <w:kern w:val="0"/>
          <w:sz w:val="32"/>
          <w:szCs w:val="32"/>
          <w:lang w:eastAsia="zh-CN"/>
        </w:rPr>
        <w:t>机关运行经费</w:t>
      </w:r>
    </w:p>
    <w:p>
      <w:pPr>
        <w:ind w:firstLine="640" w:firstLineChars="200"/>
        <w:jc w:val="left"/>
        <w:rPr>
          <w:rFonts w:ascii="宋体" w:hAnsi="宋体" w:cs="黑体"/>
          <w:color w:val="000000"/>
          <w:kern w:val="0"/>
          <w:sz w:val="32"/>
          <w:szCs w:val="32"/>
        </w:rPr>
      </w:pPr>
      <w:r>
        <w:rPr>
          <w:rFonts w:hint="eastAsia" w:ascii="宋体" w:hAnsi="宋体" w:cs="黑体"/>
          <w:color w:val="000000"/>
          <w:kern w:val="0"/>
          <w:sz w:val="32"/>
          <w:szCs w:val="32"/>
        </w:rPr>
        <w:t>三、</w:t>
      </w:r>
      <w:r>
        <w:rPr>
          <w:rFonts w:ascii="宋体" w:hAnsi="宋体" w:cs="黑体"/>
          <w:color w:val="000000"/>
          <w:kern w:val="0"/>
          <w:sz w:val="32"/>
          <w:szCs w:val="32"/>
        </w:rPr>
        <w:t>……</w:t>
      </w:r>
    </w:p>
    <w:p>
      <w:pPr>
        <w:pStyle w:val="14"/>
        <w:ind w:firstLine="640" w:firstLineChars="200"/>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w:t>
      </w:r>
      <w:bookmarkStart w:id="5" w:name="_GoBack"/>
      <w:bookmarkEnd w:id="5"/>
    </w:p>
    <w:p>
      <w:pPr>
        <w:pStyle w:val="14"/>
        <w:widowControl w:val="0"/>
        <w:wordWrap/>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楷体" w:hAnsi="楷体" w:eastAsia="楷体" w:cs="楷体"/>
          <w:b/>
          <w:bCs/>
          <w:i/>
          <w:color w:val="auto"/>
          <w:kern w:val="0"/>
          <w:sz w:val="32"/>
          <w:szCs w:val="32"/>
          <w:lang w:val="en-US" w:eastAsia="zh-CN" w:bidi="ar-SA"/>
        </w:rPr>
        <w:t>（名词解释应包含本部门专有名词，如省财政厅应有对“财政事务”科目的解释，可参考中央相关部门的名词解释）</w:t>
      </w: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rPr>
          <w:sz w:val="72"/>
          <w:szCs w:val="72"/>
        </w:rPr>
      </w:pPr>
      <w:r>
        <w:rPr>
          <w:sz w:val="72"/>
          <w:szCs w:val="72"/>
        </w:rPr>
        <w:br w:type="page"/>
      </w: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14"/>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4"/>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4"/>
        <w:jc w:val="center"/>
        <w:rPr>
          <w:sz w:val="72"/>
          <w:szCs w:val="72"/>
        </w:rPr>
      </w:pPr>
    </w:p>
    <w:p>
      <w:pPr>
        <w:pStyle w:val="14"/>
        <w:jc w:val="center"/>
        <w:rPr>
          <w:sz w:val="72"/>
          <w:szCs w:val="72"/>
        </w:rPr>
      </w:pPr>
    </w:p>
    <w:p>
      <w:pPr>
        <w:jc w:val="left"/>
        <w:rPr>
          <w:rFonts w:ascii="宋体" w:hAnsi="宋体" w:cs="黑体"/>
          <w:color w:val="000000"/>
          <w:kern w:val="0"/>
          <w:sz w:val="32"/>
          <w:szCs w:val="32"/>
        </w:rPr>
      </w:pP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3CA84"/>
    <w:multiLevelType w:val="singleLevel"/>
    <w:tmpl w:val="C983CA84"/>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4D771D"/>
    <w:rsid w:val="0D4E7566"/>
    <w:rsid w:val="0DCD2FD0"/>
    <w:rsid w:val="0E214DD5"/>
    <w:rsid w:val="11541E6A"/>
    <w:rsid w:val="1483070E"/>
    <w:rsid w:val="16B2161C"/>
    <w:rsid w:val="182932F0"/>
    <w:rsid w:val="1BD14CC5"/>
    <w:rsid w:val="1D97DEFF"/>
    <w:rsid w:val="1DFF72E5"/>
    <w:rsid w:val="1EFC6F07"/>
    <w:rsid w:val="2D940755"/>
    <w:rsid w:val="2FDF85B8"/>
    <w:rsid w:val="2FFFEE04"/>
    <w:rsid w:val="332C611D"/>
    <w:rsid w:val="34DF85B0"/>
    <w:rsid w:val="3B8F36BC"/>
    <w:rsid w:val="3F221E53"/>
    <w:rsid w:val="3F8A67CD"/>
    <w:rsid w:val="464004CF"/>
    <w:rsid w:val="491FF225"/>
    <w:rsid w:val="4A280E96"/>
    <w:rsid w:val="4FFD214C"/>
    <w:rsid w:val="5777D4F5"/>
    <w:rsid w:val="59DD8326"/>
    <w:rsid w:val="5B8B5B0D"/>
    <w:rsid w:val="5DEF592A"/>
    <w:rsid w:val="5FC6BB1E"/>
    <w:rsid w:val="5FF720F1"/>
    <w:rsid w:val="641301BB"/>
    <w:rsid w:val="67FF5C0B"/>
    <w:rsid w:val="6B120E29"/>
    <w:rsid w:val="6EFC0924"/>
    <w:rsid w:val="6FB74722"/>
    <w:rsid w:val="6FEF8B7E"/>
    <w:rsid w:val="71A6591B"/>
    <w:rsid w:val="737D59BA"/>
    <w:rsid w:val="746B330F"/>
    <w:rsid w:val="77C37683"/>
    <w:rsid w:val="78420FBF"/>
    <w:rsid w:val="78937F29"/>
    <w:rsid w:val="79FF515B"/>
    <w:rsid w:val="7AE56E32"/>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footer"/>
    <w:basedOn w:val="1"/>
    <w:next w:val="3"/>
    <w:link w:val="18"/>
    <w:unhideWhenUsed/>
    <w:qFormat/>
    <w:uiPriority w:val="99"/>
    <w:pPr>
      <w:tabs>
        <w:tab w:val="center" w:pos="4153"/>
        <w:tab w:val="right" w:pos="8306"/>
      </w:tabs>
      <w:snapToGrid w:val="0"/>
      <w:jc w:val="left"/>
    </w:pPr>
    <w:rPr>
      <w:sz w:val="18"/>
      <w:szCs w:val="18"/>
    </w:rPr>
  </w:style>
  <w:style w:type="paragraph" w:styleId="3">
    <w:name w:val="index 5"/>
    <w:basedOn w:val="1"/>
    <w:next w:val="1"/>
    <w:unhideWhenUsed/>
    <w:uiPriority w:val="99"/>
    <w:pPr>
      <w:ind w:left="1680"/>
    </w:pPr>
    <w:rPr>
      <w:rFonts w:ascii="Times New Roman" w:hAnsi="Times New Roman" w:eastAsia="宋体" w:cs="Times New Roman"/>
    </w:rPr>
  </w:style>
  <w:style w:type="paragraph" w:styleId="4">
    <w:name w:val="Normal Indent"/>
    <w:basedOn w:val="1"/>
    <w:qFormat/>
    <w:uiPriority w:val="0"/>
    <w:pPr>
      <w:ind w:firstLine="420"/>
    </w:pPr>
    <w:rPr>
      <w:szCs w:val="20"/>
    </w:rPr>
  </w:style>
  <w:style w:type="paragraph" w:styleId="5">
    <w:name w:val="Body Text"/>
    <w:basedOn w:val="1"/>
    <w:qFormat/>
    <w:uiPriority w:val="0"/>
    <w:rPr>
      <w:rFonts w:ascii="宋体" w:hAnsi="宋体" w:eastAsia="宋体" w:cs="宋体"/>
      <w:sz w:val="28"/>
      <w:szCs w:val="28"/>
    </w:r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unhideWhenUsed/>
    <w:qFormat/>
    <w:uiPriority w:val="99"/>
    <w:pPr>
      <w:ind w:firstLine="420" w:firstLineChars="200"/>
    </w:pPr>
  </w:style>
  <w:style w:type="paragraph" w:styleId="8">
    <w:name w:val="Balloon Text"/>
    <w:basedOn w:val="1"/>
    <w:link w:val="19"/>
    <w:unhideWhenUsed/>
    <w:qFormat/>
    <w:uiPriority w:val="99"/>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7"/>
    <w:semiHidden/>
    <w:qFormat/>
    <w:uiPriority w:val="0"/>
    <w:pPr>
      <w:snapToGrid w:val="0"/>
      <w:jc w:val="left"/>
    </w:pPr>
    <w:rPr>
      <w:sz w:val="18"/>
      <w:szCs w:val="18"/>
    </w:rPr>
  </w:style>
  <w:style w:type="paragraph" w:styleId="11">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customStyle="1" w:styleId="14">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customStyle="1" w:styleId="15">
    <w:name w:val="List Paragraph"/>
    <w:basedOn w:val="1"/>
    <w:qFormat/>
    <w:uiPriority w:val="34"/>
    <w:pPr>
      <w:ind w:firstLine="420" w:firstLineChars="200"/>
    </w:pPr>
  </w:style>
  <w:style w:type="paragraph" w:customStyle="1" w:styleId="16">
    <w:name w:val="正文缩进1"/>
    <w:basedOn w:val="1"/>
    <w:next w:val="1"/>
    <w:qFormat/>
    <w:uiPriority w:val="0"/>
    <w:pPr>
      <w:ind w:firstLine="680"/>
    </w:pPr>
    <w:rPr>
      <w:rFonts w:ascii="Times New Roman" w:hAnsi="Times New Roman"/>
    </w:rPr>
  </w:style>
  <w:style w:type="character" w:customStyle="1" w:styleId="17">
    <w:name w:val="页眉 Char"/>
    <w:basedOn w:val="13"/>
    <w:link w:val="9"/>
    <w:qFormat/>
    <w:uiPriority w:val="99"/>
    <w:rPr>
      <w:sz w:val="18"/>
      <w:szCs w:val="18"/>
    </w:rPr>
  </w:style>
  <w:style w:type="character" w:customStyle="1" w:styleId="18">
    <w:name w:val="页脚 Char"/>
    <w:basedOn w:val="13"/>
    <w:link w:val="2"/>
    <w:qFormat/>
    <w:uiPriority w:val="99"/>
    <w:rPr>
      <w:sz w:val="18"/>
      <w:szCs w:val="18"/>
    </w:rPr>
  </w:style>
  <w:style w:type="character" w:customStyle="1" w:styleId="19">
    <w:name w:val="批注框文本 Char"/>
    <w:basedOn w:val="13"/>
    <w:link w:val="8"/>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8988</Words>
  <Characters>10198</Characters>
  <Lines>63</Lines>
  <Paragraphs>18</Paragraphs>
  <TotalTime>0</TotalTime>
  <ScaleCrop>false</ScaleCrop>
  <LinksUpToDate>false</LinksUpToDate>
  <CharactersWithSpaces>11178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2026-09-14T01:28:22Z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FD7DDB1D137448B296FC0E4BCBF79ED7_13</vt:lpwstr>
  </property>
  <property fmtid="{D5CDD505-2E9C-101B-9397-08002B2CF9AE}" pid="4" name="KSOTemplateDocerSaveRecord">
    <vt:lpwstr>eyJoZGlkIjoiNmQ0MWYxNWIwNGJhMzYyZjMwYjZlMjVlYTExMjlmNDEiLCJ1c2VySWQiOiIzNTc0MzkzOTAifQ==</vt:lpwstr>
  </property>
</Properties>
</file>