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道县商务局</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道县商务局</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道县商务局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（一）贯彻执行国家、省有关国内外贸易、国际经济合作和区域经济合作的发展战略、政策，拟订全县国内外贸易、招商引资、承接产业转移、对外援助、对外投资和对外经济合作的规范性交件。</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（二）负责推进流通产业结构调整，指导流通企业改革，促进商贸服务业和社区商业发展，推动流通标准化和连锁经营、商业特许经营、物流配送、电子商务等现代流通方式的发展。</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（三）促进城乡市场发展，指导大宗产品批发市场规划和城市商业网点规划、商业体系建设工作，推进农村市场体系建设，组织实施农村现代流通网络工程。</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贯彻执行国家进出口商品、加工贸易管理规定和进出口管理商品、技术目录，组织实施全县重要工业品、原材料和重要农产品进出口总量计划，会同有关部门协调大宗进出口商品工作，指导贸易促进活动和外贸促进体系建设。</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（五）贯彻执行国家对外技术贸易、出口管制以及鼓励技术和成套设备进出口的贸易政策，推进进出口贸易标准化工作，依法监督技术引进、设备进口、国家限制出口技术工作。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牵头拟订服务贸易发展规划，推动服务外包平台建设，依法管理和监督对外承包工程、对外劳务合作等，负责牵头外派劳务和境外就业人员的权益保护工作，依法核准市内企业对外投资开办企业（金融企业除外）。</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贯彻执行我国多边双边（含区域、自由贸易区）经贸合作战略和政策，推进我市与其他国家（地区）的经贸往来与投资贸易合作；牵头承担全县商务领域涉及世界贸易组织事务的相关工作，负责对外经济贸易协调工作。组织实施招商引资和承接产业转移，依法核准外商投资企业的设立及变更事项，依法核准重大外商投资项目的合同章程及法律特别规定的重大变更事项，依法监督检查外商投资企业执行有关法律法规规章、合同章程的情况并协调解决有关问题，指导投资促进及全县外商投资企业审批工作，规范招商引资活动，协调港、澳、台商投资管理工作，指导市域内省级经济技术开发区的有关工作。</w:t>
      </w:r>
    </w:p>
    <w:p>
      <w:pPr>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（八）贯彻执行国家对外援助政策和方案，协调管理全县承担的对外援助项目，协调管理多边双边对我市的无偿援助和赠款（不含财政合作项下外国政府及国际金融组织的赠款）等发展合作业务。</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（九）做好异地永州商会的联络、服务工作，承担市直招商小分队商务协调领导小组的日常工作。</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十）负责管理和协调处理本县口岸工作，指导电子口岸通关信息平台建设，协调外经贸企业的出口退税、出口信用保险工作督促检查口岸检查检验单位，按各自的职责和规定，对出入境人员、交通工具、货物和行李物品进行监督管理以及检查、检验、检疫等工作，负责协调处理口岸各单位之间的矛盾，具有仲裁职能。负责督促本县口岸、互市点的规划建设、技术改造配套工作的组织实施，并促使其同步进行</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（十一）提供信息咨询服务，指导全县流通领域信息网络和电子商务建设。</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（十二）按机构改革的总体要求，负责对下属单位机构设置、职能配置和人员编制配备等提出调整完善意见，报机构编制部门明确。</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（十三）承办县委、县人民政府交办的其他事项。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ind w:firstLine="640" w:firstLineChars="200"/>
        <w:rPr>
          <w:rFonts w:hint="eastAsia" w:ascii="仿宋" w:hAnsi="仿宋" w:eastAsia="仿宋" w:cs="仿宋"/>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道县商务局</w:t>
      </w:r>
      <w:r>
        <w:rPr>
          <w:rFonts w:hint="eastAsia" w:ascii="仿宋" w:hAnsi="仿宋" w:eastAsia="仿宋" w:cs="仿宋"/>
          <w:sz w:val="32"/>
          <w:szCs w:val="32"/>
          <w:lang w:val="en-US" w:eastAsia="zh-CN"/>
        </w:rPr>
        <w:t>内设事业单位2个:电子商务服务中心、口岸管理服务中心；内设股室5个：综合股、市场运行消费促进股、市场体系建设和流通业发展股、对外经贸合作股、投资管理股；</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道县商务局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道县商务局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6022"/>
        <w:gridCol w:w="888"/>
        <w:gridCol w:w="1422"/>
        <w:gridCol w:w="4326"/>
        <w:gridCol w:w="888"/>
        <w:gridCol w:w="1350"/>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1217.97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486.46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53.22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21.16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10.86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42.36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49.40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660.93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1271.2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1271.2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1271.2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rPr>
            </w:pPr>
            <w:r>
              <w:rPr>
                <w:rFonts w:hint="eastAsia" w:ascii="宋体" w:hAnsi="宋体" w:eastAsia="宋体" w:cs="宋体"/>
                <w:i w:val="0"/>
                <w:iCs w:val="0"/>
                <w:color w:val="000000"/>
                <w:kern w:val="0"/>
                <w:sz w:val="22"/>
                <w:szCs w:val="22"/>
                <w:u w:val="none"/>
                <w:lang w:val="en-US" w:eastAsia="zh-CN" w:bidi="ar"/>
              </w:rPr>
              <w:t>1271.2</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both"/>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817" w:type="dxa"/>
        <w:jc w:val="center"/>
        <w:tblLayout w:type="fixed"/>
        <w:tblCellMar>
          <w:top w:w="0" w:type="dxa"/>
          <w:left w:w="0" w:type="dxa"/>
          <w:bottom w:w="0" w:type="dxa"/>
          <w:right w:w="0" w:type="dxa"/>
        </w:tblCellMar>
      </w:tblPr>
      <w:tblGrid>
        <w:gridCol w:w="1904"/>
        <w:gridCol w:w="1317"/>
        <w:gridCol w:w="1657"/>
        <w:gridCol w:w="1657"/>
        <w:gridCol w:w="1657"/>
        <w:gridCol w:w="1657"/>
        <w:gridCol w:w="1657"/>
        <w:gridCol w:w="1915"/>
        <w:gridCol w:w="1396"/>
      </w:tblGrid>
      <w:tr>
        <w:tblPrEx>
          <w:tblCellMar>
            <w:top w:w="0" w:type="dxa"/>
            <w:left w:w="0" w:type="dxa"/>
            <w:bottom w:w="0" w:type="dxa"/>
            <w:right w:w="0" w:type="dxa"/>
          </w:tblCellMar>
        </w:tblPrEx>
        <w:trPr>
          <w:trHeight w:val="377"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5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12" w:hRule="exact"/>
          <w:jc w:val="center"/>
        </w:trPr>
        <w:tc>
          <w:tcPr>
            <w:tcW w:w="19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1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904"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1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1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9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77"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77" w:hRule="atLeast"/>
          <w:jc w:val="center"/>
        </w:trPr>
        <w:tc>
          <w:tcPr>
            <w:tcW w:w="322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1271.20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1271.20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77"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2011301</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行政运行</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300.35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300.35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77"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2011308</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招商引资</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61.00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61.00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583"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2011399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其他商贸事务支出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125.11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125.11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77"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2080801</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死亡抚恤</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21.16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21.16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1142"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2120899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其他国有土地使用权出让收入安排的支出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10.86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10.86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77"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2159802</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制造业</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42.36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42.36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583"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2160299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其他商业流通事务支出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14.37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14.37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583"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2160699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其他涉外发展服务支出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35.03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35.03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26" w:hRule="atLeast"/>
          <w:jc w:val="center"/>
        </w:trPr>
        <w:tc>
          <w:tcPr>
            <w:tcW w:w="190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2299999</w:t>
            </w:r>
          </w:p>
        </w:tc>
        <w:tc>
          <w:tcPr>
            <w:tcW w:w="13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其他支出</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660.93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 xml:space="preserve">660.93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78" w:type="pct"/>
        <w:jc w:val="center"/>
        <w:tblLayout w:type="autofit"/>
        <w:tblCellMar>
          <w:top w:w="0" w:type="dxa"/>
          <w:left w:w="108" w:type="dxa"/>
          <w:bottom w:w="0" w:type="dxa"/>
          <w:right w:w="108" w:type="dxa"/>
        </w:tblCellMar>
      </w:tblPr>
      <w:tblGrid>
        <w:gridCol w:w="1837"/>
        <w:gridCol w:w="4197"/>
        <w:gridCol w:w="1542"/>
        <w:gridCol w:w="1542"/>
        <w:gridCol w:w="1542"/>
        <w:gridCol w:w="907"/>
        <w:gridCol w:w="615"/>
        <w:gridCol w:w="1975"/>
      </w:tblGrid>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3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1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442" w:hRule="exact"/>
          <w:jc w:val="center"/>
        </w:trPr>
        <w:tc>
          <w:tcPr>
            <w:tcW w:w="6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81"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1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885" w:hRule="atLeast"/>
          <w:jc w:val="center"/>
        </w:trPr>
        <w:tc>
          <w:tcPr>
            <w:tcW w:w="6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81"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1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4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3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1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9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457" w:hRule="atLeast"/>
          <w:jc w:val="center"/>
        </w:trPr>
        <w:tc>
          <w:tcPr>
            <w:tcW w:w="212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4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1271.20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color w:val="000000"/>
                <w:kern w:val="0"/>
                <w:sz w:val="22"/>
                <w:lang w:val="en-US" w:eastAsia="zh-CN" w:bidi="ar"/>
              </w:rPr>
              <w:t>300.35</w:t>
            </w:r>
            <w:r>
              <w:rPr>
                <w:rFonts w:hint="eastAsia" w:ascii="宋体" w:hAnsi="宋体" w:eastAsia="宋体" w:cs="宋体"/>
                <w:i w:val="0"/>
                <w:iCs w:val="0"/>
                <w:color w:val="000000"/>
                <w:kern w:val="0"/>
                <w:sz w:val="22"/>
                <w:szCs w:val="22"/>
                <w:u w:val="none"/>
                <w:lang w:val="en-US" w:eastAsia="zh-CN" w:bidi="ar"/>
              </w:rPr>
              <w:t>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970.85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2011301</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300.35 </w:t>
            </w:r>
          </w:p>
        </w:tc>
        <w:tc>
          <w:tcPr>
            <w:tcW w:w="544"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300.35</w:t>
            </w:r>
            <w:r>
              <w:rPr>
                <w:rFonts w:hint="eastAsia" w:ascii="宋体" w:hAnsi="宋体" w:eastAsia="宋体" w:cs="宋体"/>
                <w:i w:val="0"/>
                <w:iCs w:val="0"/>
                <w:color w:val="000000"/>
                <w:kern w:val="0"/>
                <w:sz w:val="22"/>
                <w:szCs w:val="22"/>
                <w:u w:val="none"/>
                <w:lang w:val="en-US" w:eastAsia="zh-CN" w:bidi="ar"/>
              </w:rPr>
              <w:t xml:space="preserve">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2011308</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招商引资</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61.00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61.00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2011399</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其他商贸事务支出</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125.11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125.11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21.16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21.16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10.86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10.86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2159802</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制造业</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42.36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42.36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2160299</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14.37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14.37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57"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2160699</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其他涉外发展服务支出</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35.03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35.03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71" w:hRule="atLeast"/>
          <w:jc w:val="center"/>
        </w:trPr>
        <w:tc>
          <w:tcPr>
            <w:tcW w:w="64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481"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660.93 </w:t>
            </w:r>
          </w:p>
        </w:tc>
        <w:tc>
          <w:tcPr>
            <w:tcW w:w="544"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542"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 xml:space="preserve">660.93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1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59" w:type="dxa"/>
        <w:jc w:val="center"/>
        <w:tblLayout w:type="fixed"/>
        <w:tblCellMar>
          <w:top w:w="0" w:type="dxa"/>
          <w:left w:w="108" w:type="dxa"/>
          <w:bottom w:w="0" w:type="dxa"/>
          <w:right w:w="108" w:type="dxa"/>
        </w:tblCellMar>
      </w:tblPr>
      <w:tblGrid>
        <w:gridCol w:w="2790"/>
        <w:gridCol w:w="763"/>
        <w:gridCol w:w="1702"/>
        <w:gridCol w:w="2776"/>
        <w:gridCol w:w="647"/>
        <w:gridCol w:w="1677"/>
        <w:gridCol w:w="1758"/>
        <w:gridCol w:w="1388"/>
        <w:gridCol w:w="758"/>
      </w:tblGrid>
      <w:tr>
        <w:tblPrEx>
          <w:tblCellMar>
            <w:top w:w="0" w:type="dxa"/>
            <w:left w:w="108" w:type="dxa"/>
            <w:bottom w:w="0" w:type="dxa"/>
            <w:right w:w="108" w:type="dxa"/>
          </w:tblCellMar>
        </w:tblPrEx>
        <w:trPr>
          <w:trHeight w:val="333" w:hRule="atLeast"/>
          <w:jc w:val="center"/>
        </w:trPr>
        <w:tc>
          <w:tcPr>
            <w:tcW w:w="525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04"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1947"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70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5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3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75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70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1217.97 </w:t>
            </w: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486.47</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486.47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53.22 </w:t>
            </w: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6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21.16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21.16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10.86 </w:t>
            </w:r>
          </w:p>
        </w:tc>
        <w:tc>
          <w:tcPr>
            <w:tcW w:w="175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10.86 </w:t>
            </w: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42.36 </w:t>
            </w:r>
          </w:p>
        </w:tc>
        <w:tc>
          <w:tcPr>
            <w:tcW w:w="1758"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42.36 </w:t>
            </w: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49.40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49.40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660.93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660.93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27</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1271.20 </w:t>
            </w: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85</w:t>
            </w:r>
          </w:p>
        </w:tc>
        <w:tc>
          <w:tcPr>
            <w:tcW w:w="16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1271.2 </w:t>
            </w:r>
          </w:p>
        </w:tc>
        <w:tc>
          <w:tcPr>
            <w:tcW w:w="175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1217.98 </w:t>
            </w: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53.22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28</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33"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29</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87</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30</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88</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655" w:hRule="atLeast"/>
          <w:jc w:val="center"/>
        </w:trPr>
        <w:tc>
          <w:tcPr>
            <w:tcW w:w="27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1702"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27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4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89</w:t>
            </w:r>
          </w:p>
        </w:tc>
        <w:tc>
          <w:tcPr>
            <w:tcW w:w="167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8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43" w:hRule="atLeast"/>
          <w:jc w:val="center"/>
        </w:trPr>
        <w:tc>
          <w:tcPr>
            <w:tcW w:w="279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6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32</w:t>
            </w:r>
          </w:p>
        </w:tc>
        <w:tc>
          <w:tcPr>
            <w:tcW w:w="1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1271.20 </w:t>
            </w:r>
          </w:p>
        </w:tc>
        <w:tc>
          <w:tcPr>
            <w:tcW w:w="277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4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90</w:t>
            </w:r>
          </w:p>
        </w:tc>
        <w:tc>
          <w:tcPr>
            <w:tcW w:w="167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1271.2 </w:t>
            </w:r>
          </w:p>
        </w:tc>
        <w:tc>
          <w:tcPr>
            <w:tcW w:w="175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1217.98 </w:t>
            </w:r>
          </w:p>
        </w:tc>
        <w:tc>
          <w:tcPr>
            <w:tcW w:w="13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53.22 </w:t>
            </w:r>
          </w:p>
        </w:tc>
        <w:tc>
          <w:tcPr>
            <w:tcW w:w="75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1271.20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300.35</w:t>
            </w:r>
            <w:r>
              <w:rPr>
                <w:rFonts w:hint="eastAsia" w:ascii="宋体" w:hAnsi="宋体" w:eastAsia="宋体" w:cs="宋体"/>
                <w:i w:val="0"/>
                <w:iCs w:val="0"/>
                <w:color w:val="000000"/>
                <w:kern w:val="0"/>
                <w:sz w:val="22"/>
                <w:szCs w:val="22"/>
                <w:u w:val="none"/>
                <w:lang w:val="en-US" w:eastAsia="zh-CN" w:bidi="ar"/>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917.62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2011301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300.35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color w:val="000000"/>
                <w:kern w:val="0"/>
                <w:sz w:val="22"/>
                <w:lang w:val="en-US" w:eastAsia="zh-CN" w:bidi="ar"/>
              </w:rPr>
              <w:t>300.35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2011308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招商引资</w:t>
            </w:r>
          </w:p>
        </w:tc>
        <w:tc>
          <w:tcPr>
            <w:tcW w:w="3000"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61.00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61.00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其他商贸事务支出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125.11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125.11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21.16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21.16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2160299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14.37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14.37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2160699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其他涉外发展服务支出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35.03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35.03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2299999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660.93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color w:val="000000"/>
                <w:kern w:val="0"/>
                <w:sz w:val="22"/>
                <w:lang w:val="en-US" w:eastAsia="zh-CN" w:bidi="ar"/>
              </w:rPr>
              <w:t xml:space="preserve">660.93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260</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45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84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47</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93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47</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8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43</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13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w:t>
            </w:r>
            <w:r>
              <w:rPr>
                <w:rFonts w:hint="eastAsia" w:ascii="Times New Roman" w:hAnsi="Times New Roman" w:eastAsia="仿宋_GB2312" w:cs="Times New Roman"/>
                <w:kern w:val="0"/>
                <w:szCs w:val="21"/>
                <w:lang w:val="en-US" w:eastAsia="zh-CN"/>
              </w:rPr>
              <w:t>.</w:t>
            </w:r>
            <w:r>
              <w:rPr>
                <w:rFonts w:hint="eastAsia" w:ascii="Times New Roman" w:hAnsi="Times New Roman" w:eastAsia="仿宋_GB2312" w:cs="Times New Roman"/>
                <w:kern w:val="0"/>
                <w:szCs w:val="21"/>
              </w:rPr>
              <w:t>15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260.45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39.9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53.22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53.22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53.22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10.86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10.86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10.86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2159802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制造业</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42.36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42.36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42.36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widowControl/>
        <w:spacing w:before="120"/>
        <w:jc w:val="left"/>
        <w:textAlignment w:val="center"/>
        <w:rPr>
          <w:rFonts w:ascii="Times New Roman" w:hAnsi="Times New Roman" w:eastAsia="仿宋_GB2312" w:cs="Times New Roman"/>
          <w:color w:val="000000"/>
          <w:kern w:val="0"/>
          <w:sz w:val="24"/>
          <w:szCs w:val="24"/>
          <w:lang w:bidi="ar"/>
        </w:rPr>
      </w:pPr>
      <w:r>
        <w:rPr>
          <w:rFonts w:hint="eastAsia" w:ascii="楷体" w:hAnsi="楷体" w:eastAsia="楷体" w:cs="楷体"/>
          <w:b/>
          <w:bCs/>
          <w:i w:val="0"/>
          <w:color w:val="auto"/>
          <w:kern w:val="0"/>
          <w:sz w:val="24"/>
          <w:szCs w:val="24"/>
          <w:u w:val="none"/>
          <w:lang w:val="en-US" w:eastAsia="zh-CN" w:bidi="ar"/>
        </w:rPr>
        <w:t>说明：我单位没有使用“三公”经费预算安排的支出，故本表无数据。</w:t>
      </w:r>
    </w:p>
    <w:p>
      <w:pPr>
        <w:autoSpaceDE w:val="0"/>
        <w:autoSpaceDN w:val="0"/>
        <w:adjustRightInd w:val="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1217.97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1165.21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val="en-US" w:eastAsia="zh-CN"/>
        </w:rPr>
        <w:t>为减少</w:t>
      </w:r>
      <w:r>
        <w:rPr>
          <w:rFonts w:hint="eastAsia" w:ascii="仿宋_GB2312" w:hAnsi="仿宋" w:eastAsia="仿宋_GB2312" w:cstheme="minorBidi"/>
          <w:kern w:val="2"/>
          <w:sz w:val="32"/>
          <w:szCs w:val="32"/>
          <w:lang w:val="en-US" w:eastAsia="zh-CN" w:bidi="ar-SA"/>
        </w:rPr>
        <w:t>对企业奖励补助资金的拨款。</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商业服务业</w:t>
      </w:r>
      <w:r>
        <w:rPr>
          <w:rFonts w:hint="eastAsia" w:ascii="Times New Roman" w:hAnsi="Times New Roman" w:eastAsia="仿宋_GB2312" w:cs="Times New Roman"/>
          <w:sz w:val="32"/>
          <w:szCs w:val="32"/>
          <w:lang w:eastAsia="zh-CN"/>
        </w:rPr>
        <w:t>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1217.97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1217.97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1271.2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300.35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970.85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1217.97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1165.21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减少</w:t>
      </w:r>
      <w:r>
        <w:rPr>
          <w:rFonts w:hint="eastAsia" w:ascii="仿宋_GB2312" w:hAnsi="仿宋" w:eastAsia="仿宋_GB2312" w:cstheme="minorBidi"/>
          <w:kern w:val="2"/>
          <w:sz w:val="32"/>
          <w:szCs w:val="32"/>
          <w:lang w:val="en-US" w:eastAsia="zh-CN" w:bidi="ar-SA"/>
        </w:rPr>
        <w:t>对企业奖励补助资金的拨款。</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1271.2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1165.21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%主要是因为</w:t>
      </w:r>
      <w:r>
        <w:rPr>
          <w:rFonts w:hint="eastAsia" w:ascii="仿宋_GB2312" w:hAnsi="仿宋" w:eastAsia="仿宋_GB2312" w:cstheme="minorBidi"/>
          <w:kern w:val="2"/>
          <w:sz w:val="32"/>
          <w:szCs w:val="32"/>
          <w:lang w:val="en-US" w:eastAsia="zh-CN" w:bidi="ar-SA"/>
        </w:rPr>
        <w:t>对企业奖励补助资金的拨款。</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1271.2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486.46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38.27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社会保障和就业支出21.16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城乡社区支出10.86，占0.85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资源勘探工业信息等支出42.36万元，占3.33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商业服务业等支出49.4万元，占3.89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其他支出660.93万元，占52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746.09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1271.2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170.37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300.35</w:t>
      </w:r>
      <w:r>
        <w:rPr>
          <w:rFonts w:ascii="Times New Roman" w:hAnsi="Times New Roman" w:eastAsia="仿宋_GB2312" w:cs="Times New Roman"/>
          <w:sz w:val="32"/>
          <w:szCs w:val="32"/>
        </w:rPr>
        <w:t>万元，其中：</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260.45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86.72</w:t>
      </w:r>
      <w:r>
        <w:rPr>
          <w:rFonts w:ascii="Times New Roman" w:hAnsi="Times New Roman" w:eastAsia="仿宋_GB2312" w:cs="Times New Roman"/>
          <w:sz w:val="32"/>
          <w:szCs w:val="32"/>
        </w:rPr>
        <w:t>%,主要包括</w:t>
      </w:r>
      <w:r>
        <w:rPr>
          <w:rFonts w:hint="eastAsia" w:ascii="仿宋_GB2312" w:hAnsi="仿宋" w:eastAsia="仿宋_GB2312" w:cstheme="minorBidi"/>
          <w:kern w:val="2"/>
          <w:sz w:val="32"/>
          <w:szCs w:val="32"/>
          <w:lang w:val="en-US" w:eastAsia="zh-CN" w:bidi="ar-SA"/>
        </w:rPr>
        <w:t>基本工资、津贴补贴、奖金、绩效工资、机关事业单位基本养老保险、职业年金、职工基本医疗保险。</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13.28</w:t>
      </w:r>
      <w:r>
        <w:rPr>
          <w:rFonts w:ascii="Times New Roman" w:hAnsi="Times New Roman" w:eastAsia="仿宋_GB2312" w:cs="Times New Roman"/>
          <w:sz w:val="32"/>
          <w:szCs w:val="32"/>
        </w:rPr>
        <w:t>%，主要包括</w:t>
      </w:r>
      <w:r>
        <w:rPr>
          <w:rFonts w:hint="eastAsia" w:ascii="仿宋_GB2312" w:hAnsi="仿宋" w:eastAsia="仿宋_GB2312" w:cstheme="minorBidi"/>
          <w:kern w:val="2"/>
          <w:sz w:val="32"/>
          <w:szCs w:val="32"/>
          <w:lang w:val="en-US" w:eastAsia="zh-CN" w:bidi="ar-SA"/>
        </w:rPr>
        <w:t>办公费、印刷费、水费、电费、差旅费、公务接待费、劳务费、工会经费、其他交通费用、其他商品和服务费用。</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楷体_GB2312" w:cs="Times New Roman"/>
          <w:b/>
          <w:bCs/>
          <w:i/>
          <w:color w:val="auto"/>
          <w:sz w:val="32"/>
          <w:szCs w:val="32"/>
        </w:rPr>
        <w:t>（三公经费支出口径应在专业名词解释中予以说明）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53.22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53.22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53.22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万元，比年初预算数（或者上年决算数）减少</w:t>
      </w:r>
      <w:r>
        <w:rPr>
          <w:rFonts w:hint="eastAsia" w:ascii="Times New Roman" w:hAnsi="Times New Roman" w:eastAsia="仿宋_GB2312" w:cs="Times New Roman"/>
          <w:sz w:val="32"/>
          <w:szCs w:val="32"/>
          <w:lang w:val="en-US" w:eastAsia="zh-CN"/>
        </w:rPr>
        <w:t>8.38</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%。主要原因是：</w:t>
      </w:r>
      <w:r>
        <w:rPr>
          <w:rFonts w:hint="eastAsia" w:ascii="仿宋_GB2312" w:hAnsi="仿宋" w:eastAsia="仿宋_GB2312" w:cstheme="minorBidi"/>
          <w:kern w:val="2"/>
          <w:sz w:val="32"/>
          <w:szCs w:val="32"/>
          <w:lang w:val="en-US" w:eastAsia="zh-CN" w:bidi="ar-SA"/>
        </w:rPr>
        <w:t>履行节约，过紧日子</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r>
        <w:rPr>
          <w:rFonts w:hint="eastAsia"/>
          <w:lang w:val="en-US" w:eastAsia="zh-CN"/>
        </w:rPr>
        <w:t xml:space="preserve">              </w:t>
      </w:r>
    </w:p>
    <w:p>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8</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970.85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917.62</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94.52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53.22</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5.48</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招商引资</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制造业</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917.62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53.22</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ind w:firstLine="640" w:firstLineChars="200"/>
        <w:rPr>
          <w:rFonts w:hint="eastAsia" w:ascii="仿宋_GB2312" w:hAnsi="仿宋" w:eastAsia="仿宋_GB2312" w:cstheme="minorBidi"/>
          <w:kern w:val="2"/>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1322.03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1271.2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96.15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分。绩效目标完成情况：</w:t>
      </w:r>
      <w:r>
        <w:rPr>
          <w:rFonts w:hint="eastAsia" w:ascii="Times New Roman" w:hAnsi="Times New Roman" w:eastAsia="仿宋_GB2312" w:cs="Times New Roman"/>
          <w:sz w:val="32"/>
          <w:szCs w:val="32"/>
          <w:lang w:val="en-US" w:eastAsia="zh-CN"/>
        </w:rPr>
        <w:t>一是</w:t>
      </w:r>
      <w:r>
        <w:rPr>
          <w:rFonts w:hint="eastAsia" w:ascii="楷体" w:hAnsi="楷体" w:eastAsia="楷体" w:cs="楷体"/>
          <w:b/>
          <w:bCs/>
          <w:sz w:val="32"/>
          <w:szCs w:val="32"/>
        </w:rPr>
        <w:t>消费市场稳步</w:t>
      </w:r>
      <w:r>
        <w:rPr>
          <w:rFonts w:hint="eastAsia" w:ascii="楷体" w:hAnsi="楷体" w:eastAsia="楷体" w:cs="楷体"/>
          <w:b/>
          <w:bCs/>
          <w:sz w:val="32"/>
          <w:szCs w:val="32"/>
          <w:lang w:val="en-US" w:eastAsia="zh-CN"/>
        </w:rPr>
        <w:t>提振</w:t>
      </w:r>
      <w:r>
        <w:rPr>
          <w:rFonts w:hint="eastAsia" w:ascii="楷体" w:hAnsi="楷体" w:eastAsia="楷体" w:cs="楷体"/>
          <w:b/>
          <w:bCs/>
          <w:sz w:val="32"/>
          <w:szCs w:val="32"/>
        </w:rPr>
        <w:t>。</w:t>
      </w:r>
      <w:r>
        <w:rPr>
          <w:rFonts w:hint="eastAsia" w:ascii="仿宋" w:hAnsi="仿宋" w:eastAsia="仿宋" w:cs="仿宋"/>
          <w:sz w:val="32"/>
          <w:szCs w:val="32"/>
        </w:rPr>
        <w:t>打造道州脐橙、道县灰鹅等网销农特产品矩阵，累计上线单品80余种，开发"道州脐橙"专属销售小程序，线上销售额占比提升至35%</w:t>
      </w:r>
      <w:r>
        <w:rPr>
          <w:rFonts w:hint="eastAsia" w:ascii="仿宋" w:hAnsi="仿宋" w:eastAsia="仿宋" w:cs="仿宋"/>
          <w:sz w:val="32"/>
          <w:szCs w:val="32"/>
          <w:lang w:eastAsia="zh-CN"/>
        </w:rPr>
        <w:t>。</w:t>
      </w:r>
      <w:r>
        <w:rPr>
          <w:rFonts w:hint="eastAsia" w:ascii="仿宋" w:hAnsi="仿宋" w:eastAsia="仿宋" w:cs="仿宋"/>
          <w:sz w:val="32"/>
          <w:szCs w:val="32"/>
        </w:rPr>
        <w:t>深入落实《湖南省提振消费专项行动方案》要求，深化汽车、家电等大宗消费以旧换新，联动134家企业叠加优惠，发放宣传资料超2.5万份。1-1</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eastAsia="zh-CN"/>
        </w:rPr>
        <w:t>预计</w:t>
      </w:r>
      <w:r>
        <w:rPr>
          <w:rFonts w:hint="eastAsia" w:ascii="仿宋" w:hAnsi="仿宋" w:eastAsia="仿宋" w:cs="仿宋"/>
          <w:sz w:val="32"/>
          <w:szCs w:val="32"/>
        </w:rPr>
        <w:t>全县社会消费品零售总额达9</w:t>
      </w:r>
      <w:r>
        <w:rPr>
          <w:rFonts w:hint="eastAsia" w:ascii="仿宋" w:hAnsi="仿宋" w:eastAsia="仿宋" w:cs="仿宋"/>
          <w:sz w:val="32"/>
          <w:szCs w:val="32"/>
          <w:lang w:val="en-US" w:eastAsia="zh-CN"/>
        </w:rPr>
        <w:t>8</w:t>
      </w:r>
      <w:r>
        <w:rPr>
          <w:rFonts w:hint="eastAsia" w:ascii="仿宋" w:hAnsi="仿宋" w:eastAsia="仿宋" w:cs="仿宋"/>
          <w:sz w:val="32"/>
          <w:szCs w:val="32"/>
        </w:rPr>
        <w:t>.48亿元，同比增长5.1%，顺利完成阶段性增长目标；以旧换新政策带动消费超1.6亿元，有效激活大宗消费潜力。</w:t>
      </w:r>
      <w:r>
        <w:rPr>
          <w:rFonts w:hint="eastAsia" w:ascii="仿宋" w:hAnsi="仿宋" w:eastAsia="仿宋" w:cs="仿宋"/>
          <w:sz w:val="32"/>
          <w:szCs w:val="32"/>
          <w:lang w:val="en-US" w:eastAsia="zh-CN"/>
        </w:rPr>
        <w:t>二是</w:t>
      </w:r>
      <w:r>
        <w:rPr>
          <w:rFonts w:hint="eastAsia" w:ascii="楷体" w:hAnsi="楷体" w:eastAsia="楷体" w:cs="楷体"/>
          <w:b/>
          <w:bCs/>
          <w:sz w:val="32"/>
          <w:szCs w:val="32"/>
        </w:rPr>
        <w:t>招商引资成效显著。</w:t>
      </w:r>
      <w:r>
        <w:rPr>
          <w:rFonts w:hint="eastAsia" w:ascii="仿宋" w:hAnsi="仿宋" w:eastAsia="仿宋" w:cs="仿宋"/>
          <w:sz w:val="32"/>
          <w:szCs w:val="32"/>
        </w:rPr>
        <w:t>1-12月，全县签约项目27个，合同引进资金107.24亿元，其中5000万元以上项目24个，圆满完成市级下达任务；湘商回归新注册企业</w:t>
      </w:r>
      <w:r>
        <w:rPr>
          <w:rFonts w:hint="eastAsia" w:ascii="仿宋" w:hAnsi="仿宋" w:eastAsia="仿宋" w:cs="仿宋"/>
          <w:sz w:val="32"/>
          <w:szCs w:val="32"/>
          <w:lang w:val="en-US" w:eastAsia="zh-CN"/>
        </w:rPr>
        <w:t>14</w:t>
      </w:r>
      <w:r>
        <w:rPr>
          <w:rFonts w:hint="eastAsia" w:ascii="仿宋" w:hAnsi="仿宋" w:eastAsia="仿宋" w:cs="仿宋"/>
          <w:sz w:val="32"/>
          <w:szCs w:val="32"/>
        </w:rPr>
        <w:t>家，到位资金2</w:t>
      </w:r>
      <w:r>
        <w:rPr>
          <w:rFonts w:hint="eastAsia" w:ascii="仿宋" w:hAnsi="仿宋" w:eastAsia="仿宋" w:cs="仿宋"/>
          <w:sz w:val="32"/>
          <w:szCs w:val="32"/>
          <w:lang w:val="en-US" w:eastAsia="zh-CN"/>
        </w:rPr>
        <w:t>4</w:t>
      </w:r>
      <w:r>
        <w:rPr>
          <w:rFonts w:hint="eastAsia" w:ascii="仿宋" w:hAnsi="仿宋" w:eastAsia="仿宋" w:cs="仿宋"/>
          <w:sz w:val="32"/>
          <w:szCs w:val="32"/>
        </w:rPr>
        <w:t>.92亿元，成功引进10亿元以上重大项目1个，24个5000万元以上签约项目全部履约开工，12个项目顺利投产达效，项目落地转化率位居全市前列。</w:t>
      </w:r>
      <w:r>
        <w:rPr>
          <w:rFonts w:hint="eastAsia" w:ascii="仿宋" w:hAnsi="仿宋" w:eastAsia="仿宋" w:cs="仿宋"/>
          <w:sz w:val="32"/>
          <w:szCs w:val="32"/>
          <w:lang w:val="en-US" w:eastAsia="zh-CN"/>
        </w:rPr>
        <w:t>三是</w:t>
      </w:r>
      <w:r>
        <w:rPr>
          <w:rFonts w:hint="eastAsia" w:ascii="楷体" w:hAnsi="楷体" w:eastAsia="楷体" w:cs="楷体"/>
          <w:b/>
          <w:bCs/>
          <w:sz w:val="32"/>
          <w:szCs w:val="32"/>
        </w:rPr>
        <w:t>外资外贸稳步提升。</w:t>
      </w:r>
      <w:r>
        <w:rPr>
          <w:rFonts w:hint="eastAsia" w:ascii="仿宋" w:hAnsi="仿宋" w:eastAsia="仿宋" w:cs="仿宋"/>
          <w:sz w:val="32"/>
          <w:szCs w:val="32"/>
        </w:rPr>
        <w:t>新增外贸企业3家，重点培育跨境电商企业2家；成功引进香港亚荣鞋业及配套企业腾硕鞋业，完善制鞋全产业链，截至12月底，实际使用外资20.3万美元。</w:t>
      </w:r>
      <w:r>
        <w:rPr>
          <w:rFonts w:ascii="Times New Roman" w:hAnsi="Times New Roman" w:eastAsia="仿宋_GB2312" w:cs="Times New Roman"/>
          <w:sz w:val="32"/>
          <w:szCs w:val="32"/>
        </w:rPr>
        <w:t>存在的问题及原因</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kern w:val="2"/>
          <w:sz w:val="32"/>
          <w:szCs w:val="32"/>
          <w:lang w:val="en-US" w:eastAsia="zh-CN" w:bidi="ar-SA"/>
        </w:rPr>
        <w:t>因部门整体支出的资金安排和使用上具有不可预见性，在科学设置预算绩效指标上还需进一步加强。由于行政经费少，年初编制的预算不够精确，编制范围不太全面，预算执行情况还有待进一步加强,相关管理制度还有待进一步完善。</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仿宋_GB2312" w:hAnsi="仿宋" w:eastAsia="仿宋_GB2312" w:cstheme="minorBidi"/>
          <w:kern w:val="2"/>
          <w:sz w:val="32"/>
          <w:szCs w:val="32"/>
          <w:lang w:val="en-US" w:eastAsia="zh-CN" w:bidi="ar-SA"/>
        </w:rPr>
        <w:t>加强政策学习，提高思想认识。认真学习《预算法》等相关法规、制度，提高单位领导对全面预算管理及财务工作的重视程度，增强财务人员的预算意识。规范账务处理，提高财务信息质量。严格按照《会计法》等规定执行财务核算，并结合实际情况，完整、准确地披露相关信息，尽可能地做到决算与预算相衔接。</w:t>
      </w:r>
    </w:p>
    <w:p>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13"/>
        <w:overflowPunct w:val="0"/>
        <w:autoSpaceDE/>
        <w:autoSpaceDN/>
        <w:spacing w:line="600" w:lineRule="exact"/>
        <w:ind w:firstLine="640" w:firstLineChars="200"/>
        <w:jc w:val="both"/>
        <w:rPr>
          <w:rFonts w:hint="eastAsia" w:ascii="仿宋_GB2312" w:hAnsi="仿宋" w:eastAsia="仿宋_GB2312" w:cstheme="minorBidi"/>
          <w:color w:val="auto"/>
          <w:kern w:val="2"/>
          <w:sz w:val="32"/>
          <w:szCs w:val="32"/>
          <w:lang w:val="en-US" w:eastAsia="zh-CN" w:bidi="ar-SA"/>
        </w:rPr>
      </w:pPr>
      <w:r>
        <w:rPr>
          <w:rFonts w:hint="eastAsia" w:ascii="仿宋_GB2312" w:hAnsi="仿宋" w:eastAsia="仿宋_GB2312" w:cstheme="minorBidi"/>
          <w:color w:val="auto"/>
          <w:kern w:val="2"/>
          <w:sz w:val="32"/>
          <w:szCs w:val="32"/>
          <w:lang w:val="en-US" w:eastAsia="zh-CN" w:bidi="ar-SA"/>
        </w:rPr>
        <w:t>本部门严格对照 2025 年度绩效自评、部门评价及财政评价结果，全面抓好结果运用与问题整改。在预算安排上，以评价结果为重要依据，优化预算编制流程，提升预算编制精准度与全面性，强化绩效目标刚性约束。在支出结构上，聚焦商务重点工作，优先保障消费提振、招商引资、外贸提质、电商助农等重点领域资金需求，压减非刚性、非重点支出，提升资金配置效率。在资金管理上，针对预算执行不够到位、资金使用预见性不足等问题，强化全过程管控，规范账务处理与核算，推动预算与决算有效衔接，提高资金使用效益。在制度建设上，健全预算绩效、财务内控、公务接待等管理制度，严格执行《预算法》《会计法》及公务接待管理细则，完善审批流程与台账管理，以制度规范提升部门管理水平，切实把绩效评价成果转化为预算管理提质增效的实际成效。</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一</w:t>
      </w:r>
      <w:r>
        <w:rPr>
          <w:rFonts w:ascii="仿宋_GB2312" w:eastAsia="仿宋_GB2312" w:cs="仿宋_GB2312"/>
          <w:color w:val="000000"/>
          <w:sz w:val="32"/>
          <w:szCs w:val="32"/>
        </w:rPr>
        <w:t>、基本支出：是指为保障单位机构正常运转、完成日常工作任务而发生的各项支出，包括用于基本工资、津贴补贴等人员经费以及办公费、印刷费、水电费、办公设备购置等日常公用经费。</w:t>
      </w:r>
      <w:r>
        <w:rPr>
          <w:rFonts w:ascii="仿宋_GB2312" w:eastAsia="仿宋_GB2312" w:cs="仿宋_GB2312"/>
          <w:color w:val="000000"/>
          <w:sz w:val="21"/>
          <w:szCs w:val="21"/>
        </w:rPr>
        <w:t xml:space="preserve"> </w:t>
      </w:r>
    </w:p>
    <w:p>
      <w:pPr>
        <w:spacing w:after="2"/>
        <w:ind w:firstLine="643"/>
        <w:rPr>
          <w:rFonts w:ascii="仿宋_GB2312" w:eastAsia="仿宋_GB2312" w:cs="仿宋_GB2312"/>
          <w:sz w:val="21"/>
          <w:szCs w:val="21"/>
        </w:rPr>
      </w:pPr>
      <w:r>
        <w:rPr>
          <w:rFonts w:hint="eastAsia" w:ascii="仿宋_GB2312" w:eastAsia="仿宋_GB2312" w:cs="仿宋_GB2312"/>
          <w:color w:val="000000"/>
          <w:sz w:val="32"/>
          <w:szCs w:val="32"/>
          <w:lang w:val="en-US" w:eastAsia="zh-CN"/>
        </w:rPr>
        <w:t>二</w:t>
      </w:r>
      <w:r>
        <w:rPr>
          <w:rFonts w:ascii="仿宋_GB2312" w:eastAsia="仿宋_GB2312" w:cs="仿宋_GB2312"/>
          <w:color w:val="000000"/>
          <w:sz w:val="32"/>
          <w:szCs w:val="32"/>
        </w:rPr>
        <w:t>、项目支出：是指单位为完成特定行政工作任务或事业发展目标而发生的支出。</w:t>
      </w:r>
      <w:r>
        <w:rPr>
          <w:rFonts w:ascii="仿宋_GB2312" w:eastAsia="仿宋_GB2312" w:cs="仿宋_GB2312"/>
          <w:color w:val="000000"/>
          <w:sz w:val="21"/>
          <w:szCs w:val="21"/>
        </w:rPr>
        <w:t xml:space="preserve"> </w:t>
      </w:r>
    </w:p>
    <w:p>
      <w:pPr>
        <w:ind w:firstLine="640" w:firstLineChars="200"/>
        <w:rPr>
          <w:rFonts w:hint="eastAsia" w:ascii="仿宋_GB2312" w:hAnsi="仿宋" w:eastAsia="仿宋_GB2312" w:cstheme="minorBidi"/>
          <w:kern w:val="2"/>
          <w:sz w:val="32"/>
          <w:szCs w:val="32"/>
          <w:lang w:val="en-US" w:eastAsia="zh-CN" w:bidi="ar-SA"/>
        </w:rPr>
      </w:pPr>
      <w:r>
        <w:rPr>
          <w:rFonts w:hint="eastAsia" w:ascii="仿宋_GB2312" w:hAnsi="仿宋" w:eastAsia="仿宋_GB2312" w:cstheme="minorBidi"/>
          <w:kern w:val="2"/>
          <w:sz w:val="32"/>
          <w:szCs w:val="32"/>
          <w:lang w:val="en-US" w:eastAsia="zh-CN" w:bidi="ar-SA"/>
        </w:rPr>
        <w:t xml:space="preserve">三、“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 </w:t>
      </w:r>
    </w:p>
    <w:p>
      <w:pPr>
        <w:ind w:firstLine="640" w:firstLineChars="200"/>
        <w:rPr>
          <w:rFonts w:ascii="Times New Roman" w:hAnsi="Times New Roman" w:cs="Times New Roman"/>
          <w:sz w:val="72"/>
          <w:szCs w:val="72"/>
        </w:rPr>
      </w:pPr>
      <w:r>
        <w:rPr>
          <w:rFonts w:hint="eastAsia" w:ascii="仿宋_GB2312" w:hAnsi="仿宋" w:eastAsia="仿宋_GB2312" w:cstheme="minorBidi"/>
          <w:kern w:val="2"/>
          <w:sz w:val="32"/>
          <w:szCs w:val="32"/>
          <w:lang w:val="en-US" w:eastAsia="zh-CN" w:bidi="ar-SA"/>
        </w:rPr>
        <w:t>四、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bookmarkStart w:id="3" w:name="_GoBack"/>
      <w:bookmarkEnd w:id="3"/>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948903-DEBB-48D5-83A9-F155D9A08C0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B262C92E-1371-4AD6-84D7-18A1CC07772A}"/>
  </w:font>
  <w:font w:name="方正小标宋_GBK">
    <w:altName w:val="微软雅黑"/>
    <w:panose1 w:val="03000509000000000000"/>
    <w:charset w:val="86"/>
    <w:family w:val="script"/>
    <w:pitch w:val="default"/>
    <w:sig w:usb0="00000000" w:usb1="00000000" w:usb2="00000000" w:usb3="00000000" w:csb0="00040000" w:csb1="00000000"/>
    <w:embedRegular r:id="rId3" w:fontKey="{D2566F83-CCDA-41B3-B94C-744A54021BB7}"/>
  </w:font>
  <w:font w:name="仿宋_GB2312">
    <w:panose1 w:val="02010609030101010101"/>
    <w:charset w:val="86"/>
    <w:family w:val="modern"/>
    <w:pitch w:val="default"/>
    <w:sig w:usb0="00000001" w:usb1="080E0000" w:usb2="00000000" w:usb3="00000000" w:csb0="00040000" w:csb1="00000000"/>
    <w:embedRegular r:id="rId4" w:fontKey="{A403606C-D94E-47C1-884D-6C22DD2BF039}"/>
  </w:font>
  <w:font w:name="仿宋">
    <w:panose1 w:val="02010609060101010101"/>
    <w:charset w:val="86"/>
    <w:family w:val="auto"/>
    <w:pitch w:val="default"/>
    <w:sig w:usb0="800002BF" w:usb1="38CF7CFA" w:usb2="00000016" w:usb3="00000000" w:csb0="00040001" w:csb1="00000000"/>
    <w:embedRegular r:id="rId5" w:fontKey="{20F2D3E9-2BDF-4A5C-99D7-E364438D64D2}"/>
  </w:font>
  <w:font w:name="华文中宋">
    <w:altName w:val="宋体"/>
    <w:panose1 w:val="02010600040101010101"/>
    <w:charset w:val="86"/>
    <w:family w:val="auto"/>
    <w:pitch w:val="default"/>
    <w:sig w:usb0="00000000" w:usb1="00000000" w:usb2="00000000" w:usb3="00000000" w:csb0="0004009F" w:csb1="DFD70000"/>
    <w:embedRegular r:id="rId6" w:fontKey="{0B6F93CD-3343-4ED8-A1A1-CF7B02A75676}"/>
  </w:font>
  <w:font w:name="楷体_GB2312">
    <w:panose1 w:val="02010609030101010101"/>
    <w:charset w:val="86"/>
    <w:family w:val="modern"/>
    <w:pitch w:val="default"/>
    <w:sig w:usb0="00000001" w:usb1="080E0000" w:usb2="00000000" w:usb3="00000000" w:csb0="00040000" w:csb1="00000000"/>
    <w:embedRegular r:id="rId7" w:fontKey="{848DB4FD-60CF-462E-AAC9-0B93C40DACA4}"/>
  </w:font>
  <w:font w:name="楷体">
    <w:panose1 w:val="02010609060101010101"/>
    <w:charset w:val="86"/>
    <w:family w:val="modern"/>
    <w:pitch w:val="default"/>
    <w:sig w:usb0="800002BF" w:usb1="38CF7CFA" w:usb2="00000016" w:usb3="00000000" w:csb0="00040001" w:csb1="00000000"/>
    <w:embedRegular r:id="rId8" w:fontKey="{2CC12E90-4832-45F9-A982-86706F88C4B3}"/>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A429BD"/>
    <w:rsid w:val="040F1BAA"/>
    <w:rsid w:val="04CE2A73"/>
    <w:rsid w:val="05CD3FD8"/>
    <w:rsid w:val="0766591A"/>
    <w:rsid w:val="07D57174"/>
    <w:rsid w:val="08490E71"/>
    <w:rsid w:val="088C3CD7"/>
    <w:rsid w:val="08F510A4"/>
    <w:rsid w:val="092C20BF"/>
    <w:rsid w:val="0C7E602C"/>
    <w:rsid w:val="114854F1"/>
    <w:rsid w:val="11A6744E"/>
    <w:rsid w:val="161E7712"/>
    <w:rsid w:val="16B70AB9"/>
    <w:rsid w:val="16C136E5"/>
    <w:rsid w:val="1C9C00FE"/>
    <w:rsid w:val="1D152095"/>
    <w:rsid w:val="1D2624F4"/>
    <w:rsid w:val="1D97DEFF"/>
    <w:rsid w:val="1DFF72E5"/>
    <w:rsid w:val="1E05469B"/>
    <w:rsid w:val="1E473C0D"/>
    <w:rsid w:val="1EFC6F07"/>
    <w:rsid w:val="21696E53"/>
    <w:rsid w:val="219C05E2"/>
    <w:rsid w:val="23CD1735"/>
    <w:rsid w:val="23E76EA7"/>
    <w:rsid w:val="24C518D9"/>
    <w:rsid w:val="273F480B"/>
    <w:rsid w:val="278F04AC"/>
    <w:rsid w:val="282C4737"/>
    <w:rsid w:val="28C57065"/>
    <w:rsid w:val="2D2E08B5"/>
    <w:rsid w:val="2E382087"/>
    <w:rsid w:val="2FCB2133"/>
    <w:rsid w:val="2FDF85B8"/>
    <w:rsid w:val="2FFFEE04"/>
    <w:rsid w:val="30DD6F16"/>
    <w:rsid w:val="30F53C3C"/>
    <w:rsid w:val="31B47C77"/>
    <w:rsid w:val="322F676F"/>
    <w:rsid w:val="33E800AC"/>
    <w:rsid w:val="34DF85B0"/>
    <w:rsid w:val="351B1DBB"/>
    <w:rsid w:val="36362BA5"/>
    <w:rsid w:val="372A4537"/>
    <w:rsid w:val="388365F5"/>
    <w:rsid w:val="3AD969A0"/>
    <w:rsid w:val="3B8F36BC"/>
    <w:rsid w:val="3D127F47"/>
    <w:rsid w:val="3EEC0B43"/>
    <w:rsid w:val="41FF0A9A"/>
    <w:rsid w:val="4457770E"/>
    <w:rsid w:val="46405B25"/>
    <w:rsid w:val="477305A8"/>
    <w:rsid w:val="491FF225"/>
    <w:rsid w:val="4E1E499E"/>
    <w:rsid w:val="4F7D74A2"/>
    <w:rsid w:val="4FA40ED3"/>
    <w:rsid w:val="4FFD214C"/>
    <w:rsid w:val="50C25AB5"/>
    <w:rsid w:val="519D39C9"/>
    <w:rsid w:val="558603BE"/>
    <w:rsid w:val="574F7976"/>
    <w:rsid w:val="5777D4F5"/>
    <w:rsid w:val="57896FF8"/>
    <w:rsid w:val="59DD8326"/>
    <w:rsid w:val="5A2E7D17"/>
    <w:rsid w:val="5B523ED9"/>
    <w:rsid w:val="5B66204A"/>
    <w:rsid w:val="5CDC7EFE"/>
    <w:rsid w:val="5DEF592A"/>
    <w:rsid w:val="5EC944B2"/>
    <w:rsid w:val="5ED370DF"/>
    <w:rsid w:val="5F061262"/>
    <w:rsid w:val="5F777B86"/>
    <w:rsid w:val="5F8913FD"/>
    <w:rsid w:val="5FC6BB1E"/>
    <w:rsid w:val="5FF720F1"/>
    <w:rsid w:val="625974FA"/>
    <w:rsid w:val="63BC6393"/>
    <w:rsid w:val="65B03CD6"/>
    <w:rsid w:val="671B1623"/>
    <w:rsid w:val="674B1DDA"/>
    <w:rsid w:val="67FF5C0B"/>
    <w:rsid w:val="686D50E9"/>
    <w:rsid w:val="69BA0107"/>
    <w:rsid w:val="69F01538"/>
    <w:rsid w:val="6B146AB5"/>
    <w:rsid w:val="6C3A079D"/>
    <w:rsid w:val="6CA10C16"/>
    <w:rsid w:val="6CB96DE9"/>
    <w:rsid w:val="6CBA00A8"/>
    <w:rsid w:val="6E423939"/>
    <w:rsid w:val="6EFA4214"/>
    <w:rsid w:val="6EFC0924"/>
    <w:rsid w:val="6F1620A4"/>
    <w:rsid w:val="6FB74722"/>
    <w:rsid w:val="6FEF8B7E"/>
    <w:rsid w:val="7019691C"/>
    <w:rsid w:val="71A6591B"/>
    <w:rsid w:val="71CF7BDA"/>
    <w:rsid w:val="71DB3B23"/>
    <w:rsid w:val="72507E40"/>
    <w:rsid w:val="737D59BA"/>
    <w:rsid w:val="74010B7E"/>
    <w:rsid w:val="77C37683"/>
    <w:rsid w:val="79A27982"/>
    <w:rsid w:val="79D19834"/>
    <w:rsid w:val="79FF515B"/>
    <w:rsid w:val="7A756E44"/>
    <w:rsid w:val="7B6C6C16"/>
    <w:rsid w:val="7BA051AE"/>
    <w:rsid w:val="7BF549BF"/>
    <w:rsid w:val="7CD51E1C"/>
    <w:rsid w:val="7D143195"/>
    <w:rsid w:val="7E581254"/>
    <w:rsid w:val="7E9E1962"/>
    <w:rsid w:val="7E9F11B4"/>
    <w:rsid w:val="7EAF0B77"/>
    <w:rsid w:val="7F37EC1E"/>
    <w:rsid w:val="7F7DCD9D"/>
    <w:rsid w:val="7F970A6F"/>
    <w:rsid w:val="7F9A1827"/>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styleId="10">
    <w:name w:val="Strong"/>
    <w:basedOn w:val="9"/>
    <w:qFormat/>
    <w:uiPriority w:val="22"/>
    <w:rPr>
      <w:b/>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4"/>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1830</Words>
  <Characters>1840</Characters>
  <Lines>69</Lines>
  <Paragraphs>19</Paragraphs>
  <TotalTime>40</TotalTime>
  <ScaleCrop>false</ScaleCrop>
  <LinksUpToDate>false</LinksUpToDate>
  <CharactersWithSpaces>1889</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2026-09-09T02:14:00Z</cp:lastPrinted>
  <dcterms:modified xsi:type="dcterms:W3CDTF">2026-09-15T03:14:42Z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eyJoZGlkIjoiNTJhZmI3NWU3MjI4ZDkyYjE3ZDdlZDJlMTI4ZTFjNzkiLCJ1c2VySWQiOiI3MTA2NDI4OTQifQ==</vt:lpwstr>
  </property>
</Properties>
</file>