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道县财政局</w:t>
      </w:r>
      <w:r>
        <w:rPr>
          <w:rFonts w:ascii="Times New Roman" w:hAnsi="Times New Roman" w:eastAsia="方正小标宋简体" w:cs="Times New Roman"/>
          <w:sz w:val="72"/>
          <w:szCs w:val="72"/>
        </w:rPr>
        <w:t>部门决算</w:t>
      </w:r>
    </w:p>
    <w:p>
      <w:pPr>
        <w:pStyle w:val="14"/>
        <w:jc w:val="center"/>
        <w:rPr>
          <w:rFonts w:ascii="Times New Roman" w:hAnsi="Times New Roman" w:eastAsia="方正小标宋_GBK" w:cs="Times New Roman"/>
          <w:sz w:val="56"/>
          <w:szCs w:val="56"/>
        </w:rPr>
      </w:pPr>
    </w:p>
    <w:p>
      <w:pPr>
        <w:pStyle w:val="14"/>
        <w:jc w:val="center"/>
        <w:rPr>
          <w:rFonts w:ascii="Times New Roman" w:hAnsi="Times New Roman" w:cs="Times New Roman"/>
          <w:sz w:val="56"/>
          <w:szCs w:val="56"/>
        </w:rPr>
      </w:pPr>
    </w:p>
    <w:p>
      <w:pPr>
        <w:pStyle w:val="14"/>
        <w:rPr>
          <w:rFonts w:ascii="Times New Roman" w:hAnsi="Times New Roman" w:cs="Times New Roman"/>
          <w:sz w:val="56"/>
          <w:szCs w:val="56"/>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jc w:val="center"/>
        <w:rPr>
          <w:rFonts w:ascii="Times New Roman" w:hAnsi="Times New Roman" w:cs="Times New Roman"/>
          <w:sz w:val="32"/>
          <w:szCs w:val="32"/>
        </w:rPr>
      </w:pPr>
    </w:p>
    <w:p>
      <w:pPr>
        <w:pStyle w:val="14"/>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4"/>
        <w:spacing w:line="600" w:lineRule="exact"/>
        <w:jc w:val="both"/>
        <w:rPr>
          <w:rFonts w:ascii="Times New Roman" w:hAnsi="Times New Roman" w:cs="Times New Roman"/>
          <w:b/>
          <w:sz w:val="36"/>
          <w:szCs w:val="28"/>
        </w:r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4"/>
        <w:spacing w:line="600" w:lineRule="exact"/>
        <w:jc w:val="center"/>
        <w:rPr>
          <w:rFonts w:ascii="Times New Roman" w:hAnsi="Times New Roman" w:cs="Times New Roman"/>
          <w:b/>
          <w:sz w:val="36"/>
          <w:szCs w:val="28"/>
        </w:rPr>
      </w:pPr>
    </w:p>
    <w:p>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道县财政局</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道县财政局</w:t>
      </w:r>
      <w:r>
        <w:rPr>
          <w:rFonts w:ascii="Times New Roman" w:hAnsi="Times New Roman" w:eastAsia="方正小标宋_GBK" w:cs="Times New Roman"/>
          <w:sz w:val="52"/>
          <w:szCs w:val="52"/>
        </w:rPr>
        <w:t>概况</w:t>
      </w:r>
    </w:p>
    <w:p>
      <w:pPr>
        <w:pStyle w:val="4"/>
        <w:ind w:left="0" w:leftChars="0" w:firstLine="0" w:firstLineChars="0"/>
        <w:rPr>
          <w:rFonts w:ascii="Times New Roman" w:hAnsi="Times New Roman" w:cs="Times New Roman"/>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组织贯彻执行国家、省、市财税方针政策，拟订和执行全县财政制度、改革方案，指导全县财政工作;分析预测宏观经济形势;提出运用财税政策实施宏观调控和综合平衡社会财力的建议;贯彻执行有关分配政策，完善鼓励公益事业发展的财税意见。</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二</w:t>
      </w:r>
      <w:r>
        <w:rPr>
          <w:rFonts w:hint="eastAsia" w:ascii="Times New Roman" w:hAnsi="Times New Roman" w:eastAsia="仿宋_GB2312" w:cs="仿宋_GB2312"/>
          <w:color w:val="000000" w:themeColor="text1"/>
          <w:sz w:val="32"/>
          <w:szCs w:val="32"/>
          <w14:textFill>
            <w14:solidFill>
              <w14:schemeClr w14:val="tx1"/>
            </w14:solidFill>
          </w14:textFill>
        </w:rPr>
        <w:t>）起草财政、财务、会计管理规范性文件并监督实施。</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三</w:t>
      </w:r>
      <w:r>
        <w:rPr>
          <w:rFonts w:hint="eastAsia" w:ascii="Times New Roman" w:hAnsi="Times New Roman" w:eastAsia="仿宋_GB2312" w:cs="仿宋_GB2312"/>
          <w:color w:val="000000" w:themeColor="text1"/>
          <w:sz w:val="32"/>
          <w:szCs w:val="32"/>
          <w14:textFill>
            <w14:solidFill>
              <w14:schemeClr w14:val="tx1"/>
            </w14:solidFill>
          </w14:textFill>
        </w:rPr>
        <w:t>）承担县本级各项财政收支管理的责任。负责编制年度县本级预决算草案并组织实行。代编全县财政收支预算，汇总全县财政总决算;受县人民政府委托，向县人民代表大会报告县本级、全县预算及其执行情况，向县人大常委会报告决算。组织制定县本级经费开支标准、定额，负责审核批复部门(单位)的年度预决算。</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四</w:t>
      </w:r>
      <w:r>
        <w:rPr>
          <w:rFonts w:hint="eastAsia" w:ascii="Times New Roman" w:hAnsi="Times New Roman" w:eastAsia="仿宋_GB2312" w:cs="仿宋_GB2312"/>
          <w:color w:val="000000" w:themeColor="text1"/>
          <w:sz w:val="32"/>
          <w:szCs w:val="32"/>
          <w14:textFill>
            <w14:solidFill>
              <w14:schemeClr w14:val="tx1"/>
            </w14:solidFill>
          </w14:textFill>
        </w:rPr>
        <w:t>）负责政府非税收入管理，负责政府性基金管理，按规定管理行政事业性收费。管理财政票据。贯彻执行彩票监督管理政策有关办法，管理彩票市场，会同有关部门监督和管理彩票公益金，管理其他彩票资金。</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五</w:t>
      </w:r>
      <w:r>
        <w:rPr>
          <w:rFonts w:hint="eastAsia" w:ascii="Times New Roman" w:hAnsi="Times New Roman" w:eastAsia="仿宋_GB2312" w:cs="仿宋_GB2312"/>
          <w:color w:val="000000" w:themeColor="text1"/>
          <w:sz w:val="32"/>
          <w:szCs w:val="32"/>
          <w14:textFill>
            <w14:solidFill>
              <w14:schemeClr w14:val="tx1"/>
            </w14:solidFill>
          </w14:textFill>
        </w:rPr>
        <w:t>）贯彻执行国库管理制度、国库集中支付制度，指导和监督县本级国库业务，按规定开展国库现金管理工作。负责制定政府采购制度并监督管理。</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六</w:t>
      </w:r>
      <w:r>
        <w:rPr>
          <w:rFonts w:hint="eastAsia" w:ascii="Times New Roman" w:hAnsi="Times New Roman" w:eastAsia="仿宋_GB2312" w:cs="仿宋_GB2312"/>
          <w:color w:val="000000" w:themeColor="text1"/>
          <w:sz w:val="32"/>
          <w:szCs w:val="32"/>
          <w14:textFill>
            <w14:solidFill>
              <w14:schemeClr w14:val="tx1"/>
            </w14:solidFill>
          </w14:textFill>
        </w:rPr>
        <w:t>）贯彻执行国家、省、市税收法律、行政法规和税收调整政策，反馈政策执行情况，提出调整建议。参与县管理权限内有关税收政策及税收政策调整方案的调查研究，提出对策建议。</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七</w:t>
      </w:r>
      <w:r>
        <w:rPr>
          <w:rFonts w:hint="eastAsia" w:ascii="Times New Roman" w:hAnsi="Times New Roman" w:eastAsia="仿宋_GB2312" w:cs="仿宋_GB2312"/>
          <w:color w:val="000000" w:themeColor="text1"/>
          <w:sz w:val="32"/>
          <w:szCs w:val="32"/>
          <w14:textFill>
            <w14:solidFill>
              <w14:schemeClr w14:val="tx1"/>
            </w14:solidFill>
          </w14:textFill>
        </w:rPr>
        <w:t>）负责制定全县行政事业单位国有资产管理规章制度，会同有关部门管理行政事业单位国有资产，制定需要全县统一规定的开支标准和支出办法，负责财政预算内行政、事业单位和社会团体的非贸易外汇管理。</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八</w:t>
      </w:r>
      <w:r>
        <w:rPr>
          <w:rFonts w:hint="eastAsia" w:ascii="Times New Roman" w:hAnsi="Times New Roman" w:eastAsia="仿宋_GB2312" w:cs="仿宋_GB2312"/>
          <w:color w:val="000000" w:themeColor="text1"/>
          <w:sz w:val="32"/>
          <w:szCs w:val="32"/>
          <w14:textFill>
            <w14:solidFill>
              <w14:schemeClr w14:val="tx1"/>
            </w14:solidFill>
          </w14:textFill>
        </w:rPr>
        <w:t>）负责审核和汇总编制全县国有资本经营预决算草案，制定国有资本经营预算的制度和办法，收取县本级企业国有资本收益，组织实施企业财务制度，按规定管理地方金融类企业国有资产，参与拟订企业国有资产管理相关制度，负责县级国有宣传文化、金融类企业的国有资产管理，按规定管理资产评估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九</w:t>
      </w:r>
      <w:r>
        <w:rPr>
          <w:rFonts w:hint="eastAsia" w:ascii="Times New Roman" w:hAnsi="Times New Roman" w:eastAsia="仿宋_GB2312" w:cs="仿宋_GB2312"/>
          <w:color w:val="000000" w:themeColor="text1"/>
          <w:sz w:val="32"/>
          <w:szCs w:val="32"/>
          <w14:textFill>
            <w14:solidFill>
              <w14:schemeClr w14:val="tx1"/>
            </w14:solidFill>
          </w14:textFill>
        </w:rPr>
        <w:t>）负责办理和监督县财政经济发展支出、县级政府性投资项目的财政拨款，参与拟订县建设投资的有关规定，组织实施基本建设财务制度，负责有关政策性补贴和专项储备资金财政管理工作。负责农业综合开发管理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十</w:t>
      </w:r>
      <w:r>
        <w:rPr>
          <w:rFonts w:hint="eastAsia" w:ascii="Times New Roman" w:hAnsi="Times New Roman" w:eastAsia="仿宋_GB2312" w:cs="仿宋_GB2312"/>
          <w:color w:val="000000" w:themeColor="text1"/>
          <w:sz w:val="32"/>
          <w:szCs w:val="32"/>
          <w14:textFill>
            <w14:solidFill>
              <w14:schemeClr w14:val="tx1"/>
            </w14:solidFill>
          </w14:textFill>
        </w:rPr>
        <w:t>）会同有关部门管理全县财政社会保障和就业及医疗卫生支出，组织实施社会保障资金(基金)的财务管理制度，编制县社会保障预决算草案。</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十一</w:t>
      </w:r>
      <w:r>
        <w:rPr>
          <w:rFonts w:hint="eastAsia" w:ascii="Times New Roman" w:hAnsi="Times New Roman" w:eastAsia="仿宋_GB2312" w:cs="仿宋_GB2312"/>
          <w:color w:val="000000" w:themeColor="text1"/>
          <w:sz w:val="32"/>
          <w:szCs w:val="32"/>
          <w14:textFill>
            <w14:solidFill>
              <w14:schemeClr w14:val="tx1"/>
            </w14:solidFill>
          </w14:textFill>
        </w:rPr>
        <w:t>）贯彻执行政府内外债务管理的政策、制度和办法，防范财政风险。负责统一管理县政府外债，制定基本管理制度。按规定管理外国政府和国际金融组织贷(赠)款。承担财税领域交流与合作的具体工作。</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十二</w:t>
      </w:r>
      <w:r>
        <w:rPr>
          <w:rFonts w:hint="eastAsia" w:ascii="Times New Roman" w:hAnsi="Times New Roman" w:eastAsia="仿宋_GB2312" w:cs="仿宋_GB2312"/>
          <w:color w:val="000000" w:themeColor="text1"/>
          <w:sz w:val="32"/>
          <w:szCs w:val="32"/>
          <w14:textFill>
            <w14:solidFill>
              <w14:schemeClr w14:val="tx1"/>
            </w14:solidFill>
          </w14:textFill>
        </w:rPr>
        <w:t>）负责管理全县的会计工作，监督和规范会计行为，组织实施国家统一的会计制度，在全县组织实施会计行政法规规章，指导和监督注册会计师事务所的业务，指导和管理社会审计。</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十三</w:t>
      </w:r>
      <w:r>
        <w:rPr>
          <w:rFonts w:hint="eastAsia" w:ascii="Times New Roman" w:hAnsi="Times New Roman" w:eastAsia="仿宋_GB2312" w:cs="仿宋_GB2312"/>
          <w:color w:val="000000" w:themeColor="text1"/>
          <w:sz w:val="32"/>
          <w:szCs w:val="32"/>
          <w14:textFill>
            <w14:solidFill>
              <w14:schemeClr w14:val="tx1"/>
            </w14:solidFill>
          </w14:textFill>
        </w:rPr>
        <w:t>）监督检查财税法规、政策的执行情况，反映财政收支管理中的重大问题，提出加强财政管理的意见和建议。</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05" w:afterAutospacing="0" w:line="18" w:lineRule="atLeast"/>
        <w:ind w:right="0"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w:t>
      </w:r>
      <w:r>
        <w:rPr>
          <w:rFonts w:hint="eastAsia" w:ascii="Times New Roman" w:hAnsi="Times New Roman" w:eastAsia="仿宋_GB2312" w:cs="仿宋_GB2312"/>
          <w:color w:val="000000" w:themeColor="text1"/>
          <w:sz w:val="32"/>
          <w:szCs w:val="32"/>
          <w:lang w:val="en-US" w:eastAsia="zh-CN"/>
          <w14:textFill>
            <w14:solidFill>
              <w14:schemeClr w14:val="tx1"/>
            </w14:solidFill>
          </w14:textFill>
        </w:rPr>
        <w:t>十四</w:t>
      </w:r>
      <w:r>
        <w:rPr>
          <w:rFonts w:hint="eastAsia" w:ascii="Times New Roman" w:hAnsi="Times New Roman" w:eastAsia="仿宋_GB2312" w:cs="仿宋_GB2312"/>
          <w:color w:val="000000" w:themeColor="text1"/>
          <w:sz w:val="32"/>
          <w:szCs w:val="32"/>
          <w14:textFill>
            <w14:solidFill>
              <w14:schemeClr w14:val="tx1"/>
            </w14:solidFill>
          </w14:textFill>
        </w:rPr>
        <w:t>）承办县人民政府交办的其他事项。</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ascii="Times New Roman" w:hAnsi="Times New Roman" w:eastAsia="仿宋_GB2312" w:cs="Times New Roman"/>
          <w:bCs/>
          <w:kern w:val="0"/>
          <w:sz w:val="32"/>
          <w:szCs w:val="32"/>
        </w:rPr>
        <w:t>（一）内设机构设置。</w:t>
      </w:r>
      <w:bookmarkStart w:id="0" w:name="ORG_SET"/>
      <w:r>
        <w:rPr>
          <w:rFonts w:hint="eastAsia" w:ascii="仿宋_GB2312" w:hAnsi="仿宋_GB2312" w:eastAsia="仿宋_GB2312" w:cs="仿宋_GB2312"/>
          <w:color w:val="000000"/>
          <w:sz w:val="32"/>
          <w:szCs w:val="32"/>
          <w:shd w:val="clear" w:color="auto" w:fill="FFFFFF"/>
        </w:rPr>
        <w:t>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年部门预算编制范围包括局机关及所属事业单位。道县财政局内设</w:t>
      </w:r>
      <w:r>
        <w:rPr>
          <w:rFonts w:hint="eastAsia" w:ascii="仿宋_GB2312" w:hAnsi="仿宋_GB2312" w:eastAsia="仿宋_GB2312" w:cs="仿宋_GB2312"/>
          <w:sz w:val="32"/>
          <w:szCs w:val="32"/>
          <w:lang w:val="en-US" w:eastAsia="zh-CN"/>
        </w:rPr>
        <w:t>办公室（党建室）、乡镇财政管理股、税政法规股、预算股、行政股、政法股、科教股、文化股、农业农村股、企业股、金融股、债务股、政工股13个</w:t>
      </w:r>
      <w:r>
        <w:rPr>
          <w:rFonts w:hint="eastAsia" w:ascii="仿宋_GB2312" w:hAnsi="仿宋_GB2312" w:eastAsia="仿宋_GB2312" w:cs="仿宋_GB2312"/>
          <w:color w:val="000000"/>
          <w:sz w:val="32"/>
          <w:szCs w:val="32"/>
          <w:shd w:val="clear" w:color="auto" w:fill="FFFFFF"/>
        </w:rPr>
        <w:t>内设机构</w:t>
      </w:r>
      <w:bookmarkEnd w:id="0"/>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sz w:val="32"/>
          <w:szCs w:val="32"/>
          <w:lang w:val="en-US" w:eastAsia="zh-CN"/>
        </w:rPr>
        <w:t>下属参公单位2个：道县财政事务中心，道县国库集中支付中心；事业单位7个：道县预算绩效评价中心、道县财政综合规划中心、道县财政经济建设中心、道县财政社会保障中心、道县政府采购事务中心、道县财政局信息中心、道县财政投资评审中心。</w:t>
      </w:r>
    </w:p>
    <w:p>
      <w:pPr>
        <w:widowControl/>
        <w:spacing w:line="600" w:lineRule="exact"/>
        <w:ind w:firstLine="640" w:firstLineChars="200"/>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道县财政局</w:t>
      </w:r>
      <w:r>
        <w:rPr>
          <w:rFonts w:hint="eastAsia" w:ascii="Times New Roman" w:hAnsi="Times New Roman" w:eastAsia="仿宋_GB2312" w:cs="仿宋_GB2312"/>
          <w:bCs/>
          <w:color w:val="000000" w:themeColor="text1"/>
          <w:kern w:val="0"/>
          <w:sz w:val="32"/>
          <w:szCs w:val="32"/>
          <w14:textFill>
            <w14:solidFill>
              <w14:schemeClr w14:val="tx1"/>
            </w14:solidFill>
          </w14:textFill>
        </w:rPr>
        <w:t>只有本级，没有下设二级决算单位，因此，纳入202</w:t>
      </w: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5</w:t>
      </w:r>
      <w:r>
        <w:rPr>
          <w:rFonts w:hint="eastAsia" w:ascii="Times New Roman" w:hAnsi="Times New Roman" w:eastAsia="仿宋_GB2312" w:cs="仿宋_GB2312"/>
          <w:bCs/>
          <w:color w:val="000000" w:themeColor="text1"/>
          <w:kern w:val="0"/>
          <w:sz w:val="32"/>
          <w:szCs w:val="32"/>
          <w14:textFill>
            <w14:solidFill>
              <w14:schemeClr w14:val="tx1"/>
            </w14:solidFill>
          </w14:textFill>
        </w:rPr>
        <w:t>年部门决算编制范围的只有</w:t>
      </w:r>
      <w:r>
        <w:rPr>
          <w:rFonts w:hint="eastAsia" w:ascii="Times New Roman" w:hAnsi="Times New Roman" w:eastAsia="仿宋_GB2312" w:cs="仿宋_GB2312"/>
          <w:bCs/>
          <w:color w:val="000000" w:themeColor="text1"/>
          <w:kern w:val="0"/>
          <w:sz w:val="32"/>
          <w:szCs w:val="32"/>
          <w:lang w:val="en-US" w:eastAsia="zh-CN"/>
          <w14:textFill>
            <w14:solidFill>
              <w14:schemeClr w14:val="tx1"/>
            </w14:solidFill>
          </w14:textFill>
        </w:rPr>
        <w:t>道县财政局</w:t>
      </w:r>
      <w:r>
        <w:rPr>
          <w:rFonts w:hint="eastAsia" w:ascii="Times New Roman" w:hAnsi="Times New Roman" w:eastAsia="仿宋_GB2312" w:cs="仿宋_GB2312"/>
          <w:bCs/>
          <w:color w:val="000000" w:themeColor="text1"/>
          <w:kern w:val="0"/>
          <w:sz w:val="32"/>
          <w:szCs w:val="32"/>
          <w14:textFill>
            <w14:solidFill>
              <w14:schemeClr w14:val="tx1"/>
            </w14:solidFill>
          </w14:textFill>
        </w:rPr>
        <w:t>本级。</w:t>
      </w:r>
    </w:p>
    <w:p>
      <w:pPr>
        <w:widowControl/>
        <w:spacing w:line="600" w:lineRule="exact"/>
        <w:rPr>
          <w:rFonts w:ascii="Times New Roman" w:hAnsi="Times New Roman" w:eastAsia="仿宋_GB2312" w:cs="Times New Roman"/>
          <w:bCs/>
          <w:kern w:val="0"/>
          <w:sz w:val="32"/>
          <w:szCs w:val="32"/>
        </w:rPr>
      </w:pP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652"/>
        <w:gridCol w:w="834"/>
        <w:gridCol w:w="1334"/>
        <w:gridCol w:w="4759"/>
        <w:gridCol w:w="834"/>
        <w:gridCol w:w="1483"/>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2470.72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2"/>
                <w:lang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58.24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lang w:eastAsia="zh-CN"/>
              </w:rPr>
              <w:t>九</w:t>
            </w:r>
            <w:r>
              <w:rPr>
                <w:rFonts w:hint="eastAsia" w:ascii="Times New Roman" w:hAnsi="Times New Roman" w:eastAsia="仿宋_GB2312" w:cs="Times New Roman"/>
                <w:color w:val="000000"/>
                <w:sz w:val="20"/>
                <w:szCs w:val="20"/>
              </w:rPr>
              <w:t>、其他支出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10.46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bCs/>
                <w:i w:val="0"/>
                <w:iCs w:val="0"/>
                <w:color w:val="262626"/>
                <w:kern w:val="2"/>
                <w:sz w:val="22"/>
                <w:szCs w:val="22"/>
                <w:u w:val="none"/>
                <w:lang w:val="en-US" w:eastAsia="zh-CN" w:bidi="ar-SA"/>
              </w:rPr>
            </w:pPr>
            <w:r>
              <w:rPr>
                <w:rFonts w:hint="eastAsia" w:ascii="宋体" w:hAnsi="宋体" w:eastAsia="宋体" w:cs="宋体"/>
                <w:b/>
                <w:bCs/>
                <w:i w:val="0"/>
                <w:iCs w:val="0"/>
                <w:color w:val="262626"/>
                <w:kern w:val="0"/>
                <w:sz w:val="22"/>
                <w:szCs w:val="22"/>
                <w:u w:val="none"/>
                <w:lang w:val="en-US" w:eastAsia="zh-CN" w:bidi="ar"/>
              </w:rPr>
              <w:t xml:space="preserve">25,39.42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b/>
                <w:bCs/>
                <w:i w:val="0"/>
                <w:iCs w:val="0"/>
                <w:color w:val="262626"/>
                <w:kern w:val="2"/>
                <w:sz w:val="22"/>
                <w:szCs w:val="22"/>
                <w:u w:val="none"/>
                <w:lang w:val="en-US" w:eastAsia="zh-CN" w:bidi="ar-SA"/>
              </w:rPr>
            </w:pPr>
            <w:r>
              <w:rPr>
                <w:rFonts w:hint="eastAsia" w:ascii="宋体" w:hAnsi="宋体" w:eastAsia="宋体" w:cs="宋体"/>
                <w:b/>
                <w:bCs/>
                <w:i w:val="0"/>
                <w:iCs w:val="0"/>
                <w:color w:val="262626"/>
                <w:kern w:val="0"/>
                <w:sz w:val="22"/>
                <w:szCs w:val="22"/>
                <w:u w:val="none"/>
                <w:lang w:val="en-US" w:eastAsia="zh-CN" w:bidi="ar"/>
              </w:rPr>
              <w:t xml:space="preserve">25,39.42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2010601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rPr>
              <w:t>1996</w:t>
            </w:r>
            <w:r>
              <w:rPr>
                <w:rFonts w:hint="eastAsia" w:ascii="Times New Roman" w:hAnsi="Times New Roman" w:eastAsia="仿宋_GB2312" w:cs="Times New Roman"/>
                <w:lang w:val="en-US" w:eastAsia="zh-CN"/>
              </w:rPr>
              <w:t>.51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1996.51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2010604</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预算改革业务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11.93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11.93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2010607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信息化建设</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57.93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57.93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2010608</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财政委托业务支出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139.69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139.69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2010699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其他财政事务支出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264.42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264.42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2013999</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hint="eastAsia" w:ascii="Times New Roman" w:hAnsi="Times New Roman" w:eastAsia="仿宋_GB2312" w:cs="Times New Roman"/>
              </w:rPr>
              <w:t>其他社会工作事务支出</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0.24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0.24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ind w:firstLine="210" w:firstLineChars="100"/>
              <w:rPr>
                <w:rFonts w:ascii="Times New Roman" w:hAnsi="Times New Roman" w:eastAsia="仿宋_GB2312" w:cs="Times New Roman"/>
              </w:rPr>
            </w:pPr>
            <w:r>
              <w:rPr>
                <w:rFonts w:hint="eastAsia" w:ascii="Times New Roman" w:hAnsi="Times New Roman" w:eastAsia="仿宋_GB2312" w:cs="Times New Roman"/>
              </w:rPr>
              <w:t>2080801</w:t>
            </w:r>
          </w:p>
        </w:tc>
        <w:tc>
          <w:tcPr>
            <w:tcW w:w="1300"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死亡抚恤</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58.24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58.24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ind w:firstLine="210" w:firstLineChars="100"/>
              <w:rPr>
                <w:rFonts w:ascii="Times New Roman" w:hAnsi="Times New Roman" w:eastAsia="仿宋_GB2312" w:cs="Times New Roman"/>
              </w:rPr>
            </w:pPr>
            <w:r>
              <w:rPr>
                <w:rFonts w:hint="eastAsia" w:ascii="Times New Roman" w:hAnsi="Times New Roman" w:eastAsia="仿宋_GB2312" w:cs="Times New Roman"/>
              </w:rPr>
              <w:t>2299999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rPr>
            </w:pPr>
            <w:r>
              <w:rPr>
                <w:rFonts w:hint="eastAsia" w:ascii="Times New Roman" w:hAnsi="Times New Roman" w:eastAsia="仿宋_GB2312" w:cs="Times New Roman"/>
              </w:rP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10.46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262626"/>
                <w:kern w:val="2"/>
                <w:sz w:val="22"/>
                <w:szCs w:val="22"/>
                <w:u w:val="none"/>
                <w:lang w:val="en-US" w:eastAsia="zh-CN" w:bidi="ar-SA"/>
              </w:rPr>
            </w:pPr>
            <w:r>
              <w:rPr>
                <w:rFonts w:hint="eastAsia" w:ascii="宋体" w:hAnsi="宋体" w:eastAsia="宋体" w:cs="宋体"/>
                <w:i w:val="0"/>
                <w:iCs w:val="0"/>
                <w:color w:val="262626"/>
                <w:kern w:val="0"/>
                <w:sz w:val="22"/>
                <w:szCs w:val="22"/>
                <w:u w:val="none"/>
                <w:lang w:val="en-US" w:eastAsia="zh-CN" w:bidi="ar"/>
              </w:rPr>
              <w:t xml:space="preserve">10.46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7" w:type="pct"/>
        <w:jc w:val="center"/>
        <w:tblLayout w:type="autofit"/>
        <w:tblCellMar>
          <w:top w:w="0" w:type="dxa"/>
          <w:left w:w="108" w:type="dxa"/>
          <w:bottom w:w="0" w:type="dxa"/>
          <w:right w:w="108" w:type="dxa"/>
        </w:tblCellMar>
      </w:tblPr>
      <w:tblGrid>
        <w:gridCol w:w="2268"/>
        <w:gridCol w:w="2416"/>
        <w:gridCol w:w="1722"/>
        <w:gridCol w:w="1180"/>
        <w:gridCol w:w="1180"/>
        <w:gridCol w:w="1723"/>
        <w:gridCol w:w="1180"/>
        <w:gridCol w:w="2542"/>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2539.42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2539.42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2010601</w:t>
            </w:r>
          </w:p>
        </w:tc>
        <w:tc>
          <w:tcPr>
            <w:tcW w:w="470" w:type="pct"/>
            <w:tcBorders>
              <w:top w:val="nil"/>
              <w:left w:val="nil"/>
              <w:bottom w:val="single" w:color="auto" w:sz="4" w:space="0"/>
              <w:right w:val="single" w:color="auto" w:sz="4" w:space="0"/>
            </w:tcBorders>
            <w:shd w:val="clear" w:color="auto" w:fill="auto"/>
            <w:noWrap/>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行政运行</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1996.51</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1996.51</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2010604</w:t>
            </w:r>
          </w:p>
        </w:tc>
        <w:tc>
          <w:tcPr>
            <w:tcW w:w="470" w:type="pct"/>
            <w:tcBorders>
              <w:top w:val="nil"/>
              <w:left w:val="nil"/>
              <w:bottom w:val="single" w:color="auto" w:sz="4" w:space="0"/>
              <w:right w:val="single" w:color="auto" w:sz="4" w:space="0"/>
            </w:tcBorders>
            <w:shd w:val="clear" w:color="auto" w:fill="auto"/>
            <w:noWrap/>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预算改革业务</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11.93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11.93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2010607</w:t>
            </w:r>
          </w:p>
        </w:tc>
        <w:tc>
          <w:tcPr>
            <w:tcW w:w="470" w:type="pct"/>
            <w:tcBorders>
              <w:top w:val="nil"/>
              <w:left w:val="nil"/>
              <w:bottom w:val="single" w:color="auto" w:sz="4" w:space="0"/>
              <w:right w:val="single" w:color="auto" w:sz="4" w:space="0"/>
            </w:tcBorders>
            <w:shd w:val="clear" w:color="auto" w:fill="auto"/>
            <w:noWrap/>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信息化建设</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57.93</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57.93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2010608</w:t>
            </w:r>
          </w:p>
        </w:tc>
        <w:tc>
          <w:tcPr>
            <w:tcW w:w="470" w:type="pct"/>
            <w:tcBorders>
              <w:top w:val="nil"/>
              <w:left w:val="nil"/>
              <w:bottom w:val="single" w:color="auto" w:sz="4" w:space="0"/>
              <w:right w:val="single" w:color="auto" w:sz="4" w:space="0"/>
            </w:tcBorders>
            <w:shd w:val="clear" w:color="auto" w:fill="auto"/>
            <w:noWrap/>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财政委托业务支出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139.69</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139.69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2010699</w:t>
            </w:r>
          </w:p>
        </w:tc>
        <w:tc>
          <w:tcPr>
            <w:tcW w:w="470" w:type="pct"/>
            <w:tcBorders>
              <w:top w:val="nil"/>
              <w:left w:val="nil"/>
              <w:bottom w:val="single" w:color="auto" w:sz="4" w:space="0"/>
              <w:right w:val="single" w:color="auto" w:sz="4" w:space="0"/>
            </w:tcBorders>
            <w:shd w:val="clear" w:color="auto" w:fill="auto"/>
            <w:noWrap/>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其他财政事务支出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264.42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264.42</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2013999</w:t>
            </w:r>
          </w:p>
        </w:tc>
        <w:tc>
          <w:tcPr>
            <w:tcW w:w="470" w:type="pct"/>
            <w:tcBorders>
              <w:top w:val="nil"/>
              <w:left w:val="nil"/>
              <w:bottom w:val="single" w:color="auto" w:sz="4" w:space="0"/>
              <w:right w:val="single" w:color="auto" w:sz="4" w:space="0"/>
            </w:tcBorders>
            <w:shd w:val="clear" w:color="auto" w:fill="auto"/>
            <w:noWrap/>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其他社会工作事务支出</w:t>
            </w:r>
          </w:p>
        </w:tc>
        <w:tc>
          <w:tcPr>
            <w:tcW w:w="660"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0.24</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0.24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0" w:type="auto"/>
            <w:shd w:val="clear" w:color="auto" w:fill="auto"/>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死亡抚恤</w:t>
            </w:r>
          </w:p>
        </w:tc>
        <w:tc>
          <w:tcPr>
            <w:tcW w:w="0" w:type="auto"/>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58.24 </w:t>
            </w:r>
          </w:p>
        </w:tc>
        <w:tc>
          <w:tcPr>
            <w:tcW w:w="0" w:type="auto"/>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58.24 </w:t>
            </w:r>
          </w:p>
        </w:tc>
        <w:tc>
          <w:tcPr>
            <w:tcW w:w="0" w:type="auto"/>
          </w:tcPr>
          <w:p>
            <w:pPr>
              <w:widowControl/>
              <w:jc w:val="right"/>
              <w:rPr>
                <w:rFonts w:ascii="Times New Roman" w:hAnsi="Times New Roman" w:eastAsia="仿宋_GB2312" w:cs="Times New Roman"/>
                <w:kern w:val="0"/>
                <w:sz w:val="24"/>
                <w:szCs w:val="24"/>
              </w:rPr>
            </w:pPr>
          </w:p>
        </w:tc>
        <w:tc>
          <w:tcPr>
            <w:tcW w:w="0" w:type="auto"/>
          </w:tcPr>
          <w:p>
            <w:pPr>
              <w:widowControl/>
              <w:jc w:val="right"/>
              <w:rPr>
                <w:rFonts w:ascii="Times New Roman" w:hAnsi="Times New Roman" w:eastAsia="仿宋_GB2312" w:cs="Times New Roman"/>
                <w:kern w:val="0"/>
                <w:sz w:val="24"/>
                <w:szCs w:val="24"/>
              </w:rPr>
            </w:pPr>
          </w:p>
        </w:tc>
        <w:tc>
          <w:tcPr>
            <w:tcW w:w="0" w:type="auto"/>
          </w:tcPr>
          <w:p>
            <w:pPr>
              <w:widowControl/>
              <w:jc w:val="right"/>
              <w:rPr>
                <w:rFonts w:ascii="Times New Roman" w:hAnsi="Times New Roman" w:eastAsia="仿宋_GB2312" w:cs="Times New Roman"/>
                <w:kern w:val="0"/>
                <w:sz w:val="24"/>
                <w:szCs w:val="24"/>
              </w:rPr>
            </w:pPr>
          </w:p>
        </w:tc>
        <w:tc>
          <w:tcPr>
            <w:tcW w:w="0" w:type="auto"/>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2299999</w:t>
            </w:r>
          </w:p>
        </w:tc>
        <w:tc>
          <w:tcPr>
            <w:tcW w:w="0" w:type="auto"/>
            <w:shd w:val="clear" w:color="auto" w:fill="auto"/>
            <w:vAlign w:val="top"/>
          </w:tcPr>
          <w:p>
            <w:pPr>
              <w:spacing w:beforeLines="0" w:afterLines="0"/>
              <w:jc w:val="left"/>
              <w:rPr>
                <w:rFonts w:hint="eastAsia" w:ascii="宋体" w:hAnsi="宋体" w:eastAsiaTheme="minorEastAsia" w:cstheme="minorBidi"/>
                <w:color w:val="000000"/>
                <w:kern w:val="2"/>
                <w:sz w:val="22"/>
                <w:szCs w:val="24"/>
                <w:lang w:val="en-US" w:eastAsia="zh-CN" w:bidi="ar-SA"/>
              </w:rPr>
            </w:pPr>
            <w:r>
              <w:rPr>
                <w:rFonts w:hint="eastAsia" w:ascii="宋体" w:hAnsi="宋体"/>
                <w:color w:val="000000"/>
                <w:sz w:val="22"/>
                <w:szCs w:val="24"/>
              </w:rPr>
              <w:t>其他支出</w:t>
            </w:r>
          </w:p>
        </w:tc>
        <w:tc>
          <w:tcPr>
            <w:tcW w:w="0" w:type="auto"/>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10.46 </w:t>
            </w:r>
          </w:p>
        </w:tc>
        <w:tc>
          <w:tcPr>
            <w:tcW w:w="0" w:type="auto"/>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10.46</w:t>
            </w:r>
          </w:p>
        </w:tc>
        <w:tc>
          <w:tcPr>
            <w:tcW w:w="0" w:type="auto"/>
          </w:tcPr>
          <w:p>
            <w:pPr>
              <w:widowControl/>
              <w:jc w:val="right"/>
              <w:rPr>
                <w:rFonts w:ascii="Times New Roman" w:hAnsi="Times New Roman" w:eastAsia="仿宋_GB2312" w:cs="Times New Roman"/>
                <w:kern w:val="0"/>
                <w:sz w:val="24"/>
                <w:szCs w:val="24"/>
              </w:rPr>
            </w:pPr>
          </w:p>
        </w:tc>
        <w:tc>
          <w:tcPr>
            <w:tcW w:w="0" w:type="auto"/>
          </w:tcPr>
          <w:p>
            <w:pPr>
              <w:widowControl/>
              <w:jc w:val="right"/>
              <w:rPr>
                <w:rFonts w:ascii="Times New Roman" w:hAnsi="Times New Roman" w:eastAsia="仿宋_GB2312" w:cs="Times New Roman"/>
                <w:kern w:val="0"/>
                <w:sz w:val="24"/>
                <w:szCs w:val="24"/>
              </w:rPr>
            </w:pPr>
          </w:p>
        </w:tc>
        <w:tc>
          <w:tcPr>
            <w:tcW w:w="0" w:type="auto"/>
          </w:tcPr>
          <w:p>
            <w:pPr>
              <w:widowControl/>
              <w:jc w:val="right"/>
              <w:rPr>
                <w:rFonts w:ascii="Times New Roman" w:hAnsi="Times New Roman" w:eastAsia="仿宋_GB2312" w:cs="Times New Roman"/>
                <w:kern w:val="0"/>
                <w:sz w:val="24"/>
                <w:szCs w:val="24"/>
              </w:rPr>
            </w:pPr>
          </w:p>
        </w:tc>
        <w:tc>
          <w:tcPr>
            <w:tcW w:w="0" w:type="auto"/>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center"/>
        <w:rPr>
          <w:rFonts w:ascii="Times New Roman" w:hAnsi="Times New Roman" w:eastAsia="黑体" w:cs="Times New Roman"/>
          <w:color w:val="000000"/>
          <w:kern w:val="0"/>
          <w:sz w:val="36"/>
          <w:szCs w:val="36"/>
          <w:lang w:bidi="ar"/>
        </w:rPr>
      </w:pPr>
      <w:bookmarkStart w:id="1" w:name="RANGE!A1:I22"/>
      <w:bookmarkEnd w:id="1"/>
      <w:bookmarkStart w:id="2" w:name="RANGE!A1:F16"/>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516"/>
        <w:gridCol w:w="616"/>
        <w:gridCol w:w="986"/>
        <w:gridCol w:w="2636"/>
        <w:gridCol w:w="616"/>
        <w:gridCol w:w="986"/>
        <w:gridCol w:w="1711"/>
        <w:gridCol w:w="1523"/>
        <w:gridCol w:w="1630"/>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129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2539.42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2470.73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2470.73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2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26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1F1F1"/>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auto" w:sz="4" w:space="0"/>
              <w:right w:val="single" w:color="auto" w:sz="4" w:space="0"/>
            </w:tcBorders>
            <w:shd w:val="clear" w:color="auto" w:fill="F1F1F1"/>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58.24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58.24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F1F1F1"/>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九、其他支出</w:t>
            </w:r>
          </w:p>
        </w:tc>
        <w:tc>
          <w:tcPr>
            <w:tcW w:w="0" w:type="auto"/>
            <w:tcBorders>
              <w:top w:val="nil"/>
              <w:left w:val="nil"/>
              <w:bottom w:val="single" w:color="auto" w:sz="4" w:space="0"/>
              <w:right w:val="single" w:color="auto" w:sz="4" w:space="0"/>
            </w:tcBorders>
            <w:shd w:val="clear" w:color="auto" w:fill="F1F1F1"/>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10.46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10.46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2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22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2539.42 </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2539.42</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2"/>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2539.42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bCs/>
                <w:i w:val="0"/>
                <w:iCs w:val="0"/>
                <w:color w:val="000000"/>
                <w:kern w:val="0"/>
                <w:sz w:val="22"/>
                <w:szCs w:val="22"/>
                <w:u w:val="none"/>
                <w:lang w:val="en-US" w:eastAsia="zh-CN" w:bidi="ar"/>
              </w:rPr>
              <w:t xml:space="preserve">2539.42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1996.51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1996.51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2010604</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预算改革业务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11.93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11.93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2010607</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信息化建设</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57.93</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57.93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2010608</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财政委托业务支出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139.69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139.69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2010699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其他财政事务支出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264.42</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264.42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2013999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0.24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0.24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2080801</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死亡抚恤</w:t>
            </w:r>
          </w:p>
        </w:tc>
        <w:tc>
          <w:tcPr>
            <w:tcW w:w="0" w:type="auto"/>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58.24 </w:t>
            </w:r>
          </w:p>
        </w:tc>
        <w:tc>
          <w:tcPr>
            <w:tcW w:w="0" w:type="auto"/>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58.24 </w:t>
            </w:r>
          </w:p>
        </w:tc>
        <w:tc>
          <w:tcPr>
            <w:tcW w:w="0" w:type="auto"/>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2299999</w:t>
            </w:r>
          </w:p>
        </w:tc>
        <w:tc>
          <w:tcPr>
            <w:tcW w:w="0" w:type="auto"/>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其他支出</w:t>
            </w:r>
          </w:p>
        </w:tc>
        <w:tc>
          <w:tcPr>
            <w:tcW w:w="0" w:type="auto"/>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10.46 </w:t>
            </w:r>
          </w:p>
        </w:tc>
        <w:tc>
          <w:tcPr>
            <w:tcW w:w="0" w:type="auto"/>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10.46 </w:t>
            </w:r>
          </w:p>
        </w:tc>
        <w:tc>
          <w:tcPr>
            <w:tcW w:w="0" w:type="auto"/>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3" w:name="RANGE!A1:I34"/>
      <w:r>
        <w:rPr>
          <w:rFonts w:ascii="Times New Roman" w:hAnsi="Times New Roman" w:eastAsia="黑体" w:cs="Times New Roman"/>
          <w:color w:val="000000"/>
          <w:kern w:val="0"/>
          <w:sz w:val="36"/>
          <w:szCs w:val="36"/>
          <w:lang w:bidi="ar"/>
        </w:rPr>
        <w:t>一般公共预算财政拨款基本支出决算明细表</w:t>
      </w:r>
      <w:bookmarkEnd w:id="3"/>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043"/>
        <w:gridCol w:w="1773"/>
        <w:gridCol w:w="1116"/>
        <w:gridCol w:w="1451"/>
        <w:gridCol w:w="1500"/>
        <w:gridCol w:w="1217"/>
        <w:gridCol w:w="2484"/>
        <w:gridCol w:w="1962"/>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04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77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145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50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48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96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1663.95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791.36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713.54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74.93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239.11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11.26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29.89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1962"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197.85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0.23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2.65</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183.97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26.08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0.35</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91.49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42.73</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17.4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27.41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47.23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121.86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81.1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2.23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0.13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57.2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13.4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38.87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251.69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155.2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28.92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1773"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29.41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10.5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1500" w:type="dxa"/>
            <w:tcBorders>
              <w:top w:val="nil"/>
              <w:left w:val="nil"/>
              <w:bottom w:val="single" w:color="auto" w:sz="4" w:space="0"/>
              <w:right w:val="single" w:color="auto" w:sz="4" w:space="0"/>
            </w:tcBorders>
            <w:shd w:val="clear" w:color="auto" w:fill="auto"/>
            <w:noWrap/>
            <w:vAlign w:val="center"/>
          </w:tcPr>
          <w:p>
            <w:pPr>
              <w:jc w:val="right"/>
              <w:rPr>
                <w:rFonts w:hint="eastAsia" w:ascii="宋体" w:hAnsi="宋体" w:eastAsia="宋体" w:cs="宋体"/>
                <w:i w:val="0"/>
                <w:iCs w:val="0"/>
                <w:color w:val="000000"/>
                <w:sz w:val="22"/>
                <w:szCs w:val="22"/>
                <w:u w:val="none"/>
                <w:lang w:val="en-US" w:eastAsia="zh-CN"/>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04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77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145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150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100.67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2484"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1962"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124"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77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17,45.05 </w:t>
            </w:r>
          </w:p>
        </w:tc>
        <w:tc>
          <w:tcPr>
            <w:tcW w:w="7768"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1962"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7,94.36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446.93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21.36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工资福利支出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商品和服务</w:t>
      </w:r>
      <w:r>
        <w:rPr>
          <w:rFonts w:hint="eastAsia" w:ascii="Times New Roman" w:hAnsi="Times New Roman" w:eastAsia="仿宋_GB2312" w:cs="Times New Roman"/>
          <w:sz w:val="32"/>
          <w:szCs w:val="32"/>
          <w:lang w:eastAsia="zh-CN"/>
        </w:rPr>
        <w:t>支出有所提升。</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民生保障、基层运转、重点项目等重点支出，体现在有关支出科目中。</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446.93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21.36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工资福利支出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商品和服务</w:t>
      </w:r>
      <w:r>
        <w:rPr>
          <w:rFonts w:hint="eastAsia" w:ascii="Times New Roman" w:hAnsi="Times New Roman" w:eastAsia="仿宋_GB2312" w:cs="Times New Roman"/>
          <w:sz w:val="32"/>
          <w:szCs w:val="32"/>
          <w:lang w:eastAsia="zh-CN"/>
        </w:rPr>
        <w:t>支出有所提升。</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21.36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工资福利支出</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商品和服务</w:t>
      </w:r>
      <w:r>
        <w:rPr>
          <w:rFonts w:hint="eastAsia" w:ascii="Times New Roman" w:hAnsi="Times New Roman" w:eastAsia="仿宋_GB2312" w:cs="Times New Roman"/>
          <w:sz w:val="32"/>
          <w:szCs w:val="32"/>
          <w:lang w:eastAsia="zh-CN"/>
        </w:rPr>
        <w:t>支出有所提升。</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 xml:space="preserve">2470.72 </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58.24万元，占2.29%；其他支出10.46万元，占0.41%。</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201</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仿宋_GB2312" w:hAnsi="仿宋_GB2312" w:eastAsia="仿宋_GB2312" w:cs="仿宋_GB2312"/>
          <w:color w:val="000000"/>
          <w:sz w:val="32"/>
          <w:szCs w:val="32"/>
          <w:shd w:val="clear" w:color="auto" w:fill="FFFFFF"/>
          <w:lang w:val="en-US" w:eastAsia="zh-CN"/>
        </w:rPr>
        <w:t>1,405.78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19,96</w:t>
      </w:r>
      <w:r>
        <w:rPr>
          <w:rFonts w:hint="eastAsia" w:ascii="Times New Roman" w:hAnsi="Times New Roman" w:eastAsia="仿宋_GB2312" w:cs="Times New Roman"/>
          <w:sz w:val="32"/>
          <w:szCs w:val="32"/>
          <w:lang w:val="en-US" w:eastAsia="zh-CN"/>
        </w:rPr>
        <w:t>.51</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142</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年初预算数不包含每月发放工资及基础绩效，故决算数大于预算数。</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2539.42</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3"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1745.06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68.72</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等。</w:t>
      </w:r>
    </w:p>
    <w:p>
      <w:pPr>
        <w:pStyle w:val="14"/>
        <w:overflowPunct w:val="0"/>
        <w:autoSpaceDE/>
        <w:autoSpaceDN/>
        <w:spacing w:line="600" w:lineRule="exact"/>
        <w:ind w:firstLine="643"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794.36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31.28</w:t>
      </w:r>
      <w:r>
        <w:rPr>
          <w:rFonts w:ascii="Times New Roman" w:hAnsi="Times New Roman" w:eastAsia="仿宋_GB2312" w:cs="Times New Roman"/>
          <w:sz w:val="32"/>
          <w:szCs w:val="32"/>
        </w:rPr>
        <w:t>%，主要包括办公费、印刷费、咨询费、手续费</w:t>
      </w:r>
      <w:r>
        <w:rPr>
          <w:rFonts w:hint="eastAsia" w:ascii="Times New Roman" w:hAnsi="Times New Roman" w:eastAsia="仿宋_GB2312" w:cs="Times New Roman"/>
          <w:sz w:val="32"/>
          <w:szCs w:val="32"/>
          <w:lang w:eastAsia="zh-CN"/>
        </w:rPr>
        <w:t>等。</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4"/>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4.87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根据省财政厅文件要求，暂停公务接待事项</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根据省财政厅文件要求，暂停公务接待事项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未</w:t>
      </w:r>
      <w:r>
        <w:rPr>
          <w:rFonts w:ascii="Times New Roman" w:hAnsi="Times New Roman" w:eastAsia="仿宋_GB2312" w:cs="Times New Roman"/>
          <w:sz w:val="32"/>
          <w:szCs w:val="32"/>
        </w:rPr>
        <w:t>发生的接待支出。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无政府性基金收支</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eastAsia="zh-CN"/>
        </w:rPr>
        <w:t>无。</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791.36</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587.67</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288.51</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2024年部分机关运行经费因系统关账前未付出，到2025年开账时支付，故支出年度变化导致的差异化</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；举办</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等节庆、晚会、论坛、赛事活动，开支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pPr>
        <w:pStyle w:val="14"/>
        <w:overflowPunct w:val="0"/>
        <w:autoSpaceDE/>
        <w:autoSpaceDN/>
        <w:spacing w:line="600" w:lineRule="exact"/>
        <w:ind w:firstLine="643"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bookmarkStart w:id="5" w:name="_GoBack"/>
      <w:bookmarkEnd w:id="5"/>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bookmarkStart w:id="4" w:name="MCJS"/>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1.</w:t>
      </w:r>
      <w:r>
        <w:rPr>
          <w:rFonts w:hint="eastAsia" w:ascii="仿宋" w:hAnsi="仿宋" w:eastAsia="仿宋" w:cs="仿宋"/>
          <w:color w:val="000000" w:themeColor="text1"/>
          <w:sz w:val="32"/>
          <w:szCs w:val="32"/>
          <w:shd w:val="clear" w:color="auto" w:fill="FFFFFF"/>
          <w14:textFill>
            <w14:solidFill>
              <w14:schemeClr w14:val="tx1"/>
            </w14:solidFill>
          </w14:textFill>
        </w:rPr>
        <w:t>财政拨款收入：指单位本年度从同级财政部门取得的各类财政拨款。</w:t>
      </w: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2.</w:t>
      </w:r>
      <w:r>
        <w:rPr>
          <w:rFonts w:hint="eastAsia" w:ascii="仿宋" w:hAnsi="仿宋" w:eastAsia="仿宋" w:cs="仿宋"/>
          <w:color w:val="000000" w:themeColor="text1"/>
          <w:sz w:val="32"/>
          <w:szCs w:val="32"/>
          <w:shd w:val="clear" w:color="auto" w:fill="FFFFFF"/>
          <w14:textFill>
            <w14:solidFill>
              <w14:schemeClr w14:val="tx1"/>
            </w14:solidFill>
          </w14:textFill>
        </w:rPr>
        <w:t>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3.</w:t>
      </w:r>
      <w:r>
        <w:rPr>
          <w:rFonts w:hint="eastAsia" w:ascii="仿宋" w:hAnsi="仿宋" w:eastAsia="仿宋" w:cs="仿宋"/>
          <w:color w:val="000000" w:themeColor="text1"/>
          <w:sz w:val="32"/>
          <w:szCs w:val="32"/>
          <w:shd w:val="clear" w:color="auto" w:fill="FFFFFF"/>
          <w14:textFill>
            <w14:solidFill>
              <w14:schemeClr w14:val="tx1"/>
            </w14:solidFill>
          </w14:textFill>
        </w:rPr>
        <w:t>“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4.</w:t>
      </w:r>
      <w:r>
        <w:rPr>
          <w:rFonts w:hint="eastAsia" w:ascii="仿宋" w:hAnsi="仿宋" w:eastAsia="仿宋" w:cs="仿宋"/>
          <w:color w:val="000000" w:themeColor="text1"/>
          <w:sz w:val="32"/>
          <w:szCs w:val="32"/>
          <w:shd w:val="clear" w:color="auto" w:fill="FFFFFF"/>
          <w14:textFill>
            <w14:solidFill>
              <w14:schemeClr w14:val="tx1"/>
            </w14:solidFill>
          </w14:textFill>
        </w:rPr>
        <w:t>基本支出：指为保障机构正常运转、完成日常工作任务而发生的支出，包括人员经费和公用经费。</w:t>
      </w: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5.</w:t>
      </w:r>
      <w:r>
        <w:rPr>
          <w:rFonts w:hint="eastAsia" w:ascii="仿宋" w:hAnsi="仿宋" w:eastAsia="仿宋" w:cs="仿宋"/>
          <w:color w:val="000000" w:themeColor="text1"/>
          <w:sz w:val="32"/>
          <w:szCs w:val="32"/>
          <w:shd w:val="clear" w:color="auto" w:fill="FFFFFF"/>
          <w14:textFill>
            <w14:solidFill>
              <w14:schemeClr w14:val="tx1"/>
            </w14:solidFill>
          </w14:textFill>
        </w:rPr>
        <w:t>一般公共服务支出（类）财政事务（款）行政运行（项）：反映行政单位（包括实行公务员管理的事业单位）的基本 支出。</w:t>
      </w: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6.</w:t>
      </w:r>
      <w:r>
        <w:rPr>
          <w:rFonts w:hint="eastAsia" w:ascii="仿宋" w:hAnsi="仿宋" w:eastAsia="仿宋" w:cs="仿宋"/>
          <w:color w:val="000000" w:themeColor="text1"/>
          <w:sz w:val="32"/>
          <w:szCs w:val="32"/>
          <w:shd w:val="clear" w:color="auto" w:fill="FFFFFF"/>
          <w14:textFill>
            <w14:solidFill>
              <w14:schemeClr w14:val="tx1"/>
            </w14:solidFill>
          </w14:textFill>
        </w:rPr>
        <w:t>一般公共服务支出（类）财政事务（款）一般行政管理事务（项）：反映行政单位（包括实行公务员管理的事业单位）未单独设置项级科目的其他项目支出。</w:t>
      </w: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7.</w:t>
      </w:r>
      <w:r>
        <w:rPr>
          <w:rFonts w:hint="eastAsia" w:ascii="仿宋" w:hAnsi="仿宋" w:eastAsia="仿宋" w:cs="仿宋"/>
          <w:color w:val="000000" w:themeColor="text1"/>
          <w:sz w:val="32"/>
          <w:szCs w:val="32"/>
          <w:shd w:val="clear" w:color="auto" w:fill="FFFFFF"/>
          <w14:textFill>
            <w14:solidFill>
              <w14:schemeClr w14:val="tx1"/>
            </w14:solidFill>
          </w14:textFill>
        </w:rPr>
        <w:t>一般公共服务支出（类）财政事务（款）信息化建设（项）：反映财政部门用于信息化建设方面的支出。</w:t>
      </w: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8.</w:t>
      </w:r>
      <w:r>
        <w:rPr>
          <w:rFonts w:hint="eastAsia" w:ascii="仿宋" w:hAnsi="仿宋" w:eastAsia="仿宋" w:cs="仿宋"/>
          <w:color w:val="000000" w:themeColor="text1"/>
          <w:sz w:val="32"/>
          <w:szCs w:val="32"/>
          <w:shd w:val="clear" w:color="auto" w:fill="FFFFFF"/>
          <w14:textFill>
            <w14:solidFill>
              <w14:schemeClr w14:val="tx1"/>
            </w14:solidFill>
          </w14:textFill>
        </w:rPr>
        <w:t>社会保障和就业支出（类）行政事业单位养老支出（款）机关事业单位基本养老保险缴费支出（项）：反映机关事业单位实施养老保险制度由单位缴纳的基本养老保险费支出。</w:t>
      </w:r>
    </w:p>
    <w:p>
      <w:pPr>
        <w:tabs>
          <w:tab w:val="left" w:pos="360"/>
        </w:tabs>
        <w:spacing w:line="360" w:lineRule="auto"/>
        <w:ind w:firstLine="640" w:firstLineChars="200"/>
        <w:rPr>
          <w:rFonts w:hint="eastAsia" w:ascii="仿宋" w:hAnsi="仿宋" w:eastAsia="仿宋" w:cs="仿宋"/>
          <w:color w:val="000000" w:themeColor="text1"/>
          <w:sz w:val="32"/>
          <w:szCs w:val="32"/>
          <w:shd w:val="clear" w:color="auto" w:fill="FFFFFF"/>
          <w14:textFill>
            <w14:solidFill>
              <w14:schemeClr w14:val="tx1"/>
            </w14:solidFill>
          </w14:textFill>
        </w:r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9.</w:t>
      </w:r>
      <w:r>
        <w:rPr>
          <w:rFonts w:hint="eastAsia" w:ascii="仿宋" w:hAnsi="仿宋" w:eastAsia="仿宋" w:cs="仿宋"/>
          <w:color w:val="000000" w:themeColor="text1"/>
          <w:sz w:val="32"/>
          <w:szCs w:val="32"/>
          <w:shd w:val="clear" w:color="auto" w:fill="FFFFFF"/>
          <w14:textFill>
            <w14:solidFill>
              <w14:schemeClr w14:val="tx1"/>
            </w14:solidFill>
          </w14:textFill>
        </w:rPr>
        <w:t>社会保障和就业支出（类）抚恤（款）死亡抚恤（项）：反映按规定用于烈士和牺牲、病故人员家属的一次性和定期抚恤金、丧葬补助费以及烈士褒扬金。</w:t>
      </w:r>
    </w:p>
    <w:p>
      <w:pPr>
        <w:tabs>
          <w:tab w:val="left" w:pos="360"/>
        </w:tabs>
        <w:spacing w:line="360" w:lineRule="auto"/>
        <w:ind w:firstLine="640" w:firstLineChars="200"/>
        <w:rPr>
          <w:rFonts w:hint="eastAsia" w:eastAsia="仿宋"/>
          <w:color w:val="000000" w:themeColor="text1"/>
          <w:lang w:eastAsia="zh-CN"/>
          <w14:textFill>
            <w14:solidFill>
              <w14:schemeClr w14:val="tx1"/>
            </w14:solidFill>
          </w14:textFill>
        </w:rPr>
        <w:sectPr>
          <w:pgSz w:w="11906" w:h="16838"/>
          <w:pgMar w:top="1440" w:right="746" w:bottom="1440" w:left="720" w:header="851" w:footer="992" w:gutter="0"/>
          <w:pgNumType w:fmt="numberInDash"/>
          <w:cols w:space="720" w:num="1"/>
          <w:docGrid w:type="lines" w:linePitch="319" w:charSpace="0"/>
        </w:sectPr>
      </w:pPr>
      <w:r>
        <w:rPr>
          <w:rFonts w:hint="eastAsia" w:ascii="仿宋" w:hAnsi="仿宋" w:eastAsia="仿宋" w:cs="仿宋"/>
          <w:color w:val="000000" w:themeColor="text1"/>
          <w:sz w:val="32"/>
          <w:szCs w:val="32"/>
          <w:shd w:val="clear" w:color="auto" w:fill="FFFFFF"/>
          <w:lang w:val="en-US" w:eastAsia="zh-CN"/>
          <w14:textFill>
            <w14:solidFill>
              <w14:schemeClr w14:val="tx1"/>
            </w14:solidFill>
          </w14:textFill>
        </w:rPr>
        <w:t>10.</w:t>
      </w:r>
      <w:r>
        <w:rPr>
          <w:rFonts w:hint="eastAsia" w:ascii="仿宋" w:hAnsi="仿宋" w:eastAsia="仿宋" w:cs="仿宋"/>
          <w:color w:val="000000" w:themeColor="text1"/>
          <w:sz w:val="32"/>
          <w:szCs w:val="32"/>
          <w:shd w:val="clear" w:color="auto" w:fill="FFFFFF"/>
          <w14:textFill>
            <w14:solidFill>
              <w14:schemeClr w14:val="tx1"/>
            </w14:solidFill>
          </w14:textFill>
        </w:rPr>
        <w:t>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w:t>
      </w:r>
      <w:bookmarkEnd w:id="4"/>
      <w:r>
        <w:rPr>
          <w:rFonts w:hint="eastAsia" w:ascii="仿宋" w:hAnsi="仿宋" w:eastAsia="仿宋" w:cs="仿宋"/>
          <w:color w:val="000000" w:themeColor="text1"/>
          <w:sz w:val="32"/>
          <w:szCs w:val="32"/>
          <w:shd w:val="clear" w:color="auto" w:fill="FFFFFF"/>
          <w:lang w:eastAsia="zh-CN"/>
          <w14:textFill>
            <w14:solidFill>
              <w14:schemeClr w14:val="tx1"/>
            </w14:solidFill>
          </w14:textFill>
        </w:rPr>
        <w:t>。</w:t>
      </w: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172A27"/>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0A2B421C"/>
    <w:rsid w:val="100845AB"/>
    <w:rsid w:val="1D97DEFF"/>
    <w:rsid w:val="1DFF72E5"/>
    <w:rsid w:val="1EFC6F07"/>
    <w:rsid w:val="23E76EA7"/>
    <w:rsid w:val="271B3096"/>
    <w:rsid w:val="2FDF85B8"/>
    <w:rsid w:val="2FFFEE04"/>
    <w:rsid w:val="33570C7C"/>
    <w:rsid w:val="33E1587E"/>
    <w:rsid w:val="34DF85B0"/>
    <w:rsid w:val="3B8F36BC"/>
    <w:rsid w:val="491FF225"/>
    <w:rsid w:val="4FFD214C"/>
    <w:rsid w:val="50AB792E"/>
    <w:rsid w:val="5777D4F5"/>
    <w:rsid w:val="57F4005C"/>
    <w:rsid w:val="59DD8326"/>
    <w:rsid w:val="5DEF592A"/>
    <w:rsid w:val="5EC9646C"/>
    <w:rsid w:val="5FC6BB1E"/>
    <w:rsid w:val="5FF720F1"/>
    <w:rsid w:val="67FF5C0B"/>
    <w:rsid w:val="6E2D5FD9"/>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6599</Words>
  <Characters>7524</Characters>
  <Lines>69</Lines>
  <Paragraphs>19</Paragraphs>
  <TotalTime>10</TotalTime>
  <ScaleCrop>false</ScaleCrop>
  <LinksUpToDate>false</LinksUpToDate>
  <CharactersWithSpaces>8843</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蒋琼</cp:lastModifiedBy>
  <cp:lastPrinted>2024-08-10T02:20:00Z</cp:lastPrinted>
  <dcterms:modified xsi:type="dcterms:W3CDTF">2026-09-15T03:57:57Z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ICV">
    <vt:lpwstr>5B3986A8DA4641D89E03160E4E8F31CD_13</vt:lpwstr>
  </property>
</Properties>
</file>