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3"/>
        <w:jc w:val="both"/>
        <w:rPr>
          <w:rFonts w:hint="eastAsia" w:hAnsi="黑体" w:eastAsia="黑体"/>
          <w:sz w:val="36"/>
          <w:szCs w:val="36"/>
          <w:lang w:eastAsia="zh-CN"/>
        </w:rPr>
      </w:pPr>
      <w:r>
        <w:rPr>
          <w:rFonts w:hint="eastAsia" w:hAnsi="黑体"/>
          <w:sz w:val="36"/>
          <w:szCs w:val="36"/>
        </w:rPr>
        <w:t>附件</w:t>
      </w:r>
      <w:r>
        <w:rPr>
          <w:rFonts w:hint="eastAsia" w:hAnsi="黑体"/>
          <w:sz w:val="36"/>
          <w:szCs w:val="36"/>
          <w:lang w:val="en-US" w:eastAsia="zh-CN"/>
        </w:rPr>
        <w:t>2</w:t>
      </w:r>
    </w:p>
    <w:p>
      <w:pPr>
        <w:pStyle w:val="13"/>
        <w:jc w:val="center"/>
        <w:rPr>
          <w:rFonts w:ascii="Times New Roman" w:hAnsi="Times New Roman" w:cs="Times New Roman"/>
          <w:sz w:val="56"/>
          <w:szCs w:val="56"/>
        </w:rPr>
      </w:pPr>
    </w:p>
    <w:p>
      <w:pPr>
        <w:pStyle w:val="13"/>
        <w:jc w:val="center"/>
        <w:rPr>
          <w:rFonts w:ascii="Times New Roman" w:hAnsi="Times New Roman" w:cs="Times New Roman"/>
          <w:sz w:val="84"/>
          <w:szCs w:val="84"/>
        </w:rPr>
      </w:pPr>
    </w:p>
    <w:p>
      <w:pPr>
        <w:pStyle w:val="13"/>
        <w:jc w:val="center"/>
        <w:rPr>
          <w:rFonts w:ascii="Times New Roman" w:hAnsi="Times New Roman" w:cs="Times New Roman"/>
          <w:sz w:val="84"/>
          <w:szCs w:val="84"/>
        </w:rPr>
      </w:pPr>
    </w:p>
    <w:p>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3"/>
        <w:jc w:val="center"/>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r>
        <w:rPr>
          <w:rFonts w:hint="eastAsia" w:ascii="Times New Roman" w:hAnsi="Times New Roman" w:eastAsia="方正小标宋简体" w:cs="Times New Roman"/>
          <w:sz w:val="72"/>
          <w:szCs w:val="72"/>
          <w:lang w:val="en-US" w:eastAsia="zh-CN"/>
        </w:rPr>
        <w:t>道县社会保险服务中心</w:t>
      </w:r>
      <w:r>
        <w:rPr>
          <w:rFonts w:ascii="Times New Roman" w:hAnsi="Times New Roman" w:eastAsia="方正小标宋简体" w:cs="Times New Roman"/>
          <w:sz w:val="72"/>
          <w:szCs w:val="72"/>
        </w:rPr>
        <w:t>部门决算</w:t>
      </w:r>
    </w:p>
    <w:p>
      <w:pPr>
        <w:pStyle w:val="13"/>
        <w:spacing w:line="600" w:lineRule="exact"/>
        <w:jc w:val="both"/>
        <w:rPr>
          <w:rFonts w:ascii="Times New Roman" w:hAnsi="Times New Roman" w:cs="Times New Roman"/>
          <w:b/>
          <w:sz w:val="36"/>
          <w:szCs w:val="28"/>
        </w:rPr>
      </w:pPr>
    </w:p>
    <w:p>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pPr>
        <w:pStyle w:val="13"/>
        <w:spacing w:line="600" w:lineRule="exact"/>
        <w:jc w:val="center"/>
        <w:rPr>
          <w:rFonts w:ascii="Times New Roman" w:hAnsi="Times New Roman" w:cs="Times New Roman"/>
          <w:b/>
          <w:sz w:val="36"/>
          <w:szCs w:val="28"/>
        </w:rPr>
      </w:pPr>
    </w:p>
    <w:p>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道县社会保险服务中心</w:t>
      </w:r>
      <w:r>
        <w:rPr>
          <w:rFonts w:ascii="Times New Roman" w:hAnsi="Times New Roman" w:cs="Times New Roman"/>
          <w:bCs/>
          <w:sz w:val="32"/>
          <w:szCs w:val="32"/>
        </w:rPr>
        <w:t>概况</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pPr>
        <w:pStyle w:val="13"/>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pP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val="en-US" w:eastAsia="zh-CN"/>
        </w:rPr>
        <w:t>道县社会保险服务中心</w:t>
      </w:r>
      <w:r>
        <w:rPr>
          <w:rFonts w:ascii="Times New Roman" w:hAnsi="Times New Roman" w:eastAsia="方正小标宋_GBK" w:cs="Times New Roman"/>
          <w:sz w:val="52"/>
          <w:szCs w:val="52"/>
        </w:rPr>
        <w:t>概况</w:t>
      </w:r>
    </w:p>
    <w:p>
      <w:pPr>
        <w:pStyle w:val="3"/>
        <w:ind w:left="0" w:leftChars="0" w:firstLine="0" w:firstLineChars="0"/>
        <w:rPr>
          <w:rFonts w:ascii="Times New Roman" w:hAnsi="Times New Roman" w:cs="Times New Roman"/>
        </w:rPr>
      </w:pPr>
    </w:p>
    <w:p>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numPr>
          <w:ilvl w:val="0"/>
          <w:numId w:val="0"/>
        </w:numPr>
        <w:ind w:firstLine="640" w:firstLineChars="200"/>
        <w:jc w:val="left"/>
        <w:rPr>
          <w:rFonts w:hint="eastAsia" w:ascii="仿宋_GB2312" w:hAnsi="仿宋_GB2312" w:eastAsia="仿宋_GB2312" w:cs="仿宋_GB2312"/>
          <w:color w:val="000000"/>
          <w:sz w:val="32"/>
          <w:szCs w:val="32"/>
          <w:shd w:val="clear" w:color="auto" w:fill="FFFFFF"/>
        </w:rPr>
      </w:pPr>
      <w:bookmarkStart w:id="0" w:name="AGENCY_NAME_TITLE3"/>
      <w:bookmarkStart w:id="1" w:name="FUNCRESP"/>
      <w:r>
        <w:rPr>
          <w:rFonts w:hint="eastAsia" w:ascii="仿宋_GB2312" w:hAnsi="仿宋_GB2312" w:eastAsia="仿宋_GB2312" w:cs="仿宋_GB2312"/>
          <w:color w:val="000000"/>
          <w:sz w:val="32"/>
          <w:szCs w:val="32"/>
          <w:shd w:val="clear" w:color="auto" w:fill="FFFFFF"/>
        </w:rPr>
        <w:t>道县社会保险服务中心</w:t>
      </w:r>
      <w:bookmarkEnd w:id="0"/>
      <w:r>
        <w:rPr>
          <w:rFonts w:hint="eastAsia" w:ascii="仿宋_GB2312" w:hAnsi="仿宋_GB2312" w:eastAsia="仿宋_GB2312" w:cs="仿宋_GB2312"/>
          <w:color w:val="000000"/>
          <w:sz w:val="32"/>
          <w:szCs w:val="32"/>
          <w:shd w:val="clear" w:color="auto" w:fill="FFFFFF"/>
        </w:rPr>
        <w:t>的主要职责是：</w:t>
      </w:r>
    </w:p>
    <w:p>
      <w:pPr>
        <w:numPr>
          <w:ilvl w:val="0"/>
          <w:numId w:val="0"/>
        </w:numPr>
        <w:ind w:firstLine="640" w:firstLineChars="200"/>
        <w:jc w:val="left"/>
        <w:rPr>
          <w:rFonts w:ascii="Times New Roman" w:hAnsi="Times New Roman" w:eastAsia="仿宋_GB2312" w:cs="Times New Roman"/>
          <w:sz w:val="32"/>
          <w:szCs w:val="32"/>
        </w:rPr>
      </w:pPr>
      <w:r>
        <w:rPr>
          <w:rFonts w:hint="eastAsia" w:ascii="仿宋_GB2312" w:hAnsi="仿宋_GB2312" w:eastAsia="仿宋_GB2312" w:cs="仿宋_GB2312"/>
          <w:color w:val="000000"/>
          <w:sz w:val="32"/>
          <w:szCs w:val="32"/>
          <w:shd w:val="clear" w:color="auto" w:fill="FFFFFF"/>
        </w:rPr>
        <w:t>负责企业、机关事业单位、城乡居民参保登记、个人账户管理、待遇支付、资格认证、转移接续；负责基金管理、统计管理、台账建设、内控稽核；负责养老保险宣传政策，咨询解答和受理举报工作。</w:t>
      </w:r>
      <w:bookmarkEnd w:id="1"/>
    </w:p>
    <w:p>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rPr>
          <w:rFonts w:ascii="Times New Roman" w:hAnsi="Times New Roman" w:eastAsia="仿宋_GB2312" w:cs="Times New Roman"/>
          <w:bCs/>
          <w:kern w:val="0"/>
          <w:sz w:val="32"/>
          <w:szCs w:val="32"/>
        </w:rPr>
      </w:pPr>
      <w:r>
        <w:rPr>
          <w:rFonts w:ascii="Times New Roman" w:hAnsi="Times New Roman" w:eastAsia="仿宋_GB2312" w:cs="Times New Roman"/>
          <w:bCs/>
          <w:kern w:val="0"/>
          <w:sz w:val="32"/>
          <w:szCs w:val="32"/>
        </w:rPr>
        <w:t>（一）内设机构设置。</w:t>
      </w:r>
    </w:p>
    <w:p>
      <w:pPr>
        <w:widowControl/>
        <w:spacing w:line="600" w:lineRule="exac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本单位为县人社局下属二级独立核算经办机构。</w:t>
      </w:r>
    </w:p>
    <w:p>
      <w:pPr>
        <w:numPr>
          <w:ilvl w:val="0"/>
          <w:numId w:val="1"/>
        </w:numPr>
        <w:spacing w:line="570" w:lineRule="atLeas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numPr>
          <w:ilvl w:val="0"/>
          <w:numId w:val="0"/>
        </w:num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道县社会保险服务中心</w:t>
      </w:r>
      <w:r>
        <w:rPr>
          <w:rFonts w:hint="eastAsia" w:ascii="Times New Roman" w:hAnsi="Times New Roman" w:eastAsia="仿宋_GB2312" w:cs="仿宋_GB2312"/>
          <w:bCs/>
          <w:kern w:val="0"/>
          <w:sz w:val="32"/>
          <w:szCs w:val="32"/>
          <w:lang w:eastAsia="zh-CN"/>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lang w:eastAsia="zh-CN"/>
        </w:rPr>
        <w:t>年</w:t>
      </w:r>
      <w:r>
        <w:rPr>
          <w:rFonts w:hint="eastAsia" w:ascii="Times New Roman" w:hAnsi="Times New Roman" w:eastAsia="仿宋_GB2312" w:cs="仿宋_GB2312"/>
          <w:bCs/>
          <w:kern w:val="0"/>
          <w:sz w:val="32"/>
          <w:szCs w:val="32"/>
        </w:rPr>
        <w:t>部门决算汇总公开单位构成包括：</w:t>
      </w:r>
      <w:bookmarkStart w:id="2" w:name="DEPT_COMPOSE"/>
      <w:r>
        <w:rPr>
          <w:rFonts w:hint="eastAsia" w:ascii="仿宋_GB2312" w:hAnsi="仿宋_GB2312" w:eastAsia="仿宋_GB2312" w:cs="仿宋_GB2312"/>
          <w:color w:val="000000"/>
          <w:sz w:val="32"/>
          <w:szCs w:val="32"/>
          <w:shd w:val="clear" w:color="auto" w:fill="FFFFFF"/>
        </w:rPr>
        <w:t>道县社会保险服务中心部门只有本级，没有其他二级预算单位，因此，纳入202</w:t>
      </w:r>
      <w:r>
        <w:rPr>
          <w:rFonts w:hint="eastAsia" w:ascii="仿宋_GB2312" w:hAnsi="仿宋_GB2312" w:eastAsia="仿宋_GB2312" w:cs="仿宋_GB2312"/>
          <w:color w:val="000000"/>
          <w:sz w:val="32"/>
          <w:szCs w:val="32"/>
          <w:shd w:val="clear" w:color="auto" w:fill="FFFFFF"/>
          <w:lang w:val="en-US" w:eastAsia="zh-CN"/>
        </w:rPr>
        <w:t>5</w:t>
      </w:r>
      <w:r>
        <w:rPr>
          <w:rFonts w:hint="eastAsia" w:ascii="仿宋_GB2312" w:hAnsi="仿宋_GB2312" w:eastAsia="仿宋_GB2312" w:cs="仿宋_GB2312"/>
          <w:color w:val="000000"/>
          <w:sz w:val="32"/>
          <w:szCs w:val="32"/>
          <w:shd w:val="clear" w:color="auto" w:fill="FFFFFF"/>
        </w:rPr>
        <w:t>年部门预算编制范围的只有道县社会保险服务中心本级。</w:t>
      </w:r>
      <w:bookmarkEnd w:id="2"/>
    </w:p>
    <w:p>
      <w:pPr>
        <w:jc w:val="left"/>
        <w:rPr>
          <w:rFonts w:ascii="Times New Roman" w:hAnsi="Times New Roman" w:eastAsia="仿宋_GB2312" w:cs="Times New Roman"/>
          <w:sz w:val="28"/>
          <w:szCs w:val="32"/>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autofit"/>
        <w:tblCellMar>
          <w:top w:w="0" w:type="dxa"/>
          <w:left w:w="108" w:type="dxa"/>
          <w:bottom w:w="0" w:type="dxa"/>
          <w:right w:w="108" w:type="dxa"/>
        </w:tblCellMar>
      </w:tblPr>
      <w:tblGrid>
        <w:gridCol w:w="5762"/>
        <w:gridCol w:w="850"/>
        <w:gridCol w:w="1291"/>
        <w:gridCol w:w="4851"/>
        <w:gridCol w:w="850"/>
        <w:gridCol w:w="1292"/>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3589.79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七、文化旅游体育与传媒支出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default" w:ascii="Times New Roman" w:hAnsi="Times New Roman" w:eastAsia="仿宋_GB2312" w:cs="Times New Roman"/>
                <w:color w:val="000000"/>
                <w:kern w:val="0"/>
                <w:sz w:val="22"/>
                <w:lang w:val="en-US" w:eastAsia="zh-CN" w:bidi="ar"/>
              </w:rPr>
            </w:pPr>
            <w:r>
              <w:rPr>
                <w:rFonts w:hint="eastAsia" w:ascii="Times New Roman" w:hAnsi="Times New Roman" w:eastAsia="仿宋_GB2312" w:cs="Times New Roman"/>
                <w:color w:val="000000"/>
                <w:kern w:val="0"/>
                <w:sz w:val="22"/>
                <w:lang w:val="en-US" w:eastAsia="zh-CN" w:bidi="ar"/>
              </w:rPr>
              <w:t>八、社会保障和就业支出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3589.79</w:t>
            </w:r>
          </w:p>
        </w:tc>
      </w:tr>
      <w:tr>
        <w:tblPrEx>
          <w:tblCellMar>
            <w:top w:w="0" w:type="dxa"/>
            <w:left w:w="108" w:type="dxa"/>
            <w:bottom w:w="0" w:type="dxa"/>
            <w:right w:w="108" w:type="dxa"/>
          </w:tblCellMar>
        </w:tblPrEx>
        <w:trPr>
          <w:trHeight w:val="332"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295"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3589.79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3589.79</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lang w:val="en-US" w:eastAsia="zh-CN"/>
              </w:rPr>
              <w:t>3589.79</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b/>
                <w:color w:val="000000"/>
                <w:sz w:val="22"/>
              </w:rPr>
            </w:pPr>
            <w:r>
              <w:rPr>
                <w:rFonts w:hint="eastAsia" w:ascii="Times New Roman" w:hAnsi="Times New Roman" w:eastAsia="仿宋_GB2312" w:cs="Times New Roman"/>
                <w:color w:val="000000"/>
                <w:sz w:val="22"/>
                <w:lang w:val="en-US" w:eastAsia="zh-CN"/>
              </w:rPr>
              <w:t>3589.79</w:t>
            </w:r>
          </w:p>
        </w:tc>
      </w:tr>
    </w:tbl>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hint="eastAsia"/>
          <w:lang w:val="en-US" w:eastAsia="zh-CN"/>
        </w:rPr>
        <w:t>道县社会保险服务中心</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3589.79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3589.79</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2080101</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行政运行</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277.41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277.41</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2080107</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社会保险业务管理事务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61.88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61.88</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2080199</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其他人力资源和社会保障管理事务支出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50.50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50.50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2080506</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机关事业单位职业年金缴费支出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hint="eastAsia" w:ascii="Times New Roman" w:hAnsi="Times New Roman" w:eastAsia="仿宋_GB2312" w:cs="Times New Roman"/>
                <w:lang w:val="en-US" w:eastAsia="zh-CN"/>
              </w:rPr>
              <w:t>3200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3200</w:t>
            </w: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r>
        <w:tblPrEx>
          <w:tblCellMar>
            <w:top w:w="0" w:type="dxa"/>
            <w:left w:w="0" w:type="dxa"/>
            <w:bottom w:w="0" w:type="dxa"/>
            <w:right w:w="0" w:type="dxa"/>
          </w:tblCellMar>
        </w:tblPrEx>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30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r>
              <w:rPr>
                <w:rFonts w:ascii="Times New Roman" w:hAnsi="Times New Roman" w:eastAsia="仿宋_GB2312" w:cs="Times New Roman"/>
              </w:rPr>
              <w:t>　</w:t>
            </w: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pPr>
        <w:widowControl/>
        <w:jc w:val="center"/>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lang w:val="en-US" w:eastAsia="zh-CN"/>
        </w:rPr>
        <w:t>道县社会保险服务中心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4996" w:type="pct"/>
        <w:jc w:val="center"/>
        <w:tblLayout w:type="fixed"/>
        <w:tblCellMar>
          <w:top w:w="0" w:type="dxa"/>
          <w:left w:w="108" w:type="dxa"/>
          <w:bottom w:w="0" w:type="dxa"/>
          <w:right w:w="108" w:type="dxa"/>
        </w:tblCellMar>
      </w:tblPr>
      <w:tblGrid>
        <w:gridCol w:w="2041"/>
        <w:gridCol w:w="2458"/>
        <w:gridCol w:w="1725"/>
        <w:gridCol w:w="1650"/>
        <w:gridCol w:w="1413"/>
        <w:gridCol w:w="1312"/>
        <w:gridCol w:w="1450"/>
        <w:gridCol w:w="2160"/>
      </w:tblGrid>
      <w:tr>
        <w:tblPrEx>
          <w:tblCellMar>
            <w:top w:w="0" w:type="dxa"/>
            <w:left w:w="108" w:type="dxa"/>
            <w:bottom w:w="0" w:type="dxa"/>
            <w:right w:w="108" w:type="dxa"/>
          </w:tblCellMar>
        </w:tblPrEx>
        <w:trPr>
          <w:trHeight w:val="595" w:hRule="atLeast"/>
          <w:jc w:val="center"/>
        </w:trPr>
        <w:tc>
          <w:tcPr>
            <w:tcW w:w="1583" w:type="pct"/>
            <w:gridSpan w:val="2"/>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60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58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97"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461"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51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7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71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864"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0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9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51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7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71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864"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0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8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97"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1"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51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7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58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0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58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97"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461"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51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7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58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0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lang w:val="en-US" w:eastAsia="zh-CN"/>
              </w:rPr>
              <w:t>3589.79</w:t>
            </w:r>
            <w:r>
              <w:rPr>
                <w:rFonts w:ascii="Times New Roman" w:hAnsi="Times New Roman" w:eastAsia="仿宋_GB2312" w:cs="Times New Roman"/>
                <w:kern w:val="0"/>
                <w:sz w:val="24"/>
                <w:szCs w:val="24"/>
              </w:rPr>
              <w:t>　</w:t>
            </w:r>
          </w:p>
        </w:tc>
        <w:tc>
          <w:tcPr>
            <w:tcW w:w="5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327.91</w:t>
            </w:r>
            <w:r>
              <w:rPr>
                <w:rFonts w:ascii="Times New Roman" w:hAnsi="Times New Roman" w:eastAsia="仿宋_GB2312" w:cs="Times New Roman"/>
                <w:kern w:val="0"/>
                <w:sz w:val="24"/>
                <w:szCs w:val="24"/>
              </w:rPr>
              <w:t>　</w:t>
            </w:r>
          </w:p>
        </w:tc>
        <w:tc>
          <w:tcPr>
            <w:tcW w:w="4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3261.88</w:t>
            </w:r>
            <w:r>
              <w:rPr>
                <w:rFonts w:ascii="Times New Roman" w:hAnsi="Times New Roman" w:eastAsia="仿宋_GB2312" w:cs="Times New Roman"/>
                <w:kern w:val="0"/>
                <w:sz w:val="24"/>
                <w:szCs w:val="24"/>
              </w:rPr>
              <w:t>　</w:t>
            </w:r>
          </w:p>
        </w:tc>
        <w:tc>
          <w:tcPr>
            <w:tcW w:w="4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1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2080101</w:t>
            </w:r>
          </w:p>
        </w:tc>
        <w:tc>
          <w:tcPr>
            <w:tcW w:w="864" w:type="pct"/>
            <w:tcBorders>
              <w:top w:val="nil"/>
              <w:left w:val="nil"/>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行政运行</w:t>
            </w:r>
          </w:p>
        </w:tc>
        <w:tc>
          <w:tcPr>
            <w:tcW w:w="607"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277.41</w:t>
            </w:r>
            <w:r>
              <w:rPr>
                <w:rFonts w:ascii="Times New Roman" w:hAnsi="Times New Roman" w:eastAsia="仿宋_GB2312" w:cs="Times New Roman"/>
              </w:rPr>
              <w:t>　</w:t>
            </w:r>
          </w:p>
        </w:tc>
        <w:tc>
          <w:tcPr>
            <w:tcW w:w="5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277.41</w:t>
            </w:r>
            <w:r>
              <w:rPr>
                <w:rFonts w:ascii="Times New Roman" w:hAnsi="Times New Roman" w:eastAsia="仿宋_GB2312" w:cs="Times New Roman"/>
                <w:kern w:val="0"/>
                <w:sz w:val="24"/>
                <w:szCs w:val="24"/>
              </w:rPr>
              <w:t>　</w:t>
            </w:r>
          </w:p>
        </w:tc>
        <w:tc>
          <w:tcPr>
            <w:tcW w:w="4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1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2080107</w:t>
            </w:r>
          </w:p>
        </w:tc>
        <w:tc>
          <w:tcPr>
            <w:tcW w:w="864" w:type="pct"/>
            <w:tcBorders>
              <w:top w:val="nil"/>
              <w:left w:val="nil"/>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社会保险业务管理事务</w:t>
            </w:r>
          </w:p>
        </w:tc>
        <w:tc>
          <w:tcPr>
            <w:tcW w:w="607"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61.88</w:t>
            </w:r>
            <w:r>
              <w:rPr>
                <w:rFonts w:ascii="Times New Roman" w:hAnsi="Times New Roman" w:eastAsia="仿宋_GB2312" w:cs="Times New Roman"/>
              </w:rPr>
              <w:t>　</w:t>
            </w:r>
          </w:p>
        </w:tc>
        <w:tc>
          <w:tcPr>
            <w:tcW w:w="5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61.88</w:t>
            </w:r>
            <w:r>
              <w:rPr>
                <w:rFonts w:ascii="Times New Roman" w:hAnsi="Times New Roman" w:eastAsia="仿宋_GB2312" w:cs="Times New Roman"/>
                <w:kern w:val="0"/>
                <w:sz w:val="24"/>
                <w:szCs w:val="24"/>
              </w:rPr>
              <w:t>　</w:t>
            </w:r>
          </w:p>
        </w:tc>
        <w:tc>
          <w:tcPr>
            <w:tcW w:w="4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1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2080199</w:t>
            </w:r>
          </w:p>
        </w:tc>
        <w:tc>
          <w:tcPr>
            <w:tcW w:w="864" w:type="pct"/>
            <w:tcBorders>
              <w:top w:val="nil"/>
              <w:left w:val="nil"/>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其他人力资源和社会保障管理事务支出</w:t>
            </w:r>
          </w:p>
        </w:tc>
        <w:tc>
          <w:tcPr>
            <w:tcW w:w="607"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50.50</w:t>
            </w:r>
            <w:r>
              <w:rPr>
                <w:rFonts w:ascii="Times New Roman" w:hAnsi="Times New Roman" w:eastAsia="仿宋_GB2312" w:cs="Times New Roman"/>
              </w:rPr>
              <w:t>　</w:t>
            </w:r>
          </w:p>
        </w:tc>
        <w:tc>
          <w:tcPr>
            <w:tcW w:w="5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50.5</w:t>
            </w:r>
            <w:r>
              <w:rPr>
                <w:rFonts w:ascii="Times New Roman" w:hAnsi="Times New Roman" w:eastAsia="仿宋_GB2312" w:cs="Times New Roman"/>
                <w:kern w:val="0"/>
                <w:sz w:val="24"/>
                <w:szCs w:val="24"/>
              </w:rPr>
              <w:t>　</w:t>
            </w:r>
          </w:p>
        </w:tc>
        <w:tc>
          <w:tcPr>
            <w:tcW w:w="4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1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2080506</w:t>
            </w:r>
          </w:p>
        </w:tc>
        <w:tc>
          <w:tcPr>
            <w:tcW w:w="864" w:type="pct"/>
            <w:tcBorders>
              <w:top w:val="nil"/>
              <w:left w:val="nil"/>
              <w:bottom w:val="single" w:color="auto" w:sz="4" w:space="0"/>
              <w:right w:val="single" w:color="auto" w:sz="4" w:space="0"/>
            </w:tcBorders>
            <w:shd w:val="clear" w:color="000000" w:fill="FFFFFF"/>
            <w:noWrap/>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机关事业单位职业年金缴费支出</w:t>
            </w:r>
          </w:p>
        </w:tc>
        <w:tc>
          <w:tcPr>
            <w:tcW w:w="607"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3200</w:t>
            </w:r>
            <w:r>
              <w:rPr>
                <w:rFonts w:ascii="Times New Roman" w:hAnsi="Times New Roman" w:eastAsia="仿宋_GB2312" w:cs="Times New Roman"/>
              </w:rPr>
              <w:t>　</w:t>
            </w:r>
          </w:p>
        </w:tc>
        <w:tc>
          <w:tcPr>
            <w:tcW w:w="5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hint="eastAsia" w:ascii="Times New Roman" w:hAnsi="Times New Roman" w:eastAsia="仿宋_GB2312" w:cs="Times New Roman"/>
                <w:kern w:val="0"/>
                <w:sz w:val="24"/>
                <w:szCs w:val="24"/>
                <w:lang w:val="en-US" w:eastAsia="zh-CN"/>
              </w:rPr>
              <w:t>3200</w:t>
            </w:r>
            <w:r>
              <w:rPr>
                <w:rFonts w:ascii="Times New Roman" w:hAnsi="Times New Roman" w:eastAsia="仿宋_GB2312" w:cs="Times New Roman"/>
                <w:kern w:val="0"/>
                <w:sz w:val="24"/>
                <w:szCs w:val="24"/>
              </w:rPr>
              <w:t>　</w:t>
            </w:r>
          </w:p>
        </w:tc>
        <w:tc>
          <w:tcPr>
            <w:tcW w:w="4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1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718"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64" w:type="pct"/>
            <w:tcBorders>
              <w:top w:val="nil"/>
              <w:left w:val="nil"/>
              <w:bottom w:val="single" w:color="auto" w:sz="4" w:space="0"/>
              <w:right w:val="single" w:color="auto" w:sz="4" w:space="0"/>
            </w:tcBorders>
            <w:shd w:val="clear" w:color="000000" w:fill="FFFFFF"/>
            <w:noWrap/>
            <w:vAlign w:val="center"/>
          </w:tcPr>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60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8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97"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1"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51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7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3" w:name="RANGE!A1:I22"/>
      <w:bookmarkEnd w:id="3"/>
      <w:bookmarkStart w:id="4"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pPr>
        <w:widowControl/>
        <w:spacing w:line="400" w:lineRule="exact"/>
        <w:jc w:val="both"/>
        <w:textAlignment w:val="center"/>
        <w:rPr>
          <w:rFonts w:ascii="Times New Roman" w:hAnsi="Times New Roman" w:eastAsia="黑体"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Cs w:val="21"/>
          <w:lang w:val="en-US" w:eastAsia="zh-CN"/>
        </w:rPr>
        <w:t>道县社会保险服务中心</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0" w:type="auto"/>
        <w:jc w:val="center"/>
        <w:tblLayout w:type="autofit"/>
        <w:tblCellMar>
          <w:top w:w="0" w:type="dxa"/>
          <w:left w:w="108" w:type="dxa"/>
          <w:bottom w:w="0" w:type="dxa"/>
          <w:right w:w="108" w:type="dxa"/>
        </w:tblCellMar>
      </w:tblPr>
      <w:tblGrid>
        <w:gridCol w:w="3516"/>
        <w:gridCol w:w="616"/>
        <w:gridCol w:w="899"/>
        <w:gridCol w:w="3076"/>
        <w:gridCol w:w="616"/>
        <w:gridCol w:w="899"/>
        <w:gridCol w:w="1425"/>
        <w:gridCol w:w="1533"/>
        <w:gridCol w:w="1640"/>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25"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3589.79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val="en-US" w:eastAsia="zh-CN"/>
              </w:rPr>
            </w:pPr>
            <w:r>
              <w:rPr>
                <w:rFonts w:ascii="Times New Roman" w:hAnsi="Times New Roman" w:eastAsia="仿宋_GB2312" w:cs="Times New Roman"/>
                <w:kern w:val="0"/>
                <w:sz w:val="22"/>
              </w:rPr>
              <w:t>　</w:t>
            </w:r>
            <w:r>
              <w:rPr>
                <w:rFonts w:hint="eastAsia" w:ascii="Times New Roman" w:hAnsi="Times New Roman" w:eastAsia="仿宋_GB2312" w:cs="Times New Roman"/>
                <w:kern w:val="0"/>
                <w:sz w:val="22"/>
                <w:lang w:val="en-US" w:eastAsia="zh-CN"/>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七、文化旅游体育与传媒支出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八、社会保障和就业支出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89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3589.79</w:t>
            </w:r>
          </w:p>
        </w:tc>
        <w:tc>
          <w:tcPr>
            <w:tcW w:w="14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3589.79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3589.79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89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lang w:val="en-US" w:eastAsia="zh-CN"/>
              </w:rPr>
              <w:t>3589.79</w:t>
            </w:r>
          </w:p>
        </w:tc>
        <w:tc>
          <w:tcPr>
            <w:tcW w:w="14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lang w:val="en-US" w:eastAsia="zh-CN"/>
              </w:rPr>
              <w:t>3589.79</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899"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25" w:type="dxa"/>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75"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hint="eastAsia" w:ascii="Times New Roman" w:hAnsi="Times New Roman" w:eastAsia="仿宋_GB2312" w:cs="Times New Roman"/>
                <w:lang w:val="en-US" w:eastAsia="zh-CN"/>
              </w:rPr>
              <w:t>3589.79</w:t>
            </w: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899"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lang w:val="en-US" w:eastAsia="zh-CN"/>
              </w:rPr>
              <w:t>3589.79</w:t>
            </w:r>
          </w:p>
        </w:tc>
        <w:tc>
          <w:tcPr>
            <w:tcW w:w="1425"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szCs w:val="22"/>
                <w:lang w:val="en-US" w:eastAsia="zh-CN" w:bidi="ar-SA"/>
              </w:rPr>
            </w:pPr>
            <w:r>
              <w:rPr>
                <w:rFonts w:hint="eastAsia" w:ascii="Times New Roman" w:hAnsi="Times New Roman" w:eastAsia="仿宋_GB2312" w:cs="Times New Roman"/>
                <w:lang w:val="en-US" w:eastAsia="zh-CN"/>
              </w:rPr>
              <w:t>3589.79</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4"/>
    </w:p>
    <w:p>
      <w:pPr>
        <w:widowControl/>
        <w:spacing w:before="156"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道县社会保险服务中心</w:t>
      </w:r>
      <w:r>
        <w:rPr>
          <w:rFonts w:ascii="Times New Roman" w:hAnsi="Times New Roman" w:eastAsia="仿宋_GB2312" w:cs="Times New Roman"/>
          <w:color w:val="000000"/>
          <w:kern w:val="0"/>
          <w:szCs w:val="21"/>
        </w:rPr>
        <w:t xml:space="preserve">                                                                                          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lang w:val="en-US" w:eastAsia="zh-CN"/>
              </w:rPr>
              <w:t>3589.79</w:t>
            </w:r>
            <w:r>
              <w:rPr>
                <w:rFonts w:ascii="Times New Roman" w:hAnsi="Times New Roman" w:eastAsia="仿宋_GB2312" w:cs="Times New Roman"/>
                <w:kern w:val="0"/>
                <w:sz w:val="24"/>
                <w:szCs w:val="24"/>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327.91</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3261.88</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2080101</w:t>
            </w:r>
          </w:p>
        </w:tc>
        <w:tc>
          <w:tcPr>
            <w:tcW w:w="3527" w:type="dxa"/>
            <w:tcBorders>
              <w:top w:val="nil"/>
              <w:left w:val="nil"/>
              <w:bottom w:val="single" w:color="auto" w:sz="4" w:space="0"/>
              <w:right w:val="single" w:color="auto" w:sz="4" w:space="0"/>
            </w:tcBorders>
            <w:shd w:val="clear" w:color="000000" w:fill="FFFFFF"/>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行政运行</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277.41</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277.41</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2080107</w:t>
            </w:r>
          </w:p>
        </w:tc>
        <w:tc>
          <w:tcPr>
            <w:tcW w:w="3527" w:type="dxa"/>
            <w:tcBorders>
              <w:top w:val="nil"/>
              <w:left w:val="nil"/>
              <w:bottom w:val="single" w:color="auto" w:sz="4" w:space="0"/>
              <w:right w:val="single" w:color="auto" w:sz="4" w:space="0"/>
            </w:tcBorders>
            <w:shd w:val="clear" w:color="000000" w:fill="FFFFFF"/>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社会保险业务管理事务</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61.88</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61.88</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2080199</w:t>
            </w:r>
          </w:p>
        </w:tc>
        <w:tc>
          <w:tcPr>
            <w:tcW w:w="3527" w:type="dxa"/>
            <w:tcBorders>
              <w:top w:val="nil"/>
              <w:left w:val="nil"/>
              <w:bottom w:val="single" w:color="auto" w:sz="4" w:space="0"/>
              <w:right w:val="single" w:color="auto" w:sz="4" w:space="0"/>
            </w:tcBorders>
            <w:shd w:val="clear" w:color="000000" w:fill="FFFFFF"/>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其他人力资源和社会保障管理事务支出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50.50</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50.5</w:t>
            </w: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000000" w:fill="FFFFFF"/>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2080506</w:t>
            </w:r>
          </w:p>
        </w:tc>
        <w:tc>
          <w:tcPr>
            <w:tcW w:w="3527" w:type="dxa"/>
            <w:tcBorders>
              <w:top w:val="nil"/>
              <w:left w:val="nil"/>
              <w:bottom w:val="single" w:color="auto" w:sz="4" w:space="0"/>
              <w:right w:val="single" w:color="auto" w:sz="4" w:space="0"/>
            </w:tcBorders>
            <w:shd w:val="clear" w:color="000000" w:fill="FFFFFF"/>
            <w:vAlign w:val="center"/>
          </w:tcPr>
          <w:p>
            <w:pPr>
              <w:rPr>
                <w:rFonts w:hint="default" w:ascii="宋体" w:hAnsi="宋体" w:cs="宋体" w:eastAsiaTheme="minorEastAsia"/>
                <w:kern w:val="2"/>
                <w:sz w:val="24"/>
                <w:szCs w:val="24"/>
                <w:lang w:val="en-US" w:eastAsia="zh-CN" w:bidi="ar-SA"/>
              </w:rPr>
            </w:pPr>
            <w:r>
              <w:rPr>
                <w:rFonts w:hint="eastAsia"/>
              </w:rPr>
              <w:t>　</w:t>
            </w:r>
            <w:r>
              <w:rPr>
                <w:rFonts w:hint="eastAsia"/>
                <w:lang w:val="en-US" w:eastAsia="zh-CN"/>
              </w:rPr>
              <w:t>机关事业单位职业年金缴费支出</w:t>
            </w:r>
          </w:p>
        </w:tc>
        <w:tc>
          <w:tcPr>
            <w:tcW w:w="3000" w:type="dxa"/>
            <w:tcBorders>
              <w:top w:val="nil"/>
              <w:left w:val="nil"/>
              <w:bottom w:val="single" w:color="auto" w:sz="4" w:space="0"/>
              <w:right w:val="single" w:color="auto" w:sz="4" w:space="0"/>
            </w:tcBorders>
            <w:shd w:val="clear" w:color="auto" w:fill="auto"/>
            <w:vAlign w:val="center"/>
          </w:tcPr>
          <w:p>
            <w:pPr>
              <w:jc w:val="right"/>
              <w:rPr>
                <w:rFonts w:ascii="Times New Roman" w:hAnsi="Times New Roman" w:eastAsia="仿宋_GB2312" w:cs="Times New Roman"/>
                <w:kern w:val="2"/>
                <w:sz w:val="24"/>
                <w:szCs w:val="24"/>
                <w:lang w:val="en-US" w:eastAsia="zh-CN" w:bidi="ar-SA"/>
              </w:rPr>
            </w:pPr>
            <w:r>
              <w:rPr>
                <w:rFonts w:hint="eastAsia" w:ascii="Times New Roman" w:hAnsi="Times New Roman" w:eastAsia="仿宋_GB2312" w:cs="Times New Roman"/>
                <w:lang w:val="en-US" w:eastAsia="zh-CN"/>
              </w:rPr>
              <w:t>3200</w:t>
            </w:r>
            <w:r>
              <w:rPr>
                <w:rFonts w:ascii="Times New Roman" w:hAnsi="Times New Roman" w:eastAsia="仿宋_GB2312" w:cs="Times New Roman"/>
              </w:rPr>
              <w:t>　</w:t>
            </w:r>
          </w:p>
        </w:tc>
        <w:tc>
          <w:tcPr>
            <w:tcW w:w="3492" w:type="dxa"/>
            <w:tcBorders>
              <w:top w:val="nil"/>
              <w:left w:val="nil"/>
              <w:bottom w:val="single" w:color="auto" w:sz="4" w:space="0"/>
              <w:right w:val="single" w:color="auto" w:sz="4"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ascii="Times New Roman" w:hAnsi="Times New Roman" w:eastAsia="仿宋_GB2312" w:cs="Times New Roman"/>
                <w:kern w:val="0"/>
                <w:sz w:val="24"/>
                <w:szCs w:val="24"/>
              </w:rPr>
              <w:t>　</w:t>
            </w:r>
          </w:p>
        </w:tc>
        <w:tc>
          <w:tcPr>
            <w:tcW w:w="3000" w:type="dxa"/>
            <w:tcBorders>
              <w:top w:val="nil"/>
              <w:left w:val="nil"/>
              <w:bottom w:val="single" w:color="auto" w:sz="4" w:space="0"/>
              <w:right w:val="single" w:color="auto" w:sz="8" w:space="0"/>
            </w:tcBorders>
            <w:shd w:val="clear" w:color="auto" w:fill="auto"/>
            <w:vAlign w:val="center"/>
          </w:tcPr>
          <w:p>
            <w:pPr>
              <w:widowControl/>
              <w:jc w:val="right"/>
              <w:rPr>
                <w:rFonts w:ascii="Times New Roman" w:hAnsi="Times New Roman" w:eastAsia="仿宋_GB2312" w:cs="Times New Roman"/>
                <w:kern w:val="0"/>
                <w:sz w:val="24"/>
                <w:szCs w:val="24"/>
                <w:lang w:val="en-US" w:eastAsia="zh-CN" w:bidi="ar-SA"/>
              </w:rPr>
            </w:pPr>
            <w:r>
              <w:rPr>
                <w:rFonts w:hint="eastAsia" w:ascii="Times New Roman" w:hAnsi="Times New Roman" w:eastAsia="仿宋_GB2312" w:cs="Times New Roman"/>
                <w:kern w:val="0"/>
                <w:sz w:val="24"/>
                <w:szCs w:val="24"/>
                <w:lang w:val="en-US" w:eastAsia="zh-CN"/>
              </w:rPr>
              <w:t>3200</w:t>
            </w: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4"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527"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492" w:type="dxa"/>
            <w:tcBorders>
              <w:top w:val="nil"/>
              <w:left w:val="nil"/>
              <w:bottom w:val="single" w:color="auto" w:sz="8" w:space="0"/>
              <w:right w:val="single" w:color="auto" w:sz="4"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c>
          <w:tcPr>
            <w:tcW w:w="3000" w:type="dxa"/>
            <w:tcBorders>
              <w:top w:val="nil"/>
              <w:left w:val="nil"/>
              <w:bottom w:val="single" w:color="auto" w:sz="8" w:space="0"/>
              <w:right w:val="single" w:color="auto" w:sz="8" w:space="0"/>
            </w:tcBorders>
            <w:shd w:val="clear" w:color="auto" w:fill="auto"/>
            <w:vAlign w:val="center"/>
          </w:tcPr>
          <w:p>
            <w:pPr>
              <w:widowControl/>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　</w:t>
            </w: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lang w:bidi="ar"/>
        </w:rPr>
      </w:pPr>
      <w:bookmarkStart w:id="5" w:name="RANGE!A1:I34"/>
      <w:r>
        <w:rPr>
          <w:rFonts w:ascii="Times New Roman" w:hAnsi="Times New Roman" w:eastAsia="黑体" w:cs="Times New Roman"/>
          <w:color w:val="000000"/>
          <w:kern w:val="0"/>
          <w:sz w:val="36"/>
          <w:szCs w:val="36"/>
          <w:lang w:bidi="ar"/>
        </w:rPr>
        <w:t>一般公共预算财政拨款基本支出决算明细表</w:t>
      </w:r>
      <w:bookmarkEnd w:id="5"/>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lang w:val="en-US" w:eastAsia="zh-CN"/>
        </w:rPr>
        <w:t>道县社会保险服务中心</w:t>
      </w:r>
      <w:r>
        <w:rPr>
          <w:rFonts w:ascii="Times New Roman" w:hAnsi="Times New Roman" w:eastAsia="仿宋_GB2312" w:cs="Times New Roman"/>
          <w:color w:val="000000"/>
          <w:kern w:val="0"/>
          <w:szCs w:val="21"/>
        </w:rPr>
        <w:t xml:space="preserve">                                                                                                          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277.41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50.50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107.2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56.65</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11.4</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26.21</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31.29</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36.24</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2.9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19.82</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1.5</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98"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eastAsia"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1</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4.9</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8.38</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6.6</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ascii="Times New Roman" w:hAnsi="Times New Roman" w:eastAsia="仿宋_GB2312" w:cs="Times New Roman"/>
                <w:color w:val="000000"/>
                <w:kern w:val="0"/>
                <w:szCs w:val="20"/>
              </w:rPr>
              <w:t>　</w:t>
            </w:r>
            <w:r>
              <w:rPr>
                <w:rFonts w:hint="eastAsia" w:ascii="Times New Roman" w:hAnsi="Times New Roman" w:eastAsia="仿宋_GB2312" w:cs="Times New Roman"/>
                <w:color w:val="000000"/>
                <w:kern w:val="0"/>
                <w:szCs w:val="20"/>
                <w:lang w:val="en-US" w:eastAsia="zh-CN"/>
              </w:rPr>
              <w:t>7.32</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color w:val="000000"/>
                <w:kern w:val="0"/>
                <w:szCs w:val="20"/>
                <w:lang w:val="en-US" w:eastAsia="zh-CN"/>
              </w:rPr>
            </w:pPr>
            <w:r>
              <w:rPr>
                <w:rFonts w:hint="eastAsia" w:ascii="Times New Roman" w:hAnsi="Times New Roman" w:eastAsia="仿宋_GB2312" w:cs="Times New Roman"/>
                <w:color w:val="000000"/>
                <w:kern w:val="0"/>
                <w:szCs w:val="20"/>
                <w:lang w:val="en-US" w:eastAsia="zh-CN"/>
              </w:rPr>
              <w:t>277.41</w:t>
            </w:r>
          </w:p>
        </w:tc>
        <w:tc>
          <w:tcPr>
            <w:tcW w:w="8801"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widowControl/>
              <w:jc w:val="left"/>
              <w:rPr>
                <w:rFonts w:hint="default" w:ascii="Times New Roman" w:hAnsi="Times New Roman" w:eastAsia="仿宋_GB2312" w:cs="Times New Roman"/>
                <w:color w:val="000000"/>
                <w:kern w:val="0"/>
                <w:szCs w:val="18"/>
                <w:lang w:val="en-US" w:eastAsia="zh-CN"/>
              </w:rPr>
            </w:pPr>
            <w:r>
              <w:rPr>
                <w:rFonts w:ascii="Times New Roman" w:hAnsi="Times New Roman" w:eastAsia="仿宋_GB2312" w:cs="Times New Roman"/>
                <w:color w:val="000000"/>
                <w:kern w:val="0"/>
                <w:szCs w:val="18"/>
              </w:rPr>
              <w:t>　</w:t>
            </w:r>
            <w:r>
              <w:rPr>
                <w:rFonts w:hint="eastAsia" w:ascii="Times New Roman" w:hAnsi="Times New Roman" w:eastAsia="仿宋_GB2312" w:cs="Times New Roman"/>
                <w:color w:val="000000"/>
                <w:kern w:val="0"/>
                <w:szCs w:val="18"/>
                <w:lang w:val="en-US" w:eastAsia="zh-CN"/>
              </w:rPr>
              <w:t>50.50</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line="400" w:lineRule="exact"/>
        <w:jc w:val="center"/>
        <w:textAlignment w:val="center"/>
        <w:rPr>
          <w:rFonts w:ascii="Times New Roman" w:hAnsi="Times New Roman" w:eastAsia="仿宋_GB2312"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道县社会保险服务中心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tblPrEx>
          <w:tblCellMar>
            <w:top w:w="0" w:type="dxa"/>
            <w:left w:w="108" w:type="dxa"/>
            <w:bottom w:w="0" w:type="dxa"/>
            <w:right w:w="108" w:type="dxa"/>
          </w:tblCellMar>
        </w:tblPrEx>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lang w:bidi="ar"/>
        </w:rPr>
      </w:pPr>
    </w:p>
    <w:p>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道县社会保险服务中心</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pPr>
        <w:widowControl/>
        <w:jc w:val="left"/>
        <w:textAlignment w:val="center"/>
        <w:rPr>
          <w:rFonts w:ascii="Times New Roman" w:hAnsi="Times New Roman" w:eastAsia="宋体" w:cs="Times New Roman"/>
          <w:color w:val="000000"/>
          <w:kern w:val="0"/>
          <w:sz w:val="24"/>
          <w:szCs w:val="24"/>
          <w:lang w:bidi="ar"/>
        </w:rPr>
      </w:pPr>
    </w:p>
    <w:p>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pPr>
        <w:widowControl/>
        <w:jc w:val="center"/>
        <w:rPr>
          <w:rFonts w:ascii="Times New Roman" w:hAnsi="Times New Roman" w:eastAsia="方正小标宋_GBK" w:cs="Times New Roman"/>
          <w:color w:val="000000"/>
          <w:kern w:val="0"/>
          <w:sz w:val="36"/>
          <w:szCs w:val="36"/>
        </w:rPr>
      </w:pPr>
    </w:p>
    <w:p>
      <w:pPr>
        <w:pStyle w:val="2"/>
        <w:spacing w:line="400" w:lineRule="exact"/>
        <w:rPr>
          <w:rFonts w:ascii="Times New Roman" w:hAnsi="Times New Roman" w:eastAsia="华文中宋" w:cs="Times New Roman"/>
          <w:color w:val="000000"/>
          <w:kern w:val="0"/>
          <w:sz w:val="32"/>
          <w:szCs w:val="32"/>
          <w:lang w:bidi="ar"/>
        </w:rPr>
      </w:pPr>
    </w:p>
    <w:p>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val="en-US" w:eastAsia="zh-CN" w:bidi="ar"/>
        </w:rPr>
        <w:t>道县社会保险服务中心</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eastAsia="方正小标宋_GBK"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lang w:val="en-US" w:eastAsia="zh-CN"/>
        </w:rPr>
        <w:t>3589.79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562.21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对机关职业年金的补助较去年减少650.13万元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lang w:val="en-US" w:eastAsia="zh-CN"/>
        </w:rPr>
        <w:t>3589.79</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3589.79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3589.79</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327.91</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9.13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3261.88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90.67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3589.79</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562.21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对机关职业年金的补助较去年减少650.13万元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3589.79</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562.21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13.5</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val="en-US" w:eastAsia="zh-CN"/>
        </w:rPr>
        <w:t>对机关职业年金的补助较去年减少650.13万元</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sz w:val="32"/>
          <w:szCs w:val="32"/>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lang w:val="en-US" w:eastAsia="zh-CN"/>
        </w:rPr>
        <w:t>3589.79</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%；教育（类）支出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sz w:val="32"/>
          <w:szCs w:val="32"/>
          <w:lang w:val="en-US" w:eastAsia="zh-CN"/>
        </w:rPr>
        <w:t>社会保障和就业支出3589.79万元，</w:t>
      </w:r>
      <w:r>
        <w:rPr>
          <w:rFonts w:hint="eastAsia" w:ascii="Times New Roman" w:hAnsi="Times New Roman" w:eastAsia="仿宋_GB2312"/>
          <w:sz w:val="32"/>
          <w:szCs w:val="32"/>
        </w:rPr>
        <w:t>占</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3854.72</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3589.79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93.13</w:t>
      </w:r>
      <w:r>
        <w:rPr>
          <w:rFonts w:ascii="Times New Roman" w:hAnsi="Times New Roman" w:eastAsia="仿宋_GB2312" w:cs="Times New Roman"/>
          <w:sz w:val="32"/>
          <w:szCs w:val="32"/>
        </w:rPr>
        <w:t>%，其中：</w:t>
      </w:r>
    </w:p>
    <w:p>
      <w:pPr>
        <w:pStyle w:val="13"/>
        <w:keepNext w:val="0"/>
        <w:keepLines w:val="0"/>
        <w:pageBreakBefore w:val="0"/>
        <w:widowControl w:val="0"/>
        <w:numPr>
          <w:ilvl w:val="0"/>
          <w:numId w:val="0"/>
        </w:numPr>
        <w:kinsoku/>
        <w:wordWrap/>
        <w:overflowPunct/>
        <w:topLinePunct w:val="0"/>
        <w:bidi w:val="0"/>
        <w:snapToGrid/>
        <w:spacing w:line="600" w:lineRule="exact"/>
        <w:ind w:firstLine="640" w:firstLineChars="200"/>
        <w:textAlignment w:val="auto"/>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1、社会保障和就业支出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行政事业单位养老支出</w:t>
      </w:r>
      <w:r>
        <w:rPr>
          <w:rFonts w:hint="eastAsia" w:ascii="Times New Roman" w:hAnsi="Times New Roman" w:eastAsia="仿宋_GB2312"/>
          <w:sz w:val="32"/>
          <w:szCs w:val="32"/>
        </w:rPr>
        <w:t>（款）机关事业单位职业年金缴费支出（项）</w:t>
      </w:r>
      <w:r>
        <w:rPr>
          <w:rFonts w:hint="eastAsia" w:ascii="Times New Roman" w:hAnsi="Times New Roman" w:eastAsia="仿宋_GB2312"/>
          <w:sz w:val="32"/>
          <w:szCs w:val="32"/>
          <w:lang w:eastAsia="zh-CN"/>
        </w:rPr>
        <w:t>。</w:t>
      </w:r>
    </w:p>
    <w:p>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4500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3200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71.11</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2025年预算职业年金虚账记实人数为715人，人均金额为6.3万元，实际人数485人，人均6.6万元，人数减少主要是受延迟退休政策的影响。</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2、社会保障和就业支出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人力资源和社会保障管理事务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城乡居保征缴工作经费</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年初预算时直接纳入县里大预算，不在本部门预算中体现。</w:t>
      </w:r>
    </w:p>
    <w:p>
      <w:pPr>
        <w:pStyle w:val="13"/>
        <w:numPr>
          <w:ilvl w:val="0"/>
          <w:numId w:val="2"/>
        </w:numPr>
        <w:overflowPunct w:val="0"/>
        <w:autoSpaceDE/>
        <w:autoSpaceDN/>
        <w:spacing w:line="600" w:lineRule="exact"/>
        <w:ind w:left="-10" w:leftChars="0" w:firstLine="640" w:firstLineChars="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人力资源和社会保障管理事务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城乡居保资格认证考核经费</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13.9</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3.72</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26.76</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年初预算数的主要原因是：</w:t>
      </w:r>
      <w:r>
        <w:rPr>
          <w:rFonts w:hint="eastAsia" w:ascii="仿宋_GB2312" w:hAnsi="仿宋_GB2312" w:eastAsia="仿宋_GB2312" w:cs="仿宋_GB2312"/>
          <w:bCs/>
          <w:sz w:val="32"/>
          <w:szCs w:val="32"/>
          <w:lang w:val="en-US" w:eastAsia="zh-CN"/>
        </w:rPr>
        <w:t>财政实际拨付3.72万元，项目支出按实际到位资金执行。</w:t>
      </w:r>
    </w:p>
    <w:p>
      <w:pPr>
        <w:pStyle w:val="13"/>
        <w:numPr>
          <w:ilvl w:val="0"/>
          <w:numId w:val="2"/>
        </w:numPr>
        <w:overflowPunct w:val="0"/>
        <w:autoSpaceDE/>
        <w:autoSpaceDN/>
        <w:spacing w:line="600" w:lineRule="exact"/>
        <w:ind w:left="-10" w:leftChars="0" w:firstLine="640" w:firstLineChars="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人力资源和社会保障管理事务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机关代发离退休费</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default"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35</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31.08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88.8</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年初预留调待空间，实际执行支出低于预算。</w:t>
      </w:r>
    </w:p>
    <w:p>
      <w:pPr>
        <w:pStyle w:val="13"/>
        <w:numPr>
          <w:ilvl w:val="0"/>
          <w:numId w:val="2"/>
        </w:numPr>
        <w:overflowPunct w:val="0"/>
        <w:autoSpaceDE/>
        <w:autoSpaceDN/>
        <w:spacing w:line="600" w:lineRule="exact"/>
        <w:ind w:left="-10" w:leftChars="0" w:firstLine="640" w:firstLineChars="0"/>
        <w:jc w:val="both"/>
        <w:rPr>
          <w:rFonts w:hint="eastAsia" w:ascii="Times New Roman" w:hAnsi="Times New Roman" w:eastAsia="仿宋_GB2312"/>
          <w:sz w:val="32"/>
          <w:szCs w:val="32"/>
          <w:lang w:eastAsia="zh-CN"/>
        </w:rPr>
      </w:pPr>
      <w:r>
        <w:rPr>
          <w:rFonts w:hint="eastAsia" w:ascii="Times New Roman" w:hAnsi="Times New Roman" w:eastAsia="仿宋_GB2312"/>
          <w:sz w:val="32"/>
          <w:szCs w:val="32"/>
          <w:lang w:val="en-US" w:eastAsia="zh-CN"/>
        </w:rPr>
        <w:t>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人力资源和社会保障管理事务</w:t>
      </w:r>
      <w:r>
        <w:rPr>
          <w:rFonts w:hint="eastAsia" w:ascii="Times New Roman" w:hAnsi="Times New Roman" w:eastAsia="仿宋_GB2312"/>
          <w:sz w:val="32"/>
          <w:szCs w:val="32"/>
        </w:rPr>
        <w:t>（款）</w:t>
      </w:r>
      <w:r>
        <w:rPr>
          <w:rFonts w:hint="eastAsia" w:ascii="Times New Roman" w:hAnsi="Times New Roman" w:eastAsia="仿宋_GB2312"/>
          <w:sz w:val="32"/>
          <w:szCs w:val="32"/>
          <w:lang w:val="en-US" w:eastAsia="zh-CN"/>
        </w:rPr>
        <w:t>离休干部遗孀生活补助等三个项目</w:t>
      </w:r>
      <w:r>
        <w:rPr>
          <w:rFonts w:hint="eastAsia" w:ascii="Times New Roman" w:hAnsi="Times New Roman" w:eastAsia="仿宋_GB2312"/>
          <w:sz w:val="32"/>
          <w:szCs w:val="32"/>
        </w:rPr>
        <w:t>（项）</w:t>
      </w:r>
      <w:r>
        <w:rPr>
          <w:rFonts w:hint="eastAsia" w:ascii="Times New Roman" w:hAnsi="Times New Roman" w:eastAsia="仿宋_GB2312"/>
          <w:sz w:val="32"/>
          <w:szCs w:val="32"/>
          <w:lang w:eastAsia="zh-CN"/>
        </w:rPr>
        <w:t>。</w:t>
      </w:r>
    </w:p>
    <w:p>
      <w:pPr>
        <w:pStyle w:val="13"/>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20</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13.08</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65.4</w:t>
      </w:r>
      <w:r>
        <w:rPr>
          <w:rFonts w:hint="eastAsia" w:ascii="Times New Roman" w:hAnsi="Times New Roman" w:eastAsia="仿宋_GB2312"/>
          <w:sz w:val="32"/>
          <w:szCs w:val="32"/>
        </w:rPr>
        <w:t>%，决算数</w:t>
      </w:r>
      <w:r>
        <w:rPr>
          <w:rFonts w:hint="eastAsia" w:ascii="Times New Roman" w:hAnsi="Times New Roman" w:eastAsia="仿宋_GB2312"/>
          <w:sz w:val="32"/>
          <w:szCs w:val="32"/>
          <w:lang w:val="en-US" w:eastAsia="zh-CN"/>
        </w:rPr>
        <w:t>小于</w:t>
      </w:r>
      <w:r>
        <w:rPr>
          <w:rFonts w:hint="eastAsia" w:ascii="Times New Roman" w:hAnsi="Times New Roman" w:eastAsia="仿宋_GB2312"/>
          <w:sz w:val="32"/>
          <w:szCs w:val="32"/>
        </w:rPr>
        <w:t>年初预算数的主要原因是：</w:t>
      </w:r>
      <w:r>
        <w:rPr>
          <w:rFonts w:hint="eastAsia" w:ascii="Times New Roman" w:hAnsi="Times New Roman" w:eastAsia="仿宋_GB2312"/>
          <w:sz w:val="32"/>
          <w:szCs w:val="32"/>
          <w:lang w:val="en-US" w:eastAsia="zh-CN"/>
        </w:rPr>
        <w:t>年初预留调待空间，实际执行支出低于预算。</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ascii="Times New Roman" w:hAnsi="Times New Roman" w:eastAsia="仿宋_GB2312"/>
          <w:sz w:val="32"/>
          <w:szCs w:val="32"/>
        </w:rPr>
      </w:pPr>
      <w:r>
        <w:rPr>
          <w:rFonts w:hint="eastAsia" w:ascii="Times New Roman" w:hAnsi="Times New Roman" w:eastAsia="仿宋_GB2312"/>
          <w:sz w:val="32"/>
          <w:szCs w:val="32"/>
          <w:lang w:val="en-US" w:eastAsia="zh-CN"/>
        </w:rPr>
        <w:t>6、社会保障和就业支出</w:t>
      </w:r>
      <w:r>
        <w:rPr>
          <w:rFonts w:hint="eastAsia" w:ascii="Times New Roman" w:hAnsi="Times New Roman" w:eastAsia="仿宋_GB2312"/>
          <w:sz w:val="32"/>
          <w:szCs w:val="32"/>
        </w:rPr>
        <w:t>（类）</w:t>
      </w:r>
      <w:r>
        <w:rPr>
          <w:rFonts w:hint="eastAsia" w:ascii="Times New Roman" w:hAnsi="Times New Roman" w:eastAsia="仿宋_GB2312"/>
          <w:sz w:val="32"/>
          <w:szCs w:val="32"/>
          <w:lang w:val="en-US" w:eastAsia="zh-CN"/>
        </w:rPr>
        <w:t>人力资源和社会保障管理事务</w:t>
      </w:r>
      <w:r>
        <w:rPr>
          <w:rFonts w:hint="eastAsia" w:ascii="Times New Roman" w:hAnsi="Times New Roman" w:eastAsia="仿宋_GB2312"/>
          <w:sz w:val="32"/>
          <w:szCs w:val="32"/>
        </w:rPr>
        <w:t>（款）其他人力资源和社会保障管理事务支出（项）。</w:t>
      </w:r>
    </w:p>
    <w:p>
      <w:pPr>
        <w:pStyle w:val="13"/>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default" w:ascii="仿宋_GB2312" w:hAnsi="仿宋_GB2312" w:eastAsia="仿宋_GB2312" w:cs="仿宋_GB2312"/>
          <w:bCs/>
          <w:sz w:val="32"/>
          <w:szCs w:val="32"/>
          <w:lang w:val="en-US" w:eastAsia="zh-CN"/>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44.66</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50.5</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113.08</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val="en-US" w:eastAsia="zh-CN"/>
        </w:rPr>
        <w:t>单位人员增加，人员相关经费实际支出高于年初预算。</w:t>
      </w:r>
    </w:p>
    <w:p>
      <w:pPr>
        <w:pStyle w:val="13"/>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7、社会保障和就业支出（类）人力资源和社会保障管理事务（款）行政运行（项）。</w:t>
      </w:r>
    </w:p>
    <w:p>
      <w:pPr>
        <w:pStyle w:val="13"/>
        <w:keepNext w:val="0"/>
        <w:keepLines w:val="0"/>
        <w:pageBreakBefore w:val="0"/>
        <w:widowControl w:val="0"/>
        <w:numPr>
          <w:ilvl w:val="0"/>
          <w:numId w:val="0"/>
        </w:numPr>
        <w:kinsoku/>
        <w:wordWrap/>
        <w:overflowPunct/>
        <w:topLinePunct w:val="0"/>
        <w:bidi w:val="0"/>
        <w:snapToGrid/>
        <w:spacing w:line="600" w:lineRule="exact"/>
        <w:ind w:firstLine="960" w:firstLineChars="300"/>
        <w:textAlignment w:val="auto"/>
        <w:rPr>
          <w:rFonts w:hint="eastAsia" w:ascii="Times New Roman" w:hAnsi="Times New Roman" w:eastAsia="楷体_GB2312" w:cs="Times New Roman"/>
          <w:b/>
          <w:bCs/>
          <w:i/>
          <w:color w:val="auto"/>
          <w:sz w:val="32"/>
          <w:szCs w:val="32"/>
        </w:rPr>
      </w:pPr>
      <w:r>
        <w:rPr>
          <w:rFonts w:hint="eastAsia" w:ascii="Times New Roman" w:hAnsi="Times New Roman" w:eastAsia="仿宋_GB2312"/>
          <w:sz w:val="32"/>
          <w:szCs w:val="32"/>
        </w:rPr>
        <w:t>年初预算为</w:t>
      </w:r>
      <w:r>
        <w:rPr>
          <w:rFonts w:hint="eastAsia" w:ascii="Times New Roman" w:hAnsi="Times New Roman" w:eastAsia="仿宋_GB2312"/>
          <w:sz w:val="32"/>
          <w:szCs w:val="32"/>
          <w:lang w:val="en-US" w:eastAsia="zh-CN"/>
        </w:rPr>
        <w:t>271.91</w:t>
      </w:r>
      <w:r>
        <w:rPr>
          <w:rFonts w:hint="eastAsia" w:ascii="Times New Roman" w:hAnsi="Times New Roman" w:eastAsia="仿宋_GB2312"/>
          <w:sz w:val="32"/>
          <w:szCs w:val="32"/>
        </w:rPr>
        <w:t>万元，支出决算为</w:t>
      </w:r>
      <w:r>
        <w:rPr>
          <w:rFonts w:hint="eastAsia" w:ascii="Times New Roman" w:hAnsi="Times New Roman" w:eastAsia="仿宋_GB2312"/>
          <w:sz w:val="32"/>
          <w:szCs w:val="32"/>
          <w:lang w:val="en-US" w:eastAsia="zh-CN"/>
        </w:rPr>
        <w:t>277.41</w:t>
      </w:r>
      <w:r>
        <w:rPr>
          <w:rFonts w:hint="eastAsia" w:ascii="Times New Roman" w:hAnsi="Times New Roman" w:eastAsia="仿宋_GB2312"/>
          <w:sz w:val="32"/>
          <w:szCs w:val="32"/>
        </w:rPr>
        <w:t>万元，完成年初预算的</w:t>
      </w:r>
      <w:r>
        <w:rPr>
          <w:rFonts w:hint="eastAsia" w:ascii="Times New Roman" w:hAnsi="Times New Roman" w:eastAsia="仿宋_GB2312"/>
          <w:sz w:val="32"/>
          <w:szCs w:val="32"/>
          <w:lang w:val="en-US" w:eastAsia="zh-CN"/>
        </w:rPr>
        <w:t>102.02</w:t>
      </w:r>
      <w:r>
        <w:rPr>
          <w:rFonts w:hint="eastAsia" w:ascii="Times New Roman" w:hAnsi="Times New Roman" w:eastAsia="仿宋_GB2312"/>
          <w:sz w:val="32"/>
          <w:szCs w:val="32"/>
        </w:rPr>
        <w:t>%，决算数大于年初预算数的主要原因是</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单位人员职级变动，工资待遇相应调增。</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3589.79</w:t>
      </w:r>
      <w:r>
        <w:rPr>
          <w:rFonts w:ascii="Times New Roman" w:hAnsi="Times New Roman" w:eastAsia="仿宋_GB2312" w:cs="Times New Roman"/>
          <w:sz w:val="32"/>
          <w:szCs w:val="32"/>
        </w:rPr>
        <w:t>万元，其中：</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lang w:val="en-US" w:eastAsia="zh-CN"/>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277.41</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7.73</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基本工资、津贴补贴、奖金、</w:t>
      </w:r>
      <w:r>
        <w:rPr>
          <w:rFonts w:hint="eastAsia" w:ascii="Times New Roman" w:hAnsi="Times New Roman" w:eastAsia="仿宋_GB2312"/>
          <w:sz w:val="32"/>
          <w:szCs w:val="32"/>
          <w:lang w:val="en-US" w:eastAsia="zh-CN"/>
        </w:rPr>
        <w:t>绩效工资</w:t>
      </w:r>
      <w:r>
        <w:rPr>
          <w:rFonts w:hint="eastAsia" w:ascii="Times New Roman" w:hAnsi="Times New Roman" w:eastAsia="仿宋_GB2312"/>
          <w:sz w:val="32"/>
          <w:szCs w:val="32"/>
          <w:lang w:eastAsia="zh-CN"/>
        </w:rPr>
        <w:t>、</w:t>
      </w:r>
      <w:r>
        <w:rPr>
          <w:rFonts w:hint="eastAsia" w:ascii="Times New Roman" w:hAnsi="Times New Roman" w:eastAsia="仿宋_GB2312"/>
          <w:sz w:val="32"/>
          <w:szCs w:val="32"/>
          <w:lang w:val="en-US" w:eastAsia="zh-CN"/>
        </w:rPr>
        <w:t>机关事业单位基本养老保险缴费、职工基本医疗保险缴纳。</w:t>
      </w:r>
    </w:p>
    <w:p>
      <w:pPr>
        <w:pStyle w:val="13"/>
        <w:keepNext w:val="0"/>
        <w:keepLines w:val="0"/>
        <w:pageBreakBefore w:val="0"/>
        <w:widowControl w:val="0"/>
        <w:kinsoku/>
        <w:wordWrap/>
        <w:overflowPunct/>
        <w:topLinePunct w:val="0"/>
        <w:bidi w:val="0"/>
        <w:snapToGrid/>
        <w:spacing w:line="600" w:lineRule="exact"/>
        <w:ind w:firstLine="320" w:firstLineChars="100"/>
        <w:textAlignment w:val="auto"/>
        <w:rPr>
          <w:rFonts w:hint="eastAsia" w:ascii="Times New Roman" w:hAnsi="Times New Roman" w:eastAsia="仿宋_GB2312"/>
          <w:b/>
          <w:sz w:val="32"/>
          <w:szCs w:val="32"/>
        </w:rPr>
      </w:pPr>
      <w:r>
        <w:rPr>
          <w:rFonts w:hint="eastAsia" w:ascii="Times New Roman" w:hAnsi="Times New Roman" w:eastAsia="仿宋_GB2312"/>
          <w:sz w:val="32"/>
          <w:szCs w:val="32"/>
          <w:lang w:val="en-US" w:eastAsia="zh-CN"/>
        </w:rPr>
        <w:t xml:space="preserve">  </w:t>
      </w: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50.50</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1.41</w:t>
      </w:r>
      <w:r>
        <w:rPr>
          <w:rFonts w:ascii="Times New Roman" w:hAnsi="Times New Roman" w:eastAsia="仿宋_GB2312" w:cs="Times New Roman"/>
          <w:sz w:val="32"/>
          <w:szCs w:val="32"/>
        </w:rPr>
        <w:t>%，主要包括</w:t>
      </w:r>
      <w:r>
        <w:rPr>
          <w:rFonts w:hint="eastAsia" w:ascii="Times New Roman" w:hAnsi="Times New Roman" w:eastAsia="仿宋_GB2312"/>
          <w:sz w:val="32"/>
          <w:szCs w:val="32"/>
        </w:rPr>
        <w:t>主要包括办公费、印刷费、</w:t>
      </w:r>
      <w:r>
        <w:rPr>
          <w:rFonts w:hint="eastAsia" w:ascii="Times New Roman" w:hAnsi="Times New Roman" w:eastAsia="仿宋_GB2312"/>
          <w:sz w:val="32"/>
          <w:szCs w:val="32"/>
          <w:lang w:val="en-US" w:eastAsia="zh-CN"/>
        </w:rPr>
        <w:t>电费、差旅费</w:t>
      </w:r>
      <w:r>
        <w:rPr>
          <w:rFonts w:hint="eastAsia" w:ascii="Times New Roman" w:hAnsi="Times New Roman" w:eastAsia="仿宋_GB2312"/>
          <w:sz w:val="32"/>
          <w:szCs w:val="32"/>
        </w:rPr>
        <w:t>、</w:t>
      </w:r>
      <w:r>
        <w:rPr>
          <w:rFonts w:hint="eastAsia" w:ascii="Times New Roman" w:hAnsi="Times New Roman" w:eastAsia="仿宋_GB2312"/>
          <w:sz w:val="32"/>
          <w:szCs w:val="32"/>
          <w:lang w:val="en-US" w:eastAsia="zh-CN"/>
        </w:rPr>
        <w:t>会议费、工会经费、其他交通费用、福利费、其他商品和服务支出。</w:t>
      </w:r>
    </w:p>
    <w:p>
      <w:pPr>
        <w:pStyle w:val="13"/>
        <w:overflowPunct w:val="0"/>
        <w:autoSpaceDE/>
        <w:autoSpaceDN/>
        <w:spacing w:line="600" w:lineRule="exact"/>
        <w:jc w:val="both"/>
        <w:rPr>
          <w:rFonts w:ascii="Times New Roman" w:hAnsi="Times New Roman" w:eastAsia="仿宋_GB2312" w:cs="Times New Roman"/>
          <w:b/>
          <w:sz w:val="32"/>
          <w:szCs w:val="32"/>
        </w:rPr>
      </w:pPr>
    </w:p>
    <w:p>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%；与上年相比减少</w:t>
      </w:r>
      <w:r>
        <w:rPr>
          <w:rFonts w:hint="eastAsia" w:ascii="Times New Roman" w:hAnsi="Times New Roman" w:eastAsia="仿宋_GB2312"/>
          <w:sz w:val="32"/>
          <w:szCs w:val="32"/>
          <w:lang w:val="en-US" w:eastAsia="zh-CN"/>
        </w:rPr>
        <w:t>0.48</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本年无接待</w:t>
      </w:r>
      <w:r>
        <w:rPr>
          <w:rFonts w:ascii="Times New Roman" w:hAnsi="Times New Roman" w:eastAsia="仿宋_GB2312" w:cs="Times New Roman"/>
          <w:sz w:val="32"/>
          <w:szCs w:val="32"/>
        </w:rPr>
        <w:t>。</w:t>
      </w:r>
    </w:p>
    <w:p>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上年数的</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。（单位本级或某二级机构）更新公务用车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主要是……（支出内容）支出，完成预算的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上年数的</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。截止202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与</w:t>
      </w:r>
      <w:r>
        <w:rPr>
          <w:rFonts w:ascii="Times New Roman" w:hAnsi="Times New Roman" w:eastAsia="仿宋_GB2312" w:cs="Times New Roman"/>
          <w:sz w:val="32"/>
          <w:szCs w:val="32"/>
        </w:rPr>
        <w:t>上年数的</w:t>
      </w:r>
      <w:r>
        <w:rPr>
          <w:rFonts w:hint="eastAsia" w:ascii="Times New Roman" w:hAnsi="Times New Roman" w:eastAsia="仿宋_GB2312" w:cs="Times New Roman"/>
          <w:sz w:val="32"/>
          <w:szCs w:val="32"/>
          <w:lang w:val="en-US" w:eastAsia="zh-CN"/>
        </w:rPr>
        <w:t>一致</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度共接待来访团组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个、来宾</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3"/>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楷体" w:hAnsi="楷体" w:eastAsia="楷体" w:cs="楷体"/>
          <w:b/>
          <w:bCs/>
          <w:i/>
          <w:color w:val="auto"/>
          <w:kern w:val="0"/>
          <w:sz w:val="32"/>
          <w:szCs w:val="32"/>
          <w:lang w:val="en-US" w:eastAsia="zh-CN" w:bidi="ar-SA"/>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rPr>
        <w:t>度政府性基金预算财政拨款收入</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万元；年初结转和结余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万元，其中基本支出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万元，项目支出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万元；年末结转和结余</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p>
    <w:p>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hint="eastAsia" w:ascii="Times New Roman" w:hAnsi="Times New Roman" w:eastAsia="仿宋_GB2312"/>
          <w:sz w:val="32"/>
          <w:szCs w:val="32"/>
          <w:lang w:val="en-US" w:eastAsia="zh-CN"/>
        </w:rPr>
        <w:t>本单位无政府性基金收支。</w:t>
      </w:r>
    </w:p>
    <w:p>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lang w:val="en-US" w:eastAsia="zh-CN"/>
        </w:rPr>
        <w:t>50.5</w:t>
      </w:r>
      <w:r>
        <w:rPr>
          <w:rFonts w:ascii="Times New Roman" w:hAnsi="Times New Roman" w:eastAsia="仿宋_GB2312" w:cs="Times New Roman"/>
          <w:sz w:val="32"/>
          <w:szCs w:val="32"/>
        </w:rPr>
        <w:t>万元，比上年决算数</w:t>
      </w:r>
      <w:r>
        <w:rPr>
          <w:rFonts w:hint="eastAsia" w:ascii="Times New Roman" w:hAnsi="Times New Roman" w:eastAsia="仿宋_GB2312" w:cs="Times New Roman"/>
          <w:sz w:val="32"/>
          <w:szCs w:val="32"/>
          <w:lang w:val="en-US" w:eastAsia="zh-CN"/>
        </w:rPr>
        <w:t>增加4.24</w:t>
      </w:r>
      <w:r>
        <w:rPr>
          <w:rFonts w:ascii="Times New Roman" w:hAnsi="Times New Roman" w:eastAsia="仿宋_GB2312" w:cs="Times New Roman"/>
          <w:sz w:val="32"/>
          <w:szCs w:val="32"/>
        </w:rPr>
        <w:t xml:space="preserve"> 万元，</w:t>
      </w:r>
      <w:r>
        <w:rPr>
          <w:rFonts w:hint="eastAsia" w:ascii="Times New Roman" w:hAnsi="Times New Roman" w:eastAsia="仿宋_GB2312"/>
          <w:sz w:val="32"/>
          <w:szCs w:val="32"/>
        </w:rPr>
        <w:t>增长</w:t>
      </w:r>
      <w:r>
        <w:rPr>
          <w:rFonts w:hint="eastAsia" w:ascii="Times New Roman" w:hAnsi="Times New Roman" w:eastAsia="仿宋_GB2312"/>
          <w:sz w:val="32"/>
          <w:szCs w:val="32"/>
          <w:lang w:val="en-US" w:eastAsia="zh-CN"/>
        </w:rPr>
        <w:t>9.17</w:t>
      </w:r>
      <w:r>
        <w:rPr>
          <w:rFonts w:hint="eastAsia" w:ascii="Times New Roman" w:hAnsi="Times New Roman" w:eastAsia="仿宋_GB2312"/>
          <w:sz w:val="32"/>
          <w:szCs w:val="32"/>
        </w:rPr>
        <w:t>%，</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人员编制数量增加</w:t>
      </w:r>
      <w:r>
        <w:rPr>
          <w:rFonts w:hint="eastAsia" w:ascii="Times New Roman" w:hAnsi="Times New Roman" w:eastAsia="仿宋_GB2312" w:cs="Times New Roman"/>
          <w:sz w:val="32"/>
          <w:szCs w:val="32"/>
          <w:lang w:eastAsia="zh-CN"/>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3"/>
        <w:overflowPunct w:val="0"/>
        <w:autoSpaceDE/>
        <w:autoSpaceDN/>
        <w:spacing w:line="600" w:lineRule="exact"/>
        <w:ind w:firstLine="640" w:firstLineChars="200"/>
        <w:jc w:val="both"/>
        <w:rPr>
          <w:rFonts w:hint="eastAsia" w:ascii="Times New Roman" w:hAnsi="Times New Roman" w:eastAsia="仿宋_GB2312"/>
          <w:sz w:val="32"/>
          <w:szCs w:val="32"/>
        </w:rPr>
      </w:pP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本部门开支会议费</w:t>
      </w:r>
      <w:r>
        <w:rPr>
          <w:rFonts w:hint="eastAsia" w:ascii="Times New Roman" w:hAnsi="Times New Roman" w:eastAsia="仿宋_GB2312"/>
          <w:sz w:val="32"/>
          <w:szCs w:val="32"/>
          <w:lang w:val="en-US" w:eastAsia="zh-CN"/>
        </w:rPr>
        <w:t>1</w:t>
      </w:r>
      <w:r>
        <w:rPr>
          <w:rFonts w:hint="eastAsia" w:ascii="Times New Roman" w:hAnsi="Times New Roman" w:eastAsia="仿宋_GB2312"/>
          <w:sz w:val="32"/>
          <w:szCs w:val="32"/>
        </w:rPr>
        <w:t>万元，用于召开</w:t>
      </w:r>
      <w:r>
        <w:rPr>
          <w:rFonts w:hint="eastAsia" w:ascii="仿宋_GB2312" w:hAnsi="仿宋_GB2312" w:eastAsia="仿宋_GB2312" w:cs="仿宋_GB2312"/>
          <w:bCs/>
          <w:sz w:val="32"/>
          <w:szCs w:val="32"/>
          <w:lang w:val="en-US" w:eastAsia="zh-CN"/>
        </w:rPr>
        <w:t>城乡居保征缴工作</w:t>
      </w:r>
      <w:r>
        <w:rPr>
          <w:rFonts w:hint="eastAsia" w:ascii="Times New Roman" w:hAnsi="Times New Roman" w:eastAsia="仿宋_GB2312"/>
          <w:sz w:val="32"/>
          <w:szCs w:val="32"/>
        </w:rPr>
        <w:t>会议，人数</w:t>
      </w:r>
      <w:r>
        <w:rPr>
          <w:rFonts w:hint="eastAsia" w:ascii="Times New Roman" w:hAnsi="Times New Roman" w:eastAsia="仿宋_GB2312"/>
          <w:sz w:val="32"/>
          <w:szCs w:val="32"/>
          <w:lang w:val="en-US" w:eastAsia="zh-CN"/>
        </w:rPr>
        <w:t>50</w:t>
      </w:r>
      <w:r>
        <w:rPr>
          <w:rFonts w:hint="eastAsia" w:ascii="Times New Roman" w:hAnsi="Times New Roman" w:eastAsia="仿宋_GB2312"/>
          <w:sz w:val="32"/>
          <w:szCs w:val="32"/>
        </w:rPr>
        <w:t>人，内容为</w:t>
      </w:r>
      <w:r>
        <w:rPr>
          <w:rFonts w:hint="eastAsia" w:ascii="仿宋_GB2312" w:hAnsi="仿宋_GB2312" w:eastAsia="仿宋_GB2312" w:cs="仿宋_GB2312"/>
          <w:color w:val="000000"/>
          <w:sz w:val="32"/>
          <w:szCs w:val="32"/>
          <w:shd w:val="clear" w:color="auto" w:fill="FFFFFF"/>
        </w:rPr>
        <w:t>城乡居民参保登记</w:t>
      </w:r>
      <w:r>
        <w:rPr>
          <w:rFonts w:hint="eastAsia" w:ascii="仿宋_GB2312" w:hAnsi="仿宋_GB2312" w:eastAsia="仿宋_GB2312" w:cs="仿宋_GB2312"/>
          <w:color w:val="000000"/>
          <w:sz w:val="32"/>
          <w:szCs w:val="32"/>
          <w:shd w:val="clear" w:color="auto" w:fill="FFFFFF"/>
          <w:lang w:eastAsia="zh-CN"/>
        </w:rPr>
        <w:t>、</w:t>
      </w:r>
      <w:r>
        <w:rPr>
          <w:rFonts w:hint="eastAsia" w:ascii="Times New Roman" w:hAnsi="Times New Roman" w:eastAsia="仿宋_GB2312"/>
          <w:sz w:val="32"/>
          <w:szCs w:val="32"/>
          <w:lang w:val="en-US" w:eastAsia="zh-CN"/>
        </w:rPr>
        <w:t>征缴、待遇发放、稽核等内容</w:t>
      </w:r>
      <w:r>
        <w:rPr>
          <w:rFonts w:hint="eastAsia" w:ascii="Times New Roman" w:hAnsi="Times New Roman" w:eastAsia="仿宋_GB2312"/>
          <w:sz w:val="32"/>
          <w:szCs w:val="32"/>
        </w:rPr>
        <w:t>；开支培训费</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培训</w:t>
      </w:r>
      <w:r>
        <w:rPr>
          <w:rFonts w:hint="eastAsia" w:ascii="Times New Roman" w:hAnsi="Times New Roman" w:eastAsia="仿宋_GB2312"/>
          <w:sz w:val="32"/>
          <w:szCs w:val="32"/>
          <w:lang w:val="en-US" w:eastAsia="zh-CN"/>
        </w:rPr>
        <w:t>费；</w:t>
      </w:r>
      <w:r>
        <w:rPr>
          <w:rFonts w:hint="eastAsia" w:ascii="Times New Roman" w:hAnsi="Times New Roman" w:eastAsia="仿宋_GB2312"/>
          <w:sz w:val="32"/>
          <w:szCs w:val="32"/>
        </w:rPr>
        <w:t>举办等节庆、晚会、论坛、赛事活动，开支</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sz w:val="32"/>
          <w:szCs w:val="32"/>
          <w:lang w:val="en-US" w:eastAsia="zh-CN"/>
        </w:rPr>
        <w:t>无</w:t>
      </w:r>
      <w:r>
        <w:rPr>
          <w:rFonts w:hint="eastAsia" w:ascii="Times New Roman" w:hAnsi="Times New Roman" w:eastAsia="仿宋_GB2312"/>
          <w:sz w:val="32"/>
          <w:szCs w:val="32"/>
        </w:rPr>
        <w:t>节庆、晚会、论坛、赛事</w:t>
      </w:r>
      <w:r>
        <w:rPr>
          <w:rFonts w:hint="eastAsia" w:ascii="Times New Roman" w:hAnsi="Times New Roman" w:eastAsia="仿宋_GB2312"/>
          <w:sz w:val="32"/>
          <w:szCs w:val="32"/>
          <w:lang w:val="en-US" w:eastAsia="zh-CN"/>
        </w:rPr>
        <w:t>活动费</w:t>
      </w:r>
      <w:r>
        <w:rPr>
          <w:rFonts w:hint="eastAsia" w:ascii="Times New Roman" w:hAnsi="Times New Roman" w:eastAsia="仿宋_GB2312"/>
          <w:sz w:val="32"/>
          <w:szCs w:val="32"/>
        </w:rPr>
        <w:t>。</w:t>
      </w:r>
    </w:p>
    <w:p>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Times New Roman" w:hAnsi="Times New Roman" w:eastAsia="仿宋_GB2312"/>
          <w:color w:val="auto"/>
          <w:sz w:val="32"/>
          <w:szCs w:val="32"/>
        </w:rPr>
      </w:pPr>
      <w:r>
        <w:rPr>
          <w:rFonts w:hint="eastAsia" w:ascii="Times New Roman" w:hAnsi="Times New Roman" w:eastAsia="仿宋_GB2312"/>
          <w:sz w:val="32"/>
          <w:szCs w:val="32"/>
        </w:rPr>
        <w:t>本部门</w:t>
      </w:r>
      <w:r>
        <w:rPr>
          <w:rFonts w:hint="eastAsia" w:ascii="Times New Roman" w:hAnsi="Times New Roman" w:eastAsia="仿宋_GB2312"/>
          <w:sz w:val="32"/>
          <w:szCs w:val="32"/>
          <w:lang w:eastAsia="zh-CN"/>
        </w:rPr>
        <w:t>202</w:t>
      </w:r>
      <w:r>
        <w:rPr>
          <w:rFonts w:hint="eastAsia" w:ascii="Times New Roman" w:hAnsi="Times New Roman" w:eastAsia="仿宋_GB2312"/>
          <w:sz w:val="32"/>
          <w:szCs w:val="32"/>
          <w:lang w:val="en-US" w:eastAsia="zh-CN"/>
        </w:rPr>
        <w:t>5</w:t>
      </w:r>
      <w:r>
        <w:rPr>
          <w:rFonts w:hint="eastAsia" w:ascii="Times New Roman" w:hAnsi="Times New Roman" w:eastAsia="仿宋_GB2312"/>
          <w:sz w:val="32"/>
          <w:szCs w:val="32"/>
          <w:lang w:eastAsia="zh-CN"/>
        </w:rPr>
        <w:t>年</w:t>
      </w:r>
      <w:r>
        <w:rPr>
          <w:rFonts w:hint="eastAsia" w:ascii="Times New Roman" w:hAnsi="Times New Roman" w:eastAsia="仿宋_GB2312"/>
          <w:sz w:val="32"/>
          <w:szCs w:val="32"/>
        </w:rPr>
        <w:t>度政府采购支出总额</w:t>
      </w:r>
      <w:r>
        <w:rPr>
          <w:rFonts w:hint="eastAsia" w:ascii="Times New Roman" w:hAnsi="Times New Roman" w:eastAsia="仿宋_GB2312"/>
          <w:sz w:val="32"/>
          <w:szCs w:val="32"/>
          <w:lang w:val="en-US" w:eastAsia="zh-CN"/>
        </w:rPr>
        <w:t>25.68</w:t>
      </w:r>
      <w:r>
        <w:rPr>
          <w:rFonts w:hint="eastAsia" w:ascii="Times New Roman" w:hAnsi="Times New Roman" w:eastAsia="仿宋_GB2312"/>
          <w:sz w:val="32"/>
          <w:szCs w:val="32"/>
        </w:rPr>
        <w:t>万元，其中：政府采购货物支出</w:t>
      </w:r>
      <w:r>
        <w:rPr>
          <w:rFonts w:hint="eastAsia" w:ascii="Times New Roman" w:hAnsi="Times New Roman" w:eastAsia="仿宋_GB2312"/>
          <w:sz w:val="32"/>
          <w:szCs w:val="32"/>
          <w:lang w:val="en-US" w:eastAsia="zh-CN"/>
        </w:rPr>
        <w:t>25.68</w:t>
      </w:r>
      <w:r>
        <w:rPr>
          <w:rFonts w:hint="eastAsia" w:ascii="Times New Roman" w:hAnsi="Times New Roman" w:eastAsia="仿宋_GB2312"/>
          <w:sz w:val="32"/>
          <w:szCs w:val="32"/>
        </w:rPr>
        <w:t>万元、政府采购工程支出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万元、政府采购服务支出</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万元。授予中小企业合同金额</w:t>
      </w:r>
      <w:r>
        <w:rPr>
          <w:rFonts w:hint="eastAsia" w:ascii="Times New Roman" w:hAnsi="Times New Roman" w:eastAsia="仿宋_GB2312"/>
          <w:sz w:val="32"/>
          <w:szCs w:val="32"/>
          <w:lang w:val="en-US" w:eastAsia="zh-CN"/>
        </w:rPr>
        <w:t>25.68</w:t>
      </w:r>
      <w:r>
        <w:rPr>
          <w:rFonts w:hint="eastAsia" w:ascii="Times New Roman" w:hAnsi="Times New Roman" w:eastAsia="仿宋_GB2312"/>
          <w:sz w:val="32"/>
          <w:szCs w:val="32"/>
        </w:rPr>
        <w:t>万元，占政府采购支出总额的</w:t>
      </w:r>
      <w:r>
        <w:rPr>
          <w:rFonts w:hint="eastAsia" w:ascii="Times New Roman" w:hAnsi="Times New Roman" w:eastAsia="仿宋_GB2312"/>
          <w:sz w:val="32"/>
          <w:szCs w:val="32"/>
          <w:lang w:val="en-US" w:eastAsia="zh-CN"/>
        </w:rPr>
        <w:t>100</w:t>
      </w:r>
      <w:r>
        <w:rPr>
          <w:rFonts w:hint="eastAsia" w:ascii="Times New Roman" w:hAnsi="Times New Roman" w:eastAsia="仿宋_GB2312"/>
          <w:sz w:val="32"/>
          <w:szCs w:val="32"/>
        </w:rPr>
        <w:t>%，其中：授予小微企业合同金额</w:t>
      </w:r>
      <w:r>
        <w:rPr>
          <w:rFonts w:hint="eastAsia" w:ascii="Times New Roman" w:hAnsi="Times New Roman" w:eastAsia="仿宋_GB2312"/>
          <w:sz w:val="32"/>
          <w:szCs w:val="32"/>
          <w:lang w:val="en-US" w:eastAsia="zh-CN"/>
        </w:rPr>
        <w:t>0</w:t>
      </w:r>
      <w:r>
        <w:rPr>
          <w:rFonts w:hint="eastAsia" w:ascii="Times New Roman" w:hAnsi="Times New Roman" w:eastAsia="仿宋_GB2312"/>
          <w:sz w:val="32"/>
          <w:szCs w:val="32"/>
        </w:rPr>
        <w:t>万元，</w:t>
      </w:r>
      <w:r>
        <w:rPr>
          <w:rFonts w:hint="eastAsia" w:ascii="Times New Roman" w:hAnsi="Times New Roman" w:eastAsia="仿宋_GB2312"/>
          <w:color w:val="auto"/>
          <w:sz w:val="32"/>
          <w:szCs w:val="32"/>
        </w:rPr>
        <w:t>占</w:t>
      </w:r>
      <w:r>
        <w:rPr>
          <w:rFonts w:hint="eastAsia" w:ascii="Times New Roman" w:hAnsi="Times New Roman" w:eastAsia="仿宋_GB2312"/>
          <w:color w:val="auto"/>
          <w:sz w:val="32"/>
          <w:szCs w:val="32"/>
          <w:lang w:eastAsia="zh-CN"/>
        </w:rPr>
        <w:t>授予中小企业合同金额</w:t>
      </w:r>
      <w:r>
        <w:rPr>
          <w:rFonts w:hint="eastAsia" w:ascii="Times New Roman" w:hAnsi="Times New Roman" w:eastAsia="仿宋_GB2312"/>
          <w:color w:val="auto"/>
          <w:sz w:val="32"/>
          <w:szCs w:val="32"/>
        </w:rPr>
        <w:t>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%。货物采购授予中小企业合同金额占货物支出金额的</w:t>
      </w:r>
      <w:r>
        <w:rPr>
          <w:rFonts w:hint="eastAsia" w:ascii="Times New Roman" w:hAnsi="Times New Roman" w:eastAsia="仿宋_GB2312"/>
          <w:color w:val="auto"/>
          <w:sz w:val="32"/>
          <w:szCs w:val="32"/>
          <w:lang w:val="en-US" w:eastAsia="zh-CN"/>
        </w:rPr>
        <w:t>100</w:t>
      </w:r>
      <w:r>
        <w:rPr>
          <w:rFonts w:hint="eastAsia" w:ascii="Times New Roman" w:hAnsi="Times New Roman" w:eastAsia="仿宋_GB2312"/>
          <w:color w:val="auto"/>
          <w:sz w:val="32"/>
          <w:szCs w:val="32"/>
        </w:rPr>
        <w:t>%，工程采购授予中小企业合同金额占工程支出金额的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%，服务采购授予中小企业合同金额占服务支出金额的</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3"/>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ascii="Times New Roman" w:hAnsi="Times New Roman" w:eastAsia="仿宋_GB2312"/>
          <w:color w:val="auto"/>
          <w:sz w:val="32"/>
          <w:szCs w:val="32"/>
        </w:rPr>
      </w:pPr>
      <w:r>
        <w:rPr>
          <w:rFonts w:hint="eastAsia" w:ascii="Times New Roman" w:hAnsi="Times New Roman" w:eastAsia="仿宋_GB2312"/>
          <w:color w:val="auto"/>
          <w:sz w:val="32"/>
          <w:szCs w:val="32"/>
        </w:rPr>
        <w:t>截至</w:t>
      </w:r>
      <w:r>
        <w:rPr>
          <w:rFonts w:hint="eastAsia" w:ascii="Times New Roman" w:hAnsi="Times New Roman" w:eastAsia="仿宋_GB2312"/>
          <w:color w:val="auto"/>
          <w:sz w:val="32"/>
          <w:szCs w:val="32"/>
          <w:lang w:eastAsia="zh-CN"/>
        </w:rPr>
        <w:t>202</w:t>
      </w:r>
      <w:r>
        <w:rPr>
          <w:rFonts w:hint="eastAsia" w:ascii="Times New Roman" w:hAnsi="Times New Roman" w:eastAsia="仿宋_GB2312"/>
          <w:color w:val="auto"/>
          <w:sz w:val="32"/>
          <w:szCs w:val="32"/>
          <w:lang w:val="en-US" w:eastAsia="zh-CN"/>
        </w:rPr>
        <w:t>5</w:t>
      </w:r>
      <w:r>
        <w:rPr>
          <w:rFonts w:hint="eastAsia" w:ascii="Times New Roman" w:hAnsi="Times New Roman" w:eastAsia="仿宋_GB2312"/>
          <w:color w:val="auto"/>
          <w:sz w:val="32"/>
          <w:szCs w:val="32"/>
          <w:lang w:eastAsia="zh-CN"/>
        </w:rPr>
        <w:t>年</w:t>
      </w:r>
      <w:r>
        <w:rPr>
          <w:rFonts w:hint="eastAsia" w:ascii="Times New Roman" w:hAnsi="Times New Roman" w:eastAsia="仿宋_GB2312"/>
          <w:color w:val="auto"/>
          <w:sz w:val="32"/>
          <w:szCs w:val="32"/>
        </w:rPr>
        <w:t>12月31日，</w:t>
      </w:r>
      <w:r>
        <w:rPr>
          <w:rFonts w:hint="eastAsia" w:ascii="Times New Roman" w:hAnsi="Times New Roman" w:eastAsia="仿宋_GB2312"/>
          <w:color w:val="auto"/>
          <w:sz w:val="32"/>
          <w:szCs w:val="32"/>
          <w:lang w:val="en-US" w:eastAsia="zh-CN"/>
        </w:rPr>
        <w:t>道县社会保险服务中心</w:t>
      </w:r>
      <w:r>
        <w:rPr>
          <w:rFonts w:hint="eastAsia" w:ascii="Times New Roman" w:hAnsi="Times New Roman" w:eastAsia="仿宋_GB2312"/>
          <w:color w:val="auto"/>
          <w:sz w:val="32"/>
          <w:szCs w:val="32"/>
        </w:rPr>
        <w:t>共有车辆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辆，其中</w:t>
      </w:r>
      <w:r>
        <w:rPr>
          <w:rFonts w:hint="eastAsia" w:ascii="Times New Roman" w:hAnsi="Times New Roman" w:eastAsia="仿宋_GB2312"/>
          <w:color w:val="auto"/>
          <w:sz w:val="32"/>
          <w:szCs w:val="32"/>
          <w:lang w:eastAsia="zh-CN"/>
        </w:rPr>
        <w:t>，副部（省）级及以上领导用车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主要</w:t>
      </w:r>
      <w:r>
        <w:rPr>
          <w:rFonts w:hint="eastAsia" w:ascii="Times New Roman" w:hAnsi="Times New Roman" w:eastAsia="仿宋_GB2312"/>
          <w:color w:val="auto"/>
          <w:sz w:val="32"/>
          <w:szCs w:val="32"/>
          <w:lang w:eastAsia="zh-CN"/>
        </w:rPr>
        <w:t>负责人</w:t>
      </w:r>
      <w:r>
        <w:rPr>
          <w:rFonts w:hint="eastAsia" w:ascii="Times New Roman" w:hAnsi="Times New Roman" w:eastAsia="仿宋_GB2312"/>
          <w:color w:val="auto"/>
          <w:sz w:val="32"/>
          <w:szCs w:val="32"/>
        </w:rPr>
        <w:t>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w:t>
      </w:r>
      <w:r>
        <w:rPr>
          <w:rFonts w:hint="eastAsia" w:ascii="Times New Roman" w:hAnsi="Times New Roman" w:eastAsia="仿宋_GB2312"/>
          <w:color w:val="auto"/>
          <w:sz w:val="32"/>
          <w:szCs w:val="32"/>
        </w:rPr>
        <w:t>机要通信用车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辆、应急保障用车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辆、执法执勤用车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辆、特种专业技术用车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w:t>
      </w:r>
      <w:r>
        <w:rPr>
          <w:rFonts w:hint="eastAsia" w:ascii="Times New Roman" w:hAnsi="Times New Roman" w:eastAsia="仿宋_GB2312"/>
          <w:color w:val="auto"/>
          <w:sz w:val="32"/>
          <w:szCs w:val="32"/>
          <w:lang w:eastAsia="zh-CN"/>
        </w:rPr>
        <w:t>离退休干部服务用车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辆，其他用车主要</w:t>
      </w:r>
      <w:r>
        <w:rPr>
          <w:rFonts w:hint="eastAsia" w:ascii="Times New Roman" w:hAnsi="Times New Roman" w:eastAsia="仿宋_GB2312"/>
          <w:color w:val="auto"/>
          <w:sz w:val="32"/>
          <w:szCs w:val="32"/>
          <w:lang w:val="en-US" w:eastAsia="zh-CN"/>
        </w:rPr>
        <w:t>无</w:t>
      </w:r>
      <w:r>
        <w:rPr>
          <w:rFonts w:hint="eastAsia" w:ascii="Times New Roman" w:hAnsi="Times New Roman" w:eastAsia="仿宋_GB2312"/>
          <w:color w:val="auto"/>
          <w:sz w:val="32"/>
          <w:szCs w:val="32"/>
        </w:rPr>
        <w:t>；单位价值100万元以上设备</w:t>
      </w:r>
      <w:r>
        <w:rPr>
          <w:rFonts w:hint="eastAsia" w:ascii="Times New Roman" w:hAnsi="Times New Roman" w:eastAsia="仿宋_GB2312"/>
          <w:color w:val="auto"/>
          <w:sz w:val="32"/>
          <w:szCs w:val="32"/>
          <w:lang w:eastAsia="zh-CN"/>
        </w:rPr>
        <w:t>（不含车辆）</w:t>
      </w:r>
      <w:r>
        <w:rPr>
          <w:rFonts w:hint="eastAsia" w:ascii="Times New Roman" w:hAnsi="Times New Roman" w:eastAsia="仿宋_GB2312"/>
          <w:color w:val="auto"/>
          <w:sz w:val="32"/>
          <w:szCs w:val="32"/>
          <w:lang w:val="en-US" w:eastAsia="zh-CN"/>
        </w:rPr>
        <w:t>0</w:t>
      </w:r>
      <w:r>
        <w:rPr>
          <w:rFonts w:hint="eastAsia" w:ascii="Times New Roman" w:hAnsi="Times New Roman" w:eastAsia="仿宋_GB2312"/>
          <w:color w:val="auto"/>
          <w:sz w:val="32"/>
          <w:szCs w:val="32"/>
        </w:rPr>
        <w:t>台（套）。</w:t>
      </w:r>
    </w:p>
    <w:p>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楷体" w:cs="Times New Roman"/>
          <w:b/>
          <w:bCs/>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hint="eastAsia" w:ascii="Times New Roman" w:hAnsi="Times New Roman" w:eastAsia="仿宋_GB2312"/>
          <w:sz w:val="32"/>
          <w:szCs w:val="32"/>
          <w:lang w:val="en-US" w:eastAsia="zh-CN"/>
        </w:rPr>
        <w:t>本部门所有支出实行绩效目标管理。纳入2025年部门整体支出绩效目标的金额为3589.79万元，其中，基本支出</w:t>
      </w:r>
      <w:r>
        <w:rPr>
          <w:rFonts w:hint="eastAsia" w:eastAsia="仿宋_GB2312"/>
          <w:sz w:val="32"/>
          <w:szCs w:val="32"/>
          <w:lang w:val="en-US" w:eastAsia="zh-CN"/>
        </w:rPr>
        <w:t>327.91</w:t>
      </w:r>
      <w:r>
        <w:rPr>
          <w:rFonts w:hint="eastAsia" w:ascii="Times New Roman" w:hAnsi="Times New Roman" w:eastAsia="仿宋_GB2312"/>
          <w:sz w:val="32"/>
          <w:szCs w:val="32"/>
          <w:lang w:val="en-US" w:eastAsia="zh-CN"/>
        </w:rPr>
        <w:t>万元，项目支出</w:t>
      </w:r>
      <w:r>
        <w:rPr>
          <w:rFonts w:hint="eastAsia" w:eastAsia="仿宋_GB2312"/>
          <w:sz w:val="32"/>
          <w:szCs w:val="32"/>
          <w:lang w:val="en-US" w:eastAsia="zh-CN"/>
        </w:rPr>
        <w:t>3261.88</w:t>
      </w:r>
      <w:r>
        <w:rPr>
          <w:rFonts w:hint="eastAsia" w:ascii="Times New Roman" w:hAnsi="Times New Roman" w:eastAsia="仿宋_GB2312"/>
          <w:sz w:val="32"/>
          <w:szCs w:val="32"/>
          <w:lang w:val="en-US" w:eastAsia="zh-CN"/>
        </w:rPr>
        <w:t>万元。</w:t>
      </w:r>
    </w:p>
    <w:p>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pPr>
        <w:adjustRightInd w:val="0"/>
        <w:snapToGrid w:val="0"/>
        <w:spacing w:line="600" w:lineRule="exact"/>
        <w:ind w:firstLine="640" w:firstLineChars="200"/>
        <w:rPr>
          <w:rFonts w:hint="eastAsia" w:ascii="Times New Roman" w:hAnsi="Times New Roman" w:eastAsia="仿宋_GB2312"/>
          <w:sz w:val="32"/>
          <w:szCs w:val="32"/>
        </w:rPr>
      </w:pPr>
      <w:r>
        <w:rPr>
          <w:rFonts w:hint="eastAsia" w:eastAsia="仿宋_GB2312"/>
          <w:sz w:val="32"/>
          <w:szCs w:val="32"/>
          <w:lang w:eastAsia="zh-CN"/>
        </w:rPr>
        <w:t>202</w:t>
      </w:r>
      <w:r>
        <w:rPr>
          <w:rFonts w:hint="eastAsia" w:eastAsia="仿宋_GB2312"/>
          <w:sz w:val="32"/>
          <w:szCs w:val="32"/>
          <w:lang w:val="en-US" w:eastAsia="zh-CN"/>
        </w:rPr>
        <w:t>5</w:t>
      </w:r>
      <w:r>
        <w:rPr>
          <w:rFonts w:hint="eastAsia" w:eastAsia="仿宋_GB2312"/>
          <w:sz w:val="32"/>
          <w:szCs w:val="32"/>
          <w:lang w:eastAsia="zh-CN"/>
        </w:rPr>
        <w:t>年度，道县</w:t>
      </w:r>
      <w:r>
        <w:rPr>
          <w:rFonts w:hint="eastAsia" w:eastAsia="仿宋_GB2312"/>
          <w:sz w:val="32"/>
          <w:szCs w:val="32"/>
          <w:lang w:val="en-US" w:eastAsia="zh-CN"/>
        </w:rPr>
        <w:t>社会保险服务中心</w:t>
      </w:r>
      <w:r>
        <w:rPr>
          <w:rFonts w:hint="eastAsia" w:eastAsia="仿宋_GB2312"/>
          <w:sz w:val="32"/>
          <w:szCs w:val="32"/>
          <w:lang w:eastAsia="zh-CN"/>
        </w:rPr>
        <w:t>做好了各项工作，圆满地完成了上级下达的各项工作任务，</w:t>
      </w:r>
      <w:r>
        <w:rPr>
          <w:rFonts w:hint="eastAsia" w:eastAsia="仿宋_GB2312"/>
          <w:sz w:val="32"/>
          <w:szCs w:val="32"/>
          <w:lang w:val="en-US" w:eastAsia="zh-CN"/>
        </w:rPr>
        <w:t>特别是及时足额发放了养老金，2025年度发放养老金14.38万人，发放金额13.74亿元，退休人员基本养老金按时足额发放到位率100%，社会保险制度更加公平可持续效益显著，社会公众对相关工作的满意度达到90%，</w:t>
      </w:r>
      <w:r>
        <w:rPr>
          <w:rFonts w:hint="eastAsia" w:eastAsia="仿宋_GB2312"/>
          <w:sz w:val="32"/>
          <w:szCs w:val="32"/>
          <w:lang w:eastAsia="zh-CN"/>
        </w:rPr>
        <w:t>确保了社会大局稳定，促进了社会进步。</w:t>
      </w:r>
    </w:p>
    <w:p>
      <w:pPr>
        <w:pStyle w:val="13"/>
        <w:overflowPunct w:val="0"/>
        <w:autoSpaceDE/>
        <w:autoSpaceDN/>
        <w:spacing w:line="600" w:lineRule="exact"/>
        <w:ind w:firstLine="320" w:firstLineChars="1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ascii="Times New Roman" w:hAnsi="Times New Roman" w:eastAsia="仿宋_GB2312" w:cs="Times New Roman"/>
          <w:color w:val="auto"/>
          <w:sz w:val="32"/>
          <w:szCs w:val="32"/>
        </w:rPr>
        <w:t>请根据202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年度绩效自评结果、部门评价结果、财政评价结果对本部门2025年度预算安排，支出结构调整，资金管理，制度建设等方面结果运用进行简要说明。</w:t>
      </w: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numPr>
          <w:ilvl w:val="0"/>
          <w:numId w:val="3"/>
        </w:numPr>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 xml:space="preserve">   名词解释</w:t>
      </w: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center"/>
        <w:rPr>
          <w:rFonts w:ascii="Times New Roman" w:hAnsi="Times New Roman" w:eastAsia="方正小标宋_GBK" w:cs="Times New Roman"/>
          <w:sz w:val="52"/>
          <w:szCs w:val="52"/>
        </w:rPr>
      </w:pPr>
    </w:p>
    <w:p>
      <w:pPr>
        <w:pStyle w:val="13"/>
        <w:widowControl w:val="0"/>
        <w:numPr>
          <w:numId w:val="0"/>
        </w:numPr>
        <w:autoSpaceDE w:val="0"/>
        <w:autoSpaceDN w:val="0"/>
        <w:adjustRightInd w:val="0"/>
        <w:spacing w:line="360" w:lineRule="auto"/>
        <w:jc w:val="both"/>
        <w:rPr>
          <w:rFonts w:ascii="Times New Roman" w:hAnsi="Times New Roman" w:eastAsia="方正小标宋_GBK" w:cs="Times New Roman"/>
          <w:sz w:val="52"/>
          <w:szCs w:val="52"/>
        </w:rPr>
      </w:pPr>
    </w:p>
    <w:p>
      <w:pPr>
        <w:widowControl/>
        <w:jc w:val="left"/>
        <w:rPr>
          <w:rFonts w:ascii="Times New Roman" w:hAnsi="Times New Roman" w:cs="Times New Roman"/>
          <w:color w:val="000000"/>
          <w:kern w:val="0"/>
          <w:sz w:val="32"/>
          <w:szCs w:val="32"/>
        </w:rPr>
      </w:pPr>
    </w:p>
    <w:p>
      <w:pPr>
        <w:spacing w:line="570" w:lineRule="atLeast"/>
        <w:ind w:firstLine="640" w:firstLineChars="200"/>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机关运行经费：是指各单位的公用经费，包括办公及印刷费、邮电费、差旅费、会议费、福利费、日常维修费、专用资料及一般设备购置费、办公用房水电费、办公用房取暖费、办公用房物业管理费、公务用车运行维护费以及其他费用。</w:t>
      </w:r>
    </w:p>
    <w:p>
      <w:pPr>
        <w:spacing w:line="570" w:lineRule="atLeast"/>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ab/>
      </w:r>
      <w:r>
        <w:rPr>
          <w:rFonts w:hint="eastAsia" w:ascii="仿宋_GB2312" w:hAnsi="仿宋_GB2312" w:eastAsia="仿宋_GB2312" w:cs="仿宋_GB2312"/>
          <w:color w:val="000000"/>
          <w:sz w:val="32"/>
          <w:szCs w:val="32"/>
          <w:shd w:val="clear" w:color="auto" w:fill="FFFFFF"/>
        </w:rPr>
        <w:t>2．“三公”经费：纳入省（市/县）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住宿费、伙食费、培训费、公杂费等等支出</w:t>
      </w:r>
      <w:r>
        <w:rPr>
          <w:rFonts w:hint="eastAsia" w:ascii="仿宋_GB2312" w:hAnsi="仿宋_GB2312" w:eastAsia="仿宋_GB2312" w:cs="仿宋_GB2312"/>
          <w:color w:val="000000"/>
          <w:sz w:val="32"/>
          <w:szCs w:val="32"/>
          <w:shd w:val="clear" w:color="auto" w:fill="FFFFFF"/>
          <w:lang w:eastAsia="zh-CN"/>
        </w:rPr>
        <w:t>。</w:t>
      </w:r>
    </w:p>
    <w:p>
      <w:pPr>
        <w:pStyle w:val="5"/>
        <w:rPr>
          <w:rFonts w:hint="eastAsia" w:ascii="仿宋_GB2312" w:hAnsi="仿宋_GB2312" w:eastAsia="仿宋_GB2312" w:cs="仿宋_GB2312"/>
          <w:color w:val="000000"/>
          <w:sz w:val="32"/>
          <w:szCs w:val="32"/>
          <w:shd w:val="clear" w:color="auto" w:fill="FFFFFF"/>
          <w:lang w:eastAsia="zh-CN"/>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center"/>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jc w:val="both"/>
        <w:rPr>
          <w:rFonts w:ascii="Times New Roman" w:hAnsi="Times New Roman" w:cs="Times New Roman"/>
          <w:sz w:val="72"/>
          <w:szCs w:val="72"/>
        </w:rPr>
      </w:pPr>
    </w:p>
    <w:p>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pPr>
        <w:rPr>
          <w:rFonts w:ascii="Times New Roman" w:hAnsi="Times New Roman" w:cs="Times New Roman"/>
          <w:sz w:val="72"/>
          <w:szCs w:val="72"/>
        </w:rPr>
      </w:pPr>
    </w:p>
    <w:p>
      <w:pPr>
        <w:pStyle w:val="2"/>
        <w:rPr>
          <w:rFonts w:ascii="Times New Roman" w:hAnsi="Times New Roman" w:cs="Times New Roman"/>
          <w:sz w:val="72"/>
          <w:szCs w:val="72"/>
        </w:rPr>
      </w:pPr>
    </w:p>
    <w:p>
      <w:pPr>
        <w:pStyle w:val="3"/>
        <w:rPr>
          <w:rFonts w:ascii="Times New Roman" w:hAnsi="Times New Roman" w:cs="Times New Roman"/>
          <w:sz w:val="72"/>
          <w:szCs w:val="72"/>
        </w:rPr>
      </w:pPr>
    </w:p>
    <w:p>
      <w:pPr>
        <w:rPr>
          <w:rFonts w:ascii="Times New Roman" w:hAnsi="Times New Roman" w:cs="Times New Roman"/>
          <w:sz w:val="72"/>
          <w:szCs w:val="72"/>
        </w:rPr>
      </w:pPr>
    </w:p>
    <w:p>
      <w:pPr>
        <w:pStyle w:val="2"/>
        <w:rPr>
          <w:rFonts w:ascii="Times New Roman" w:hAnsi="Times New Roman" w:cs="Times New Roman"/>
          <w:sz w:val="72"/>
          <w:szCs w:val="72"/>
        </w:rPr>
      </w:pPr>
    </w:p>
    <w:p>
      <w:pPr>
        <w:pStyle w:val="3"/>
        <w:rPr>
          <w:rFonts w:ascii="Times New Roman" w:hAnsi="Times New Roman" w:cs="Times New Roman"/>
          <w:sz w:val="72"/>
          <w:szCs w:val="72"/>
        </w:rPr>
      </w:pPr>
    </w:p>
    <w:p>
      <w:pPr>
        <w:rPr>
          <w:rFonts w:ascii="Times New Roman" w:hAnsi="Times New Roman" w:cs="Times New Roman"/>
          <w:sz w:val="72"/>
          <w:szCs w:val="72"/>
        </w:rPr>
      </w:pPr>
    </w:p>
    <w:p>
      <w:pPr>
        <w:pStyle w:val="2"/>
        <w:rPr>
          <w:rFonts w:ascii="Times New Roman" w:hAnsi="Times New Roman" w:cs="Times New Roman"/>
          <w:sz w:val="72"/>
          <w:szCs w:val="72"/>
        </w:rPr>
      </w:pPr>
    </w:p>
    <w:p>
      <w:pPr>
        <w:pStyle w:val="3"/>
        <w:rPr>
          <w:rFonts w:ascii="Times New Roman" w:hAnsi="Times New Roman" w:cs="Times New Roman"/>
          <w:sz w:val="72"/>
          <w:szCs w:val="72"/>
        </w:rPr>
      </w:pPr>
    </w:p>
    <w:p/>
    <w:p/>
    <w:p>
      <w:pPr>
        <w:ind w:firstLine="800" w:firstLineChars="200"/>
        <w:jc w:val="center"/>
        <w:rPr>
          <w:rFonts w:hint="eastAsia" w:eastAsia="仿宋_GB2312"/>
          <w:b/>
          <w:bCs/>
          <w:sz w:val="40"/>
          <w:szCs w:val="40"/>
          <w:lang w:val="en-US" w:eastAsia="zh-CN"/>
        </w:rPr>
      </w:pPr>
      <w:r>
        <w:rPr>
          <w:rFonts w:hint="eastAsia" w:eastAsia="仿宋_GB2312"/>
          <w:b/>
          <w:bCs/>
          <w:sz w:val="40"/>
          <w:szCs w:val="40"/>
          <w:lang w:val="en-US" w:eastAsia="zh-CN"/>
        </w:rPr>
        <w:t>道县社会保险服务中心2025年度部门整体</w:t>
      </w:r>
    </w:p>
    <w:p>
      <w:pPr>
        <w:ind w:firstLine="800" w:firstLineChars="200"/>
        <w:jc w:val="center"/>
        <w:rPr>
          <w:rFonts w:hint="eastAsia" w:eastAsia="仿宋_GB2312"/>
          <w:b/>
          <w:bCs/>
          <w:sz w:val="40"/>
          <w:szCs w:val="40"/>
          <w:lang w:val="en-US" w:eastAsia="zh-CN"/>
        </w:rPr>
      </w:pPr>
      <w:r>
        <w:rPr>
          <w:rFonts w:hint="eastAsia" w:eastAsia="仿宋_GB2312"/>
          <w:b/>
          <w:bCs/>
          <w:sz w:val="40"/>
          <w:szCs w:val="40"/>
          <w:lang w:val="en-US" w:eastAsia="zh-CN"/>
        </w:rPr>
        <w:t>绩效自评报告</w:t>
      </w:r>
    </w:p>
    <w:p>
      <w:pPr>
        <w:adjustRightInd w:val="0"/>
        <w:spacing w:line="600" w:lineRule="exact"/>
        <w:rPr>
          <w:rFonts w:eastAsia="仿宋_GB2312"/>
          <w:sz w:val="32"/>
          <w:szCs w:val="32"/>
        </w:rPr>
      </w:pPr>
    </w:p>
    <w:p>
      <w:pPr>
        <w:adjustRightInd w:val="0"/>
        <w:snapToGrid w:val="0"/>
        <w:spacing w:line="600" w:lineRule="exact"/>
        <w:ind w:firstLine="640" w:firstLineChars="200"/>
        <w:rPr>
          <w:rFonts w:eastAsia="黑体"/>
          <w:sz w:val="32"/>
          <w:szCs w:val="32"/>
        </w:rPr>
      </w:pPr>
      <w:r>
        <w:rPr>
          <w:rFonts w:hint="eastAsia" w:eastAsia="黑体"/>
          <w:sz w:val="32"/>
          <w:szCs w:val="32"/>
        </w:rPr>
        <w:t>一、基本情况</w:t>
      </w:r>
    </w:p>
    <w:p>
      <w:pPr>
        <w:ind w:firstLine="640" w:firstLineChars="200"/>
        <w:rPr>
          <w:rFonts w:hint="eastAsia" w:eastAsia="仿宋_GB2312"/>
          <w:sz w:val="32"/>
          <w:szCs w:val="32"/>
          <w:lang w:val="en-US" w:eastAsia="zh-CN"/>
        </w:rPr>
      </w:pPr>
      <w:r>
        <w:rPr>
          <w:rFonts w:hint="eastAsia" w:eastAsia="仿宋_GB2312"/>
          <w:sz w:val="32"/>
          <w:szCs w:val="32"/>
          <w:lang w:val="en-US" w:eastAsia="zh-CN"/>
        </w:rPr>
        <w:t>（一）部门基本情况</w:t>
      </w:r>
    </w:p>
    <w:p>
      <w:pPr>
        <w:ind w:firstLine="640" w:firstLineChars="200"/>
        <w:rPr>
          <w:rFonts w:hint="eastAsia" w:eastAsia="仿宋_GB2312"/>
          <w:sz w:val="32"/>
          <w:szCs w:val="32"/>
          <w:lang w:val="en-US" w:eastAsia="zh-CN"/>
        </w:rPr>
      </w:pPr>
      <w:r>
        <w:rPr>
          <w:rFonts w:hint="eastAsia" w:eastAsia="仿宋_GB2312"/>
          <w:sz w:val="32"/>
          <w:szCs w:val="32"/>
          <w:lang w:val="en-US" w:eastAsia="zh-CN"/>
        </w:rPr>
        <w:t>道县社会保险服务中心是县人社局下属二级独立核算经办机构</w:t>
      </w:r>
      <w:r>
        <w:rPr>
          <w:rFonts w:hint="eastAsia"/>
        </w:rPr>
        <w:t>，</w:t>
      </w:r>
      <w:r>
        <w:rPr>
          <w:rFonts w:hint="eastAsia" w:eastAsia="仿宋_GB2312"/>
          <w:sz w:val="32"/>
          <w:szCs w:val="32"/>
          <w:lang w:val="en-US" w:eastAsia="zh-CN"/>
        </w:rPr>
        <w:t xml:space="preserve">全额拨款事业单位，核定编制 34人，在职人数25人。 </w:t>
      </w:r>
    </w:p>
    <w:p>
      <w:pPr>
        <w:ind w:firstLine="640" w:firstLineChars="200"/>
        <w:rPr>
          <w:rFonts w:hint="eastAsia" w:eastAsia="仿宋_GB2312"/>
          <w:sz w:val="32"/>
          <w:szCs w:val="32"/>
          <w:lang w:val="en-US" w:eastAsia="zh-CN"/>
        </w:rPr>
      </w:pPr>
      <w:r>
        <w:rPr>
          <w:rFonts w:hint="eastAsia" w:eastAsia="仿宋_GB2312"/>
          <w:sz w:val="32"/>
          <w:szCs w:val="32"/>
          <w:lang w:val="en-US" w:eastAsia="zh-CN"/>
        </w:rPr>
        <w:t>主要职能：根据社会养老保险文件规定，本单位负责企业、机关事业单位、城乡居民参保登记、个人账户管理、待遇支付、资格认证、转移接续；负责基金管理、统计管理、台账建设、内控稽核；负责社会养老保险咨询解答和受理举报工作。</w:t>
      </w:r>
    </w:p>
    <w:p>
      <w:pPr>
        <w:numPr>
          <w:ilvl w:val="0"/>
          <w:numId w:val="4"/>
        </w:numPr>
        <w:ind w:firstLine="640" w:firstLineChars="200"/>
        <w:rPr>
          <w:rFonts w:hint="eastAsia" w:eastAsia="仿宋_GB2312"/>
          <w:sz w:val="32"/>
          <w:szCs w:val="32"/>
          <w:lang w:val="en-US" w:eastAsia="zh-CN"/>
        </w:rPr>
      </w:pPr>
      <w:r>
        <w:rPr>
          <w:rFonts w:hint="eastAsia" w:eastAsia="仿宋_GB2312"/>
          <w:sz w:val="32"/>
          <w:szCs w:val="32"/>
          <w:lang w:val="en-US" w:eastAsia="zh-CN"/>
        </w:rPr>
        <w:t>部门年度整体支出绩效目标，省级专项资金绩效目标、其他项目支出（除省级专项资金以外）绩效目标</w:t>
      </w:r>
    </w:p>
    <w:p>
      <w:pPr>
        <w:numPr>
          <w:ilvl w:val="0"/>
          <w:numId w:val="0"/>
        </w:numPr>
        <w:rPr>
          <w:rFonts w:hint="default" w:eastAsia="仿宋_GB2312"/>
          <w:sz w:val="32"/>
          <w:szCs w:val="32"/>
          <w:lang w:val="en-US" w:eastAsia="zh-CN"/>
        </w:rPr>
      </w:pPr>
      <w:r>
        <w:rPr>
          <w:rFonts w:hint="eastAsia" w:eastAsia="仿宋_GB2312"/>
          <w:sz w:val="32"/>
          <w:szCs w:val="32"/>
          <w:lang w:val="en-US" w:eastAsia="zh-CN"/>
        </w:rPr>
        <w:t xml:space="preserve">    目标1：做好基本养老保险参保对象的参保登记工作。</w:t>
      </w:r>
    </w:p>
    <w:p>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目标2：做好社会养老保险基金的收支、管理、运营以及退休人员的管理服务工作。</w:t>
      </w:r>
    </w:p>
    <w:p>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目标3：按文件规定和要求按时足额发放基本养老保险金。　</w:t>
      </w:r>
    </w:p>
    <w:p>
      <w:pPr>
        <w:numPr>
          <w:ilvl w:val="0"/>
          <w:numId w:val="5"/>
        </w:numPr>
        <w:adjustRightInd w:val="0"/>
        <w:snapToGrid w:val="0"/>
        <w:spacing w:line="600" w:lineRule="exact"/>
        <w:ind w:firstLine="640" w:firstLineChars="200"/>
        <w:rPr>
          <w:rFonts w:hint="eastAsia" w:eastAsia="黑体"/>
          <w:sz w:val="32"/>
          <w:szCs w:val="32"/>
        </w:rPr>
      </w:pPr>
      <w:r>
        <w:rPr>
          <w:rFonts w:hint="eastAsia" w:eastAsia="黑体"/>
          <w:sz w:val="32"/>
          <w:szCs w:val="32"/>
        </w:rPr>
        <w:t>一般公共预算支出情况</w:t>
      </w:r>
    </w:p>
    <w:p>
      <w:pPr>
        <w:numPr>
          <w:ilvl w:val="0"/>
          <w:numId w:val="0"/>
        </w:numPr>
        <w:adjustRightInd w:val="0"/>
        <w:snapToGrid w:val="0"/>
        <w:spacing w:line="600" w:lineRule="exact"/>
        <w:ind w:firstLine="640" w:firstLineChars="200"/>
        <w:rPr>
          <w:rFonts w:hint="eastAsia" w:eastAsia="仿宋_GB2312"/>
          <w:sz w:val="32"/>
          <w:szCs w:val="32"/>
          <w:lang w:val="en-US" w:eastAsia="zh-CN"/>
        </w:rPr>
      </w:pPr>
      <w:r>
        <w:rPr>
          <w:rFonts w:hint="eastAsia" w:eastAsia="仿宋_GB2312"/>
          <w:sz w:val="32"/>
          <w:szCs w:val="32"/>
          <w:lang w:val="en-US" w:eastAsia="zh-CN"/>
        </w:rPr>
        <w:t>2025年我部门一般公共预算支出3589.79万元。</w:t>
      </w:r>
    </w:p>
    <w:p>
      <w:pPr>
        <w:ind w:firstLine="640" w:firstLineChars="200"/>
        <w:rPr>
          <w:rFonts w:hint="eastAsia" w:eastAsia="仿宋_GB2312"/>
          <w:sz w:val="32"/>
          <w:szCs w:val="32"/>
          <w:lang w:val="en-US" w:eastAsia="zh-CN"/>
        </w:rPr>
      </w:pPr>
      <w:r>
        <w:rPr>
          <w:rFonts w:hint="eastAsia" w:eastAsia="仿宋_GB2312"/>
          <w:sz w:val="32"/>
          <w:szCs w:val="32"/>
          <w:lang w:val="en-US" w:eastAsia="zh-CN"/>
        </w:rPr>
        <w:t>（一）基本支出情况</w:t>
      </w:r>
    </w:p>
    <w:p>
      <w:pPr>
        <w:numPr>
          <w:ilvl w:val="0"/>
          <w:numId w:val="0"/>
        </w:numPr>
        <w:ind w:firstLine="640" w:firstLineChars="200"/>
        <w:rPr>
          <w:rFonts w:hint="eastAsia" w:eastAsia="仿宋_GB2312"/>
          <w:sz w:val="32"/>
          <w:szCs w:val="32"/>
          <w:lang w:val="en-US" w:eastAsia="zh-CN"/>
        </w:rPr>
      </w:pPr>
      <w:r>
        <w:rPr>
          <w:rFonts w:hint="eastAsia" w:eastAsia="仿宋_GB2312"/>
          <w:sz w:val="32"/>
          <w:szCs w:val="32"/>
          <w:lang w:val="en-US" w:eastAsia="zh-CN"/>
        </w:rPr>
        <w:t>基本支出327.91万元。其中：工资福利支出277.41万元，一般商品和服务支出50.5万元。</w:t>
      </w:r>
    </w:p>
    <w:p>
      <w:pPr>
        <w:ind w:firstLine="640" w:firstLineChars="200"/>
        <w:rPr>
          <w:rFonts w:hint="default" w:eastAsia="仿宋_GB2312"/>
          <w:sz w:val="32"/>
          <w:szCs w:val="32"/>
          <w:lang w:val="en-US" w:eastAsia="zh-CN"/>
        </w:rPr>
      </w:pPr>
      <w:r>
        <w:rPr>
          <w:rFonts w:hint="eastAsia" w:eastAsia="仿宋_GB2312"/>
          <w:sz w:val="32"/>
          <w:szCs w:val="32"/>
          <w:lang w:val="en-US" w:eastAsia="zh-CN"/>
        </w:rPr>
        <w:t>1、工资福利支出277.41万元。其中：基本工资107.2万元、津贴补贴56.65万元、奖金26.21万元、绩效工资31.29万元、养老保险缴费36.24万元、医疗保险缴费19.82万元。</w:t>
      </w:r>
    </w:p>
    <w:p>
      <w:pPr>
        <w:ind w:firstLine="640" w:firstLineChars="200"/>
        <w:rPr>
          <w:rFonts w:hint="default" w:eastAsia="仿宋_GB2312"/>
          <w:sz w:val="32"/>
          <w:szCs w:val="32"/>
          <w:lang w:val="en-US" w:eastAsia="zh-CN"/>
        </w:rPr>
      </w:pPr>
      <w:r>
        <w:rPr>
          <w:rFonts w:hint="eastAsia" w:eastAsia="仿宋_GB2312"/>
          <w:sz w:val="32"/>
          <w:szCs w:val="32"/>
          <w:lang w:val="en-US" w:eastAsia="zh-CN"/>
        </w:rPr>
        <w:t>2、一般商品和服务支出50.5万元。其中：办公费6.5万元、印刷费11.4万元、电费2.9、差旅费1.5万元、会议费1万元、工会经费4.9万元、福利费8.38、其他交通费用6.6万元、其他商品服务支出7.32万元。</w:t>
      </w:r>
    </w:p>
    <w:p>
      <w:pPr>
        <w:ind w:firstLine="640" w:firstLineChars="200"/>
        <w:rPr>
          <w:rFonts w:hint="eastAsia" w:eastAsia="仿宋_GB2312"/>
          <w:sz w:val="32"/>
          <w:szCs w:val="32"/>
          <w:lang w:val="en-US" w:eastAsia="zh-CN"/>
        </w:rPr>
      </w:pPr>
      <w:r>
        <w:rPr>
          <w:rFonts w:hint="eastAsia" w:eastAsia="仿宋_GB2312"/>
          <w:sz w:val="32"/>
          <w:szCs w:val="32"/>
          <w:lang w:val="en-US" w:eastAsia="zh-CN"/>
        </w:rPr>
        <w:t>（二）项目支出情况</w:t>
      </w:r>
    </w:p>
    <w:p>
      <w:pPr>
        <w:ind w:firstLine="640" w:firstLineChars="200"/>
        <w:rPr>
          <w:rFonts w:hint="eastAsia" w:eastAsia="仿宋_GB2312"/>
          <w:sz w:val="32"/>
          <w:szCs w:val="32"/>
          <w:lang w:val="en-US" w:eastAsia="zh-CN"/>
        </w:rPr>
      </w:pPr>
      <w:r>
        <w:rPr>
          <w:rFonts w:hint="eastAsia" w:eastAsia="仿宋_GB2312"/>
          <w:sz w:val="32"/>
          <w:szCs w:val="32"/>
          <w:lang w:val="en-US" w:eastAsia="zh-CN"/>
        </w:rPr>
        <w:t>项目支出3261.88万元。</w:t>
      </w:r>
    </w:p>
    <w:p>
      <w:pPr>
        <w:ind w:firstLine="640" w:firstLineChars="200"/>
        <w:rPr>
          <w:rFonts w:hint="default" w:eastAsia="仿宋_GB2312"/>
          <w:sz w:val="32"/>
          <w:szCs w:val="32"/>
          <w:lang w:val="en-US" w:eastAsia="zh-CN"/>
        </w:rPr>
      </w:pPr>
      <w:r>
        <w:rPr>
          <w:rFonts w:hint="eastAsia" w:eastAsia="仿宋_GB2312"/>
          <w:sz w:val="32"/>
          <w:szCs w:val="32"/>
          <w:lang w:val="en-US" w:eastAsia="zh-CN"/>
        </w:rPr>
        <w:t>2025年度专项资金3261.88万元，其中：财政对机关事业单位职业年金的补助3200万元，用于机关事业单位职业年金虚账纪实；</w:t>
      </w:r>
      <w:r>
        <w:rPr>
          <w:rFonts w:hint="eastAsia" w:ascii="仿宋_GB2312" w:hAnsi="仿宋_GB2312" w:eastAsia="仿宋_GB2312" w:cs="仿宋_GB2312"/>
          <w:bCs/>
          <w:sz w:val="32"/>
          <w:szCs w:val="32"/>
        </w:rPr>
        <w:t>城乡居保资格认证考核经费</w:t>
      </w:r>
      <w:r>
        <w:rPr>
          <w:rFonts w:hint="eastAsia" w:ascii="仿宋_GB2312" w:hAnsi="仿宋_GB2312" w:eastAsia="仿宋_GB2312" w:cs="仿宋_GB2312"/>
          <w:bCs/>
          <w:sz w:val="32"/>
          <w:szCs w:val="32"/>
          <w:lang w:val="en-US" w:eastAsia="zh-CN"/>
        </w:rPr>
        <w:t>3.72</w:t>
      </w:r>
      <w:r>
        <w:rPr>
          <w:rFonts w:hint="eastAsia" w:ascii="仿宋_GB2312" w:hAnsi="仿宋_GB2312" w:eastAsia="仿宋_GB2312" w:cs="仿宋_GB2312"/>
          <w:bCs/>
          <w:sz w:val="32"/>
          <w:szCs w:val="32"/>
        </w:rPr>
        <w:t>万元，主要用于对各乡镇待遇人员资格认证工作的考核；离休干部遗孀生活补助等三个项目</w:t>
      </w:r>
      <w:r>
        <w:rPr>
          <w:rFonts w:hint="eastAsia" w:ascii="仿宋_GB2312" w:hAnsi="仿宋_GB2312" w:eastAsia="仿宋_GB2312" w:cs="仿宋_GB2312"/>
          <w:bCs/>
          <w:sz w:val="32"/>
          <w:szCs w:val="32"/>
          <w:lang w:val="en-US" w:eastAsia="zh-CN"/>
        </w:rPr>
        <w:t>13.08</w:t>
      </w:r>
      <w:r>
        <w:rPr>
          <w:rFonts w:hint="eastAsia" w:ascii="仿宋_GB2312" w:hAnsi="仿宋_GB2312" w:eastAsia="仿宋_GB2312" w:cs="仿宋_GB2312"/>
          <w:bCs/>
          <w:sz w:val="32"/>
          <w:szCs w:val="32"/>
        </w:rPr>
        <w:t>万元，主要用于发放</w:t>
      </w:r>
      <w:r>
        <w:rPr>
          <w:rFonts w:hint="eastAsia" w:ascii="仿宋_GB2312" w:hAnsi="仿宋_GB2312" w:eastAsia="仿宋_GB2312" w:cs="仿宋_GB2312"/>
          <w:bCs/>
          <w:sz w:val="32"/>
          <w:szCs w:val="32"/>
          <w:lang w:val="en-US" w:eastAsia="zh-CN"/>
        </w:rPr>
        <w:t>企业职工</w:t>
      </w:r>
      <w:r>
        <w:rPr>
          <w:rFonts w:hint="eastAsia" w:ascii="仿宋_GB2312" w:hAnsi="仿宋_GB2312" w:eastAsia="仿宋_GB2312" w:cs="仿宋_GB2312"/>
          <w:bCs/>
          <w:sz w:val="32"/>
          <w:szCs w:val="32"/>
        </w:rPr>
        <w:t>离休干部遗孀生活补助、建国前参加工作老工人生活补贴、因工死亡家属抚恤金；</w:t>
      </w:r>
      <w:r>
        <w:rPr>
          <w:rFonts w:hint="eastAsia" w:ascii="仿宋_GB2312" w:hAnsi="仿宋_GB2312" w:eastAsia="仿宋_GB2312" w:cs="仿宋_GB2312"/>
          <w:bCs/>
          <w:sz w:val="32"/>
          <w:szCs w:val="32"/>
          <w:lang w:val="en-US" w:eastAsia="zh-CN"/>
        </w:rPr>
        <w:t>机关代发离退休费31.08万元，主要用于发放行政事业单位离退休人员生活补助；城乡居保资格认证考核经费14万元，主要用于开展城乡居民养老保险待遇领取资格认证工作。</w:t>
      </w:r>
    </w:p>
    <w:p>
      <w:pPr>
        <w:numPr>
          <w:ilvl w:val="0"/>
          <w:numId w:val="5"/>
        </w:numPr>
        <w:adjustRightInd w:val="0"/>
        <w:snapToGrid w:val="0"/>
        <w:spacing w:line="600" w:lineRule="exact"/>
        <w:ind w:firstLine="640" w:firstLineChars="200"/>
        <w:rPr>
          <w:rFonts w:hint="eastAsia" w:eastAsia="黑体"/>
          <w:sz w:val="32"/>
          <w:szCs w:val="32"/>
          <w:lang w:val="en-US" w:eastAsia="zh-CN"/>
        </w:rPr>
      </w:pPr>
      <w:r>
        <w:rPr>
          <w:rFonts w:hint="eastAsia" w:eastAsia="黑体"/>
          <w:sz w:val="32"/>
          <w:szCs w:val="32"/>
          <w:lang w:val="en-US" w:eastAsia="zh-CN"/>
        </w:rPr>
        <w:t>政府性基金预算支出情况</w:t>
      </w:r>
    </w:p>
    <w:p>
      <w:pPr>
        <w:numPr>
          <w:ilvl w:val="0"/>
          <w:numId w:val="0"/>
        </w:numPr>
        <w:ind w:leftChars="200"/>
        <w:rPr>
          <w:rFonts w:hint="eastAsia" w:eastAsia="仿宋_GB2312"/>
          <w:sz w:val="32"/>
          <w:szCs w:val="32"/>
          <w:lang w:val="en-US" w:eastAsia="zh-CN"/>
        </w:rPr>
      </w:pPr>
      <w:r>
        <w:rPr>
          <w:rFonts w:hint="eastAsia" w:eastAsia="仿宋_GB2312"/>
          <w:sz w:val="32"/>
          <w:szCs w:val="32"/>
          <w:lang w:val="en-US" w:eastAsia="zh-CN"/>
        </w:rPr>
        <w:t xml:space="preserve"> 2025年度本单位无政府性基金预算支出。</w:t>
      </w:r>
    </w:p>
    <w:p>
      <w:pPr>
        <w:numPr>
          <w:ilvl w:val="0"/>
          <w:numId w:val="5"/>
        </w:numPr>
        <w:adjustRightInd w:val="0"/>
        <w:snapToGrid w:val="0"/>
        <w:spacing w:line="600" w:lineRule="exact"/>
        <w:ind w:firstLine="640" w:firstLineChars="200"/>
        <w:rPr>
          <w:rFonts w:hint="default" w:eastAsia="黑体"/>
          <w:sz w:val="32"/>
          <w:szCs w:val="32"/>
          <w:lang w:val="en-US" w:eastAsia="zh-CN"/>
        </w:rPr>
      </w:pPr>
      <w:r>
        <w:rPr>
          <w:rFonts w:hint="default" w:eastAsia="黑体"/>
          <w:sz w:val="32"/>
          <w:szCs w:val="32"/>
          <w:lang w:val="en-US" w:eastAsia="zh-CN"/>
        </w:rPr>
        <w:t>国有资本经营预算支出情况</w:t>
      </w:r>
    </w:p>
    <w:p>
      <w:pPr>
        <w:numPr>
          <w:ilvl w:val="0"/>
          <w:numId w:val="0"/>
        </w:numPr>
        <w:ind w:firstLine="640" w:firstLineChars="200"/>
        <w:rPr>
          <w:rFonts w:hint="default" w:eastAsia="仿宋_GB2312"/>
          <w:sz w:val="32"/>
          <w:szCs w:val="32"/>
          <w:lang w:val="en-US" w:eastAsia="zh-CN"/>
        </w:rPr>
      </w:pPr>
      <w:r>
        <w:rPr>
          <w:rFonts w:hint="eastAsia" w:eastAsia="仿宋_GB2312"/>
          <w:sz w:val="32"/>
          <w:szCs w:val="32"/>
          <w:lang w:val="en-US" w:eastAsia="zh-CN"/>
        </w:rPr>
        <w:t>2025年度本单位无国有资本经营预算支出。</w:t>
      </w:r>
    </w:p>
    <w:p>
      <w:pPr>
        <w:numPr>
          <w:ilvl w:val="0"/>
          <w:numId w:val="5"/>
        </w:numPr>
        <w:adjustRightInd w:val="0"/>
        <w:snapToGrid w:val="0"/>
        <w:spacing w:line="600" w:lineRule="exact"/>
        <w:ind w:firstLine="640" w:firstLineChars="200"/>
        <w:rPr>
          <w:rFonts w:hint="eastAsia" w:eastAsia="黑体"/>
          <w:sz w:val="32"/>
          <w:szCs w:val="32"/>
          <w:lang w:val="en-US" w:eastAsia="zh-CN"/>
        </w:rPr>
      </w:pPr>
      <w:r>
        <w:rPr>
          <w:rFonts w:hint="eastAsia" w:eastAsia="黑体"/>
          <w:sz w:val="32"/>
          <w:szCs w:val="32"/>
          <w:lang w:val="en-US" w:eastAsia="zh-CN"/>
        </w:rPr>
        <w:t>社会保险基金预算支出情况</w:t>
      </w:r>
    </w:p>
    <w:p>
      <w:pPr>
        <w:numPr>
          <w:ilvl w:val="0"/>
          <w:numId w:val="0"/>
        </w:numPr>
        <w:ind w:firstLine="640" w:firstLineChars="200"/>
        <w:rPr>
          <w:rFonts w:hint="default" w:eastAsia="仿宋_GB2312"/>
          <w:sz w:val="32"/>
          <w:szCs w:val="32"/>
          <w:lang w:val="en-US" w:eastAsia="zh-CN"/>
        </w:rPr>
      </w:pPr>
      <w:r>
        <w:rPr>
          <w:rFonts w:hint="eastAsia" w:eastAsia="仿宋_GB2312"/>
          <w:sz w:val="32"/>
          <w:szCs w:val="32"/>
          <w:lang w:val="en-US" w:eastAsia="zh-CN"/>
        </w:rPr>
        <w:t>2025年度本单位无社会保险基金预算支出。</w:t>
      </w:r>
    </w:p>
    <w:p>
      <w:pPr>
        <w:numPr>
          <w:ilvl w:val="0"/>
          <w:numId w:val="5"/>
        </w:numPr>
        <w:adjustRightInd w:val="0"/>
        <w:snapToGrid w:val="0"/>
        <w:spacing w:line="600" w:lineRule="exact"/>
        <w:ind w:firstLine="640" w:firstLineChars="200"/>
        <w:rPr>
          <w:rFonts w:hint="eastAsia" w:eastAsia="黑体"/>
          <w:sz w:val="32"/>
          <w:szCs w:val="32"/>
          <w:lang w:val="en-US" w:eastAsia="zh-CN"/>
        </w:rPr>
      </w:pPr>
      <w:r>
        <w:rPr>
          <w:rFonts w:hint="eastAsia" w:eastAsia="黑体"/>
          <w:sz w:val="32"/>
          <w:szCs w:val="32"/>
          <w:lang w:val="en-US" w:eastAsia="zh-CN"/>
        </w:rPr>
        <w:t>部门整体支出绩效情况</w:t>
      </w:r>
    </w:p>
    <w:p>
      <w:pPr>
        <w:adjustRightInd w:val="0"/>
        <w:snapToGrid w:val="0"/>
        <w:spacing w:line="600" w:lineRule="exact"/>
        <w:ind w:firstLine="640" w:firstLineChars="200"/>
        <w:rPr>
          <w:rFonts w:hint="default" w:eastAsia="仿宋_GB2312"/>
          <w:sz w:val="32"/>
          <w:szCs w:val="32"/>
          <w:lang w:val="en-US" w:eastAsia="zh-CN"/>
        </w:rPr>
      </w:pPr>
      <w:r>
        <w:rPr>
          <w:rFonts w:hint="eastAsia" w:eastAsia="仿宋_GB2312"/>
          <w:sz w:val="32"/>
          <w:szCs w:val="32"/>
          <w:lang w:eastAsia="zh-CN"/>
        </w:rPr>
        <w:t>202</w:t>
      </w:r>
      <w:r>
        <w:rPr>
          <w:rFonts w:hint="eastAsia" w:eastAsia="仿宋_GB2312"/>
          <w:sz w:val="32"/>
          <w:szCs w:val="32"/>
          <w:lang w:val="en-US" w:eastAsia="zh-CN"/>
        </w:rPr>
        <w:t>5</w:t>
      </w:r>
      <w:r>
        <w:rPr>
          <w:rFonts w:hint="eastAsia" w:eastAsia="仿宋_GB2312"/>
          <w:sz w:val="32"/>
          <w:szCs w:val="32"/>
          <w:lang w:eastAsia="zh-CN"/>
        </w:rPr>
        <w:t>年度，道县</w:t>
      </w:r>
      <w:r>
        <w:rPr>
          <w:rFonts w:hint="eastAsia" w:eastAsia="仿宋_GB2312"/>
          <w:sz w:val="32"/>
          <w:szCs w:val="32"/>
          <w:lang w:val="en-US" w:eastAsia="zh-CN"/>
        </w:rPr>
        <w:t>社会保险服务中心</w:t>
      </w:r>
      <w:r>
        <w:rPr>
          <w:rFonts w:hint="eastAsia" w:eastAsia="仿宋_GB2312"/>
          <w:sz w:val="32"/>
          <w:szCs w:val="32"/>
          <w:lang w:eastAsia="zh-CN"/>
        </w:rPr>
        <w:t>做好了各项工作，圆满地完成了上级下达的各项工作任务，</w:t>
      </w:r>
      <w:r>
        <w:rPr>
          <w:rFonts w:hint="eastAsia" w:eastAsia="仿宋_GB2312"/>
          <w:sz w:val="32"/>
          <w:szCs w:val="32"/>
          <w:lang w:val="en-US" w:eastAsia="zh-CN"/>
        </w:rPr>
        <w:t>特别是及时足额发放了养老金，2025年度发放养老金14.38万人，发放金额13.74亿元，退休人员基本养老金按时足额发放到位率100%，社会保险制度更加公平可持续效益显著，社会公众对相关工作的满意度达到90%，</w:t>
      </w:r>
      <w:r>
        <w:rPr>
          <w:rFonts w:hint="eastAsia" w:eastAsia="仿宋_GB2312"/>
          <w:sz w:val="32"/>
          <w:szCs w:val="32"/>
          <w:lang w:eastAsia="zh-CN"/>
        </w:rPr>
        <w:t>确保了社会大局稳定，促进了社会进步。</w:t>
      </w:r>
    </w:p>
    <w:p>
      <w:pPr>
        <w:numPr>
          <w:ilvl w:val="0"/>
          <w:numId w:val="5"/>
        </w:numPr>
        <w:adjustRightInd w:val="0"/>
        <w:snapToGrid w:val="0"/>
        <w:spacing w:line="600" w:lineRule="exact"/>
        <w:ind w:left="0" w:leftChars="0" w:firstLine="640" w:firstLineChars="200"/>
        <w:rPr>
          <w:rFonts w:hint="eastAsia" w:ascii="黑体" w:eastAsia="黑体"/>
          <w:sz w:val="32"/>
          <w:szCs w:val="32"/>
        </w:rPr>
      </w:pPr>
      <w:r>
        <w:rPr>
          <w:rFonts w:hint="eastAsia" w:ascii="黑体" w:eastAsia="黑体"/>
          <w:sz w:val="32"/>
          <w:szCs w:val="32"/>
        </w:rPr>
        <w:t>存在的问题及原因分析</w:t>
      </w:r>
    </w:p>
    <w:p>
      <w:pPr>
        <w:numPr>
          <w:ilvl w:val="0"/>
          <w:numId w:val="0"/>
        </w:numPr>
        <w:adjustRightInd w:val="0"/>
        <w:snapToGrid w:val="0"/>
        <w:spacing w:line="600" w:lineRule="exact"/>
        <w:ind w:firstLine="640" w:firstLineChars="200"/>
        <w:rPr>
          <w:rFonts w:hint="default" w:ascii="黑体" w:eastAsia="黑体"/>
          <w:sz w:val="32"/>
          <w:szCs w:val="32"/>
          <w:lang w:val="en-US" w:eastAsia="zh-CN"/>
        </w:rPr>
      </w:pPr>
      <w:r>
        <w:rPr>
          <w:rFonts w:hint="eastAsia" w:eastAsia="仿宋_GB2312"/>
          <w:sz w:val="32"/>
          <w:szCs w:val="32"/>
          <w:lang w:val="en-US" w:eastAsia="zh-CN"/>
        </w:rPr>
        <w:t>存在的问题是社会公众对相关工作的满意度刚达到年度指标值，还有进步的空间。</w:t>
      </w:r>
    </w:p>
    <w:p>
      <w:pPr>
        <w:numPr>
          <w:ilvl w:val="0"/>
          <w:numId w:val="5"/>
        </w:numPr>
        <w:adjustRightInd w:val="0"/>
        <w:snapToGrid w:val="0"/>
        <w:spacing w:line="600" w:lineRule="exact"/>
        <w:ind w:left="0" w:leftChars="0" w:firstLine="640" w:firstLineChars="200"/>
        <w:rPr>
          <w:rFonts w:hint="eastAsia" w:eastAsia="黑体"/>
          <w:sz w:val="32"/>
          <w:szCs w:val="32"/>
        </w:rPr>
      </w:pPr>
      <w:r>
        <w:rPr>
          <w:rFonts w:hint="eastAsia" w:eastAsia="黑体"/>
          <w:sz w:val="32"/>
          <w:szCs w:val="32"/>
        </w:rPr>
        <w:t>下一步改进措施</w:t>
      </w:r>
    </w:p>
    <w:p>
      <w:pPr>
        <w:numPr>
          <w:ilvl w:val="0"/>
          <w:numId w:val="0"/>
        </w:numPr>
        <w:adjustRightInd w:val="0"/>
        <w:snapToGrid w:val="0"/>
        <w:spacing w:line="600" w:lineRule="exact"/>
        <w:ind w:firstLine="640" w:firstLineChars="200"/>
        <w:rPr>
          <w:rFonts w:hint="default" w:ascii="仿宋_GB2312" w:hAnsi="仿宋_GB2312" w:eastAsia="仿宋_GB2312" w:cs="仿宋_GB2312"/>
          <w:sz w:val="32"/>
          <w:szCs w:val="32"/>
          <w:lang w:val="en-US"/>
        </w:rPr>
      </w:pPr>
      <w:r>
        <w:rPr>
          <w:rFonts w:hint="eastAsia" w:ascii="仿宋_GB2312" w:hAnsi="仿宋_GB2312" w:eastAsia="仿宋_GB2312" w:cs="仿宋_GB2312"/>
          <w:b w:val="0"/>
          <w:i w:val="0"/>
          <w:caps w:val="0"/>
          <w:color w:val="000000"/>
          <w:spacing w:val="0"/>
          <w:sz w:val="32"/>
          <w:szCs w:val="32"/>
          <w:lang w:val="en-US" w:eastAsia="zh-CN"/>
        </w:rPr>
        <w:t>改进措施是</w:t>
      </w:r>
      <w:r>
        <w:rPr>
          <w:rFonts w:hint="eastAsia" w:ascii="仿宋_GB2312" w:hAnsi="仿宋_GB2312" w:eastAsia="仿宋_GB2312" w:cs="仿宋_GB2312"/>
          <w:b w:val="0"/>
          <w:i w:val="0"/>
          <w:caps w:val="0"/>
          <w:color w:val="000000"/>
          <w:spacing w:val="0"/>
          <w:sz w:val="32"/>
          <w:szCs w:val="32"/>
        </w:rPr>
        <w:t>加强队伍建设，抓好绩效评价管理部门的队伍建设和业务指导，建立绩效评价的长期机制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在现在的基础上继续提高参保率和社会群众满意度。</w:t>
      </w:r>
    </w:p>
    <w:p>
      <w:pPr>
        <w:numPr>
          <w:ilvl w:val="0"/>
          <w:numId w:val="0"/>
        </w:numPr>
        <w:adjustRightInd w:val="0"/>
        <w:snapToGrid w:val="0"/>
        <w:spacing w:line="600" w:lineRule="exact"/>
        <w:rPr>
          <w:rFonts w:eastAsia="仿宋_GB2312"/>
          <w:sz w:val="32"/>
          <w:szCs w:val="32"/>
        </w:rPr>
      </w:pPr>
    </w:p>
    <w:p>
      <w:pPr>
        <w:wordWrap w:val="0"/>
        <w:adjustRightInd w:val="0"/>
        <w:snapToGrid w:val="0"/>
        <w:spacing w:line="600" w:lineRule="exact"/>
        <w:ind w:firstLine="640" w:firstLineChars="200"/>
        <w:jc w:val="right"/>
        <w:rPr>
          <w:rFonts w:ascii="Times New Roman" w:hAnsi="Times New Roman" w:cs="Times New Roman"/>
          <w:color w:val="000000"/>
          <w:kern w:val="0"/>
          <w:sz w:val="32"/>
          <w:szCs w:val="32"/>
        </w:rPr>
      </w:pPr>
      <w:bookmarkStart w:id="6" w:name="_GoBack"/>
      <w:bookmarkEnd w:id="6"/>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20</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0026E4"/>
    <w:multiLevelType w:val="singleLevel"/>
    <w:tmpl w:val="920026E4"/>
    <w:lvl w:ilvl="0" w:tentative="0">
      <w:start w:val="3"/>
      <w:numFmt w:val="decimal"/>
      <w:suff w:val="nothing"/>
      <w:lvlText w:val="%1、"/>
      <w:lvlJc w:val="left"/>
      <w:pPr>
        <w:ind w:left="-10"/>
      </w:pPr>
    </w:lvl>
  </w:abstractNum>
  <w:abstractNum w:abstractNumId="1">
    <w:nsid w:val="E0AF16A1"/>
    <w:multiLevelType w:val="singleLevel"/>
    <w:tmpl w:val="E0AF16A1"/>
    <w:lvl w:ilvl="0" w:tentative="0">
      <w:start w:val="2"/>
      <w:numFmt w:val="chineseCounting"/>
      <w:suff w:val="nothing"/>
      <w:lvlText w:val="（%1）"/>
      <w:lvlJc w:val="left"/>
      <w:rPr>
        <w:rFonts w:hint="eastAsia"/>
      </w:rPr>
    </w:lvl>
  </w:abstractNum>
  <w:abstractNum w:abstractNumId="2">
    <w:nsid w:val="EDE5981D"/>
    <w:multiLevelType w:val="singleLevel"/>
    <w:tmpl w:val="EDE5981D"/>
    <w:lvl w:ilvl="0" w:tentative="0">
      <w:start w:val="4"/>
      <w:numFmt w:val="chineseCounting"/>
      <w:suff w:val="space"/>
      <w:lvlText w:val="第%1部分"/>
      <w:lvlJc w:val="left"/>
      <w:rPr>
        <w:rFonts w:hint="eastAsia"/>
      </w:rPr>
    </w:lvl>
  </w:abstractNum>
  <w:abstractNum w:abstractNumId="3">
    <w:nsid w:val="09D283B5"/>
    <w:multiLevelType w:val="singleLevel"/>
    <w:tmpl w:val="09D283B5"/>
    <w:lvl w:ilvl="0" w:tentative="0">
      <w:start w:val="2"/>
      <w:numFmt w:val="chineseCounting"/>
      <w:suff w:val="nothing"/>
      <w:lvlText w:val="%1、"/>
      <w:lvlJc w:val="left"/>
      <w:rPr>
        <w:rFonts w:hint="eastAsia"/>
      </w:rPr>
    </w:lvl>
  </w:abstractNum>
  <w:abstractNum w:abstractNumId="4">
    <w:nsid w:val="3475B6DD"/>
    <w:multiLevelType w:val="singleLevel"/>
    <w:tmpl w:val="3475B6DD"/>
    <w:lvl w:ilvl="0" w:tentative="0">
      <w:start w:val="2"/>
      <w:numFmt w:val="chineseCounting"/>
      <w:suff w:val="nothing"/>
      <w:lvlText w:val="（%1）"/>
      <w:lvlJc w:val="left"/>
      <w:rPr>
        <w:rFonts w:hint="eastAsia"/>
      </w:r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5ZWU0YzczYzJkMDE3YjZmMDc5NDdmMGMyNzhjNDYifQ=="/>
  </w:docVars>
  <w:rsids>
    <w:rsidRoot w:val="004506F9"/>
    <w:rsid w:val="0000001A"/>
    <w:rsid w:val="0002229B"/>
    <w:rsid w:val="0002561E"/>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43541"/>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1695955"/>
    <w:rsid w:val="04CE2A73"/>
    <w:rsid w:val="055424CE"/>
    <w:rsid w:val="07261BF2"/>
    <w:rsid w:val="0874698D"/>
    <w:rsid w:val="0895702F"/>
    <w:rsid w:val="092E2FE0"/>
    <w:rsid w:val="09F00295"/>
    <w:rsid w:val="0C5745FC"/>
    <w:rsid w:val="0CA041F5"/>
    <w:rsid w:val="0D7A4A46"/>
    <w:rsid w:val="0D8256A8"/>
    <w:rsid w:val="0EB67D00"/>
    <w:rsid w:val="0EE24651"/>
    <w:rsid w:val="0F7D081D"/>
    <w:rsid w:val="0FA1450C"/>
    <w:rsid w:val="0FB56209"/>
    <w:rsid w:val="1034712E"/>
    <w:rsid w:val="10A047C3"/>
    <w:rsid w:val="10F265C2"/>
    <w:rsid w:val="11823EC9"/>
    <w:rsid w:val="127001C5"/>
    <w:rsid w:val="14076907"/>
    <w:rsid w:val="145C4EA5"/>
    <w:rsid w:val="145E0C1D"/>
    <w:rsid w:val="14860174"/>
    <w:rsid w:val="14A31D5E"/>
    <w:rsid w:val="14BA7E1E"/>
    <w:rsid w:val="17092996"/>
    <w:rsid w:val="172C5003"/>
    <w:rsid w:val="174F6F43"/>
    <w:rsid w:val="17D631C0"/>
    <w:rsid w:val="17EE4066"/>
    <w:rsid w:val="184243B2"/>
    <w:rsid w:val="186E33F9"/>
    <w:rsid w:val="192A5572"/>
    <w:rsid w:val="1C4701E9"/>
    <w:rsid w:val="1C8C02F2"/>
    <w:rsid w:val="1D756FD8"/>
    <w:rsid w:val="1D97DEFF"/>
    <w:rsid w:val="1DFF72E5"/>
    <w:rsid w:val="1E59323C"/>
    <w:rsid w:val="1EFC6F07"/>
    <w:rsid w:val="1F7A6B27"/>
    <w:rsid w:val="20531852"/>
    <w:rsid w:val="20AF2801"/>
    <w:rsid w:val="20E64474"/>
    <w:rsid w:val="21425423"/>
    <w:rsid w:val="21C422DC"/>
    <w:rsid w:val="21F77FBB"/>
    <w:rsid w:val="22BF31CF"/>
    <w:rsid w:val="23E76EA7"/>
    <w:rsid w:val="25714529"/>
    <w:rsid w:val="269E30FB"/>
    <w:rsid w:val="2767173F"/>
    <w:rsid w:val="282A2913"/>
    <w:rsid w:val="284D4DD9"/>
    <w:rsid w:val="285C6DCA"/>
    <w:rsid w:val="292813A2"/>
    <w:rsid w:val="294B7965"/>
    <w:rsid w:val="297B5976"/>
    <w:rsid w:val="29AC5B2F"/>
    <w:rsid w:val="29B80978"/>
    <w:rsid w:val="2A1118C9"/>
    <w:rsid w:val="2A5B7953"/>
    <w:rsid w:val="2B146082"/>
    <w:rsid w:val="2B34402E"/>
    <w:rsid w:val="2B7D7783"/>
    <w:rsid w:val="2D355E3C"/>
    <w:rsid w:val="2D811081"/>
    <w:rsid w:val="2E3A5DFF"/>
    <w:rsid w:val="2E532A1D"/>
    <w:rsid w:val="2EC41B6D"/>
    <w:rsid w:val="2EC90F31"/>
    <w:rsid w:val="2F3445FD"/>
    <w:rsid w:val="2FD162F0"/>
    <w:rsid w:val="2FDF85B8"/>
    <w:rsid w:val="2FFFEE04"/>
    <w:rsid w:val="30032221"/>
    <w:rsid w:val="30330D58"/>
    <w:rsid w:val="305F7D9F"/>
    <w:rsid w:val="309537C1"/>
    <w:rsid w:val="30B73737"/>
    <w:rsid w:val="30C419B0"/>
    <w:rsid w:val="31F42769"/>
    <w:rsid w:val="32221084"/>
    <w:rsid w:val="324803BF"/>
    <w:rsid w:val="339715FE"/>
    <w:rsid w:val="34DF85B0"/>
    <w:rsid w:val="357716E7"/>
    <w:rsid w:val="35906305"/>
    <w:rsid w:val="35A26038"/>
    <w:rsid w:val="36050AA1"/>
    <w:rsid w:val="363E0457"/>
    <w:rsid w:val="36676F4F"/>
    <w:rsid w:val="379876F3"/>
    <w:rsid w:val="37CB5D1A"/>
    <w:rsid w:val="37DC1CD5"/>
    <w:rsid w:val="388A34DF"/>
    <w:rsid w:val="390C65EA"/>
    <w:rsid w:val="39273424"/>
    <w:rsid w:val="39671A73"/>
    <w:rsid w:val="39761CB6"/>
    <w:rsid w:val="39C90037"/>
    <w:rsid w:val="3A4122C4"/>
    <w:rsid w:val="3A777A93"/>
    <w:rsid w:val="3B0752BB"/>
    <w:rsid w:val="3B20637D"/>
    <w:rsid w:val="3B8F36BC"/>
    <w:rsid w:val="3BA448B8"/>
    <w:rsid w:val="3C6978B0"/>
    <w:rsid w:val="3C920BB5"/>
    <w:rsid w:val="3D033860"/>
    <w:rsid w:val="3EC05EAD"/>
    <w:rsid w:val="3EC62D97"/>
    <w:rsid w:val="3F051B12"/>
    <w:rsid w:val="3F375A43"/>
    <w:rsid w:val="3FC03C8B"/>
    <w:rsid w:val="40B21825"/>
    <w:rsid w:val="415428DD"/>
    <w:rsid w:val="418E2292"/>
    <w:rsid w:val="41FF6CEC"/>
    <w:rsid w:val="42B775C7"/>
    <w:rsid w:val="433230F1"/>
    <w:rsid w:val="43727992"/>
    <w:rsid w:val="43CC0E50"/>
    <w:rsid w:val="452847AC"/>
    <w:rsid w:val="4594599D"/>
    <w:rsid w:val="46E93AC7"/>
    <w:rsid w:val="47797541"/>
    <w:rsid w:val="489363E0"/>
    <w:rsid w:val="48D92A3A"/>
    <w:rsid w:val="48EB7FCA"/>
    <w:rsid w:val="491868E5"/>
    <w:rsid w:val="491FF225"/>
    <w:rsid w:val="49EA2030"/>
    <w:rsid w:val="4A2D63C1"/>
    <w:rsid w:val="4AFD2237"/>
    <w:rsid w:val="4B2772B4"/>
    <w:rsid w:val="4B7E5126"/>
    <w:rsid w:val="4B942AC7"/>
    <w:rsid w:val="4C7327B1"/>
    <w:rsid w:val="4CDB0356"/>
    <w:rsid w:val="4CF84A64"/>
    <w:rsid w:val="4D3637DE"/>
    <w:rsid w:val="4D540466"/>
    <w:rsid w:val="4F2328D4"/>
    <w:rsid w:val="4F6208BA"/>
    <w:rsid w:val="4F98252E"/>
    <w:rsid w:val="4FC11A85"/>
    <w:rsid w:val="4FFD214C"/>
    <w:rsid w:val="504A7CCC"/>
    <w:rsid w:val="51B573C7"/>
    <w:rsid w:val="52666914"/>
    <w:rsid w:val="541C372E"/>
    <w:rsid w:val="54901A26"/>
    <w:rsid w:val="551315C4"/>
    <w:rsid w:val="55C71477"/>
    <w:rsid w:val="5777D4F5"/>
    <w:rsid w:val="58CD149A"/>
    <w:rsid w:val="598002BB"/>
    <w:rsid w:val="59DB3743"/>
    <w:rsid w:val="59DD8326"/>
    <w:rsid w:val="5A19426B"/>
    <w:rsid w:val="5A5D31A1"/>
    <w:rsid w:val="5A985AD8"/>
    <w:rsid w:val="5AEC372E"/>
    <w:rsid w:val="5CEF76FB"/>
    <w:rsid w:val="5DC12A2A"/>
    <w:rsid w:val="5DEF592A"/>
    <w:rsid w:val="5DF474C9"/>
    <w:rsid w:val="5E5A37D0"/>
    <w:rsid w:val="5E875C48"/>
    <w:rsid w:val="5F41673E"/>
    <w:rsid w:val="5FA267D3"/>
    <w:rsid w:val="5FC6BB1E"/>
    <w:rsid w:val="5FEB0458"/>
    <w:rsid w:val="5FF720F1"/>
    <w:rsid w:val="602B6AA7"/>
    <w:rsid w:val="60771CEC"/>
    <w:rsid w:val="60CF38D6"/>
    <w:rsid w:val="616C7377"/>
    <w:rsid w:val="62AF7E63"/>
    <w:rsid w:val="630E6937"/>
    <w:rsid w:val="64416899"/>
    <w:rsid w:val="64446389"/>
    <w:rsid w:val="66430FEE"/>
    <w:rsid w:val="66CA526B"/>
    <w:rsid w:val="67EB7247"/>
    <w:rsid w:val="67EE31DB"/>
    <w:rsid w:val="67FF5C0B"/>
    <w:rsid w:val="688B27D8"/>
    <w:rsid w:val="69303936"/>
    <w:rsid w:val="6D3E250F"/>
    <w:rsid w:val="6DC347C2"/>
    <w:rsid w:val="6EFC0924"/>
    <w:rsid w:val="6FB74722"/>
    <w:rsid w:val="6FE50A20"/>
    <w:rsid w:val="6FEF8B7E"/>
    <w:rsid w:val="70D171F6"/>
    <w:rsid w:val="71593474"/>
    <w:rsid w:val="71A6591B"/>
    <w:rsid w:val="72323CC5"/>
    <w:rsid w:val="72A20E4A"/>
    <w:rsid w:val="72EE0533"/>
    <w:rsid w:val="73440153"/>
    <w:rsid w:val="737D59BA"/>
    <w:rsid w:val="73A86934"/>
    <w:rsid w:val="73FB2F08"/>
    <w:rsid w:val="749869A9"/>
    <w:rsid w:val="75006486"/>
    <w:rsid w:val="75287D2D"/>
    <w:rsid w:val="758B51B3"/>
    <w:rsid w:val="75ED7D95"/>
    <w:rsid w:val="76222EE8"/>
    <w:rsid w:val="7642733C"/>
    <w:rsid w:val="76AA651F"/>
    <w:rsid w:val="76B33626"/>
    <w:rsid w:val="771D3195"/>
    <w:rsid w:val="77C37683"/>
    <w:rsid w:val="784A042E"/>
    <w:rsid w:val="78AA2807"/>
    <w:rsid w:val="78BB4A14"/>
    <w:rsid w:val="79AE27CB"/>
    <w:rsid w:val="79B06543"/>
    <w:rsid w:val="79D19834"/>
    <w:rsid w:val="79FF515B"/>
    <w:rsid w:val="7A4A42A1"/>
    <w:rsid w:val="7A4D5B40"/>
    <w:rsid w:val="7AC878BC"/>
    <w:rsid w:val="7BF549BF"/>
    <w:rsid w:val="7D5316BF"/>
    <w:rsid w:val="7E257EF5"/>
    <w:rsid w:val="7E503E50"/>
    <w:rsid w:val="7E9E1962"/>
    <w:rsid w:val="7E9F11B4"/>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Normal Indent"/>
    <w:basedOn w:val="1"/>
    <w:qFormat/>
    <w:uiPriority w:val="0"/>
    <w:pPr>
      <w:ind w:firstLine="420"/>
    </w:pPr>
    <w:rPr>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2"/>
    <w:unhideWhenUsed/>
    <w:qFormat/>
    <w:uiPriority w:val="99"/>
    <w:pPr>
      <w:tabs>
        <w:tab w:val="center" w:pos="4153"/>
        <w:tab w:val="right" w:pos="8306"/>
      </w:tabs>
      <w:snapToGrid w:val="0"/>
      <w:jc w:val="left"/>
    </w:pPr>
    <w:rPr>
      <w:sz w:val="18"/>
      <w:szCs w:val="18"/>
    </w:rPr>
  </w:style>
  <w:style w:type="paragraph" w:styleId="8">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11">
    <w:name w:val="页眉 Char"/>
    <w:basedOn w:val="10"/>
    <w:link w:val="8"/>
    <w:qFormat/>
    <w:uiPriority w:val="99"/>
    <w:rPr>
      <w:sz w:val="18"/>
      <w:szCs w:val="18"/>
    </w:rPr>
  </w:style>
  <w:style w:type="character" w:customStyle="1" w:styleId="12">
    <w:name w:val="页脚 Char"/>
    <w:basedOn w:val="10"/>
    <w:link w:val="7"/>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6"/>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25</Pages>
  <Words>7867</Words>
  <Characters>9155</Characters>
  <Lines>69</Lines>
  <Paragraphs>19</Paragraphs>
  <TotalTime>13</TotalTime>
  <ScaleCrop>false</ScaleCrop>
  <LinksUpToDate>false</LinksUpToDate>
  <CharactersWithSpaces>10461</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2025-08-19T18:17:00Z</dcterms:created>
  <dc:creator>李航 null</dc:creator>
  <cp:lastModifiedBy>水蜜桃</cp:lastModifiedBy>
  <cp:lastPrinted>2024-08-10T02:20:00Z</cp:lastPrinted>
  <dcterms:modified xsi:type="dcterms:W3CDTF">2026-09-14T01:51:57Z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6B17D77F360243C8A0F710E7222ECC0D_13</vt:lpwstr>
  </property>
  <property fmtid="{D5CDD505-2E9C-101B-9397-08002B2CF9AE}" pid="4" name="KSOTemplateDocerSaveRecord">
    <vt:lpwstr>eyJoZGlkIjoiZGZiNDU2MGFjN2UzYTQ2OGI0OWU2OTZlNDMyMDVjMjYiLCJ1c2VySWQiOiIxNDMyNDI1MTc3In0=</vt:lpwstr>
  </property>
</Properties>
</file>