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道县敦颐高级中学</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道县敦颐高级中学</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pStyle w:val="12"/>
        <w:jc w:val="center"/>
        <w:rPr>
          <w:rFonts w:hint="eastAsia" w:ascii="方正小标宋_GBK" w:hAnsi="方正小标宋_GBK" w:eastAsia="方正小标宋_GBK" w:cs="方正小标宋_GBK"/>
          <w:sz w:val="84"/>
          <w:szCs w:val="84"/>
        </w:rPr>
      </w:pPr>
    </w:p>
    <w:p>
      <w:pPr>
        <w:pStyle w:val="12"/>
        <w:jc w:val="both"/>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第一部分</w:t>
      </w: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道县敦颐高级中学</w:t>
      </w:r>
      <w:r>
        <w:rPr>
          <w:rFonts w:hint="eastAsia" w:ascii="方正小标宋_GBK" w:hAnsi="方正小标宋_GBK" w:eastAsia="方正小标宋_GBK" w:cs="方正小标宋_GBK"/>
          <w:sz w:val="84"/>
          <w:szCs w:val="84"/>
        </w:rPr>
        <w:t>概况</w:t>
      </w:r>
    </w:p>
    <w:p>
      <w:pPr>
        <w:rPr>
          <w:rFonts w:ascii="Times New Roman" w:hAnsi="Times New Roman" w:eastAsia="方正小标宋_GBK" w:cs="Times New Roman"/>
          <w:sz w:val="72"/>
          <w:szCs w:val="72"/>
        </w:rPr>
      </w:pPr>
    </w:p>
    <w:p>
      <w:pPr>
        <w:pStyle w:val="7"/>
        <w:rPr>
          <w:rFonts w:ascii="Times New Roman" w:hAnsi="Times New Roman" w:eastAsia="方正小标宋_GBK" w:cs="Times New Roman"/>
          <w:sz w:val="72"/>
          <w:szCs w:val="72"/>
        </w:rPr>
      </w:pPr>
    </w:p>
    <w:p>
      <w:pPr>
        <w:pStyle w:val="3"/>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7"/>
        <w:rPr>
          <w:rFonts w:ascii="Times New Roman" w:hAnsi="Times New Roman" w:eastAsia="方正小标宋_GBK" w:cs="Times New Roman"/>
          <w:sz w:val="72"/>
          <w:szCs w:val="72"/>
        </w:rPr>
      </w:pPr>
    </w:p>
    <w:p>
      <w:pPr>
        <w:rPr>
          <w:rFonts w:ascii="Times New Roman" w:hAnsi="Times New Roman" w:cs="Times New Roman"/>
        </w:rPr>
      </w:pPr>
    </w:p>
    <w:p>
      <w:pPr>
        <w:rPr>
          <w:rFonts w:ascii="Times New Roman" w:hAnsi="Times New Roman" w:cs="Times New Roman"/>
        </w:rPr>
      </w:pPr>
    </w:p>
    <w:p>
      <w:pPr>
        <w:pStyle w:val="7"/>
      </w:pPr>
    </w:p>
    <w:p>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ind w:firstLine="800" w:firstLineChars="250"/>
        <w:jc w:val="left"/>
        <w:rPr>
          <w:rFonts w:hint="eastAsia" w:ascii="仿宋" w:hAnsi="仿宋" w:eastAsia="仿宋" w:cs="仿宋"/>
          <w:i w:val="0"/>
          <w:iCs w:val="0"/>
          <w:caps w:val="0"/>
          <w:color w:val="222222"/>
          <w:spacing w:val="15"/>
          <w:sz w:val="32"/>
          <w:szCs w:val="32"/>
          <w:shd w:val="clear" w:color="auto" w:fill="FFFFFF"/>
        </w:rPr>
      </w:pPr>
      <w:r>
        <w:rPr>
          <w:rFonts w:hint="eastAsia" w:ascii="Times New Roman" w:hAnsi="Times New Roman" w:eastAsia="仿宋_GB2312" w:cs="仿宋_GB2312"/>
          <w:sz w:val="32"/>
          <w:szCs w:val="32"/>
          <w:lang w:val="en-US" w:eastAsia="zh-CN"/>
        </w:rPr>
        <w:t>道县敦颐高级中学的主要职责是：</w:t>
      </w:r>
      <w:r>
        <w:rPr>
          <w:rFonts w:hint="eastAsia" w:ascii="仿宋" w:hAnsi="仿宋" w:eastAsia="仿宋" w:cs="仿宋"/>
          <w:i w:val="0"/>
          <w:iCs w:val="0"/>
          <w:caps w:val="0"/>
          <w:color w:val="222222"/>
          <w:spacing w:val="15"/>
          <w:sz w:val="32"/>
          <w:szCs w:val="32"/>
          <w:shd w:val="clear" w:color="auto" w:fill="FFFFFF"/>
        </w:rPr>
        <w:t>道县敦颐高级中学是为纪念理学鼻祖周敦颐先生，于2020年创建的一所公办高级中学。学校位于道县城南1.4公里处的207国道旁（海湘城南200米），占地面积180余亩，投资超3亿元高标准建设。学校坚持教书育人、管理育人，以学校、学生发展为本的原则；坚持学校教育、家庭教育、和社会教育相结合，以全面贯彻党的教育方针，全面实施素质教育为办学目标；切实加强和不断改进学校德育工作；坚持学校工作以教学工作为主，遵循教育规律和学生认知特点组织教学，大力提高教育质量。</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napToGrid w:val="0"/>
        <w:spacing w:line="52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adjustRightInd w:val="0"/>
        <w:snapToGrid w:val="0"/>
        <w:spacing w:line="600" w:lineRule="exact"/>
        <w:ind w:firstLine="640" w:firstLineChars="200"/>
        <w:rPr>
          <w:rFonts w:hint="eastAsia" w:ascii="仿宋" w:hAnsi="仿宋" w:eastAsia="仿宋"/>
          <w:sz w:val="32"/>
          <w:szCs w:val="32"/>
        </w:rPr>
      </w:pPr>
      <w:r>
        <w:rPr>
          <w:rFonts w:hint="eastAsia" w:ascii="仿宋" w:hAnsi="仿宋" w:eastAsia="仿宋"/>
          <w:sz w:val="32"/>
          <w:szCs w:val="32"/>
        </w:rPr>
        <w:t>1．机构情况。</w:t>
      </w:r>
      <w:r>
        <w:rPr>
          <w:rFonts w:hint="eastAsia" w:eastAsia="仿宋_GB2312"/>
          <w:sz w:val="32"/>
          <w:szCs w:val="32"/>
        </w:rPr>
        <w:t>部门机构设置为党政办、教务处、教科处、</w:t>
      </w:r>
      <w:r>
        <w:rPr>
          <w:rFonts w:hint="eastAsia" w:eastAsia="仿宋_GB2312"/>
          <w:sz w:val="32"/>
          <w:szCs w:val="32"/>
          <w:lang w:val="en-US" w:eastAsia="zh-CN"/>
        </w:rPr>
        <w:t>政教</w:t>
      </w:r>
      <w:r>
        <w:rPr>
          <w:rFonts w:hint="eastAsia" w:eastAsia="仿宋_GB2312"/>
          <w:sz w:val="32"/>
          <w:szCs w:val="32"/>
        </w:rPr>
        <w:t>处、团委、总务处、高一年级部、高二年级部、高三年级部、工会。</w:t>
      </w:r>
    </w:p>
    <w:p>
      <w:pPr>
        <w:widowControl/>
        <w:spacing w:line="600" w:lineRule="exact"/>
        <w:ind w:firstLine="640" w:firstLineChars="200"/>
        <w:rPr>
          <w:rFonts w:hint="eastAsia" w:ascii="仿宋" w:hAnsi="仿宋" w:eastAsia="仿宋" w:cs="仿宋"/>
          <w:sz w:val="32"/>
          <w:szCs w:val="32"/>
        </w:rPr>
      </w:pPr>
      <w:r>
        <w:rPr>
          <w:rFonts w:hint="eastAsia" w:ascii="仿宋" w:hAnsi="仿宋" w:eastAsia="仿宋"/>
          <w:sz w:val="32"/>
          <w:szCs w:val="32"/>
        </w:rPr>
        <w:t>2</w:t>
      </w:r>
      <w:r>
        <w:rPr>
          <w:rFonts w:hint="eastAsia" w:ascii="仿宋" w:hAnsi="仿宋" w:eastAsia="仿宋"/>
          <w:sz w:val="32"/>
          <w:szCs w:val="32"/>
          <w:lang w:eastAsia="zh-CN"/>
        </w:rPr>
        <w:t>.</w:t>
      </w:r>
      <w:r>
        <w:rPr>
          <w:rFonts w:hint="eastAsia" w:ascii="仿宋" w:hAnsi="仿宋" w:eastAsia="仿宋"/>
          <w:sz w:val="32"/>
          <w:szCs w:val="32"/>
        </w:rPr>
        <w:t>人员情况。</w:t>
      </w:r>
      <w:r>
        <w:rPr>
          <w:rFonts w:hint="eastAsia" w:ascii="仿宋" w:hAnsi="仿宋" w:eastAsia="仿宋" w:cs="仿宋"/>
          <w:sz w:val="32"/>
          <w:szCs w:val="32"/>
        </w:rPr>
        <w:t>道县敦颐高级中学是预算独立的参照正科级全额拨款事业单位，目前总编制</w:t>
      </w:r>
      <w:r>
        <w:rPr>
          <w:rFonts w:hint="eastAsia" w:ascii="仿宋" w:hAnsi="仿宋" w:eastAsia="仿宋" w:cs="仿宋"/>
          <w:sz w:val="32"/>
          <w:szCs w:val="32"/>
          <w:lang w:val="en-US" w:eastAsia="zh-CN"/>
        </w:rPr>
        <w:t>248</w:t>
      </w:r>
      <w:r>
        <w:rPr>
          <w:rFonts w:hint="eastAsia" w:ascii="仿宋" w:hAnsi="仿宋" w:eastAsia="仿宋" w:cs="仿宋"/>
          <w:sz w:val="32"/>
          <w:szCs w:val="32"/>
        </w:rPr>
        <w:t>人，系全额拨款事业编制，实际在岗事业编制人数</w:t>
      </w:r>
      <w:r>
        <w:rPr>
          <w:rFonts w:hint="eastAsia" w:ascii="仿宋" w:hAnsi="仿宋" w:eastAsia="仿宋" w:cs="仿宋"/>
          <w:sz w:val="32"/>
          <w:szCs w:val="32"/>
          <w:lang w:val="en-US" w:eastAsia="zh-CN"/>
        </w:rPr>
        <w:t>248</w:t>
      </w:r>
      <w:r>
        <w:rPr>
          <w:rFonts w:hint="eastAsia" w:ascii="仿宋" w:hAnsi="仿宋" w:eastAsia="仿宋" w:cs="仿宋"/>
          <w:sz w:val="32"/>
          <w:szCs w:val="32"/>
        </w:rPr>
        <w:t>人。专任教师中高级职称</w:t>
      </w:r>
      <w:r>
        <w:rPr>
          <w:rFonts w:hint="eastAsia" w:ascii="仿宋" w:hAnsi="仿宋" w:eastAsia="仿宋" w:cs="仿宋"/>
          <w:sz w:val="32"/>
          <w:szCs w:val="32"/>
          <w:lang w:val="en-US" w:eastAsia="zh-CN"/>
        </w:rPr>
        <w:t>23</w:t>
      </w:r>
      <w:r>
        <w:rPr>
          <w:rFonts w:hint="eastAsia" w:ascii="仿宋" w:hAnsi="仿宋" w:eastAsia="仿宋" w:cs="仿宋"/>
          <w:sz w:val="32"/>
          <w:szCs w:val="32"/>
        </w:rPr>
        <w:t>人，中级职称</w:t>
      </w:r>
      <w:r>
        <w:rPr>
          <w:rFonts w:hint="eastAsia" w:ascii="仿宋" w:hAnsi="仿宋" w:eastAsia="仿宋" w:cs="仿宋"/>
          <w:sz w:val="32"/>
          <w:szCs w:val="32"/>
          <w:lang w:val="en-US" w:eastAsia="zh-CN"/>
        </w:rPr>
        <w:t>43</w:t>
      </w:r>
      <w:r>
        <w:rPr>
          <w:rFonts w:hint="eastAsia" w:ascii="仿宋" w:hAnsi="仿宋" w:eastAsia="仿宋" w:cs="仿宋"/>
          <w:sz w:val="32"/>
          <w:szCs w:val="32"/>
        </w:rPr>
        <w:t>人，初级职称</w:t>
      </w:r>
      <w:r>
        <w:rPr>
          <w:rFonts w:hint="eastAsia" w:ascii="仿宋" w:hAnsi="仿宋" w:eastAsia="仿宋" w:cs="仿宋"/>
          <w:sz w:val="32"/>
          <w:szCs w:val="32"/>
          <w:lang w:val="en-US" w:eastAsia="zh-CN"/>
        </w:rPr>
        <w:t>182</w:t>
      </w:r>
      <w:r>
        <w:rPr>
          <w:rFonts w:hint="eastAsia" w:ascii="仿宋" w:hAnsi="仿宋" w:eastAsia="仿宋" w:cs="仿宋"/>
          <w:sz w:val="32"/>
          <w:szCs w:val="32"/>
        </w:rPr>
        <w:t>人</w:t>
      </w:r>
      <w:r>
        <w:rPr>
          <w:rFonts w:hint="eastAsia" w:ascii="仿宋" w:hAnsi="仿宋" w:eastAsia="仿宋" w:cs="仿宋"/>
          <w:sz w:val="32"/>
          <w:szCs w:val="32"/>
          <w:lang w:val="en-US" w:eastAsia="zh-CN"/>
        </w:rPr>
        <w:t>，学校</w:t>
      </w:r>
      <w:r>
        <w:rPr>
          <w:rFonts w:hint="eastAsia" w:ascii="仿宋" w:hAnsi="仿宋" w:eastAsia="仿宋" w:cs="仿宋"/>
          <w:i w:val="0"/>
          <w:iCs w:val="0"/>
          <w:caps w:val="0"/>
          <w:color w:val="222222"/>
          <w:spacing w:val="15"/>
          <w:sz w:val="32"/>
          <w:szCs w:val="32"/>
          <w:shd w:val="clear" w:color="auto" w:fill="FFFFFF"/>
        </w:rPr>
        <w:t>现有</w:t>
      </w:r>
      <w:r>
        <w:rPr>
          <w:rFonts w:hint="eastAsia" w:ascii="仿宋" w:hAnsi="仿宋" w:eastAsia="仿宋" w:cs="仿宋"/>
          <w:i w:val="0"/>
          <w:iCs w:val="0"/>
          <w:caps w:val="0"/>
          <w:color w:val="222222"/>
          <w:spacing w:val="15"/>
          <w:sz w:val="32"/>
          <w:szCs w:val="32"/>
          <w:shd w:val="clear" w:color="auto" w:fill="FFFFFF"/>
          <w:lang w:val="en-US" w:eastAsia="zh-CN"/>
        </w:rPr>
        <w:t>学生33</w:t>
      </w:r>
      <w:r>
        <w:rPr>
          <w:rFonts w:hint="eastAsia" w:ascii="仿宋" w:hAnsi="仿宋" w:eastAsia="仿宋" w:cs="仿宋"/>
          <w:i w:val="0"/>
          <w:iCs w:val="0"/>
          <w:caps w:val="0"/>
          <w:color w:val="222222"/>
          <w:spacing w:val="15"/>
          <w:sz w:val="32"/>
          <w:szCs w:val="32"/>
          <w:shd w:val="clear" w:color="auto" w:fill="FFFFFF"/>
        </w:rPr>
        <w:t>00余人</w:t>
      </w:r>
      <w:r>
        <w:rPr>
          <w:rFonts w:hint="eastAsia" w:ascii="仿宋" w:hAnsi="仿宋" w:eastAsia="仿宋" w:cs="仿宋"/>
          <w:sz w:val="32"/>
          <w:szCs w:val="32"/>
        </w:rPr>
        <w:t>。</w:t>
      </w:r>
    </w:p>
    <w:p>
      <w:pPr>
        <w:numPr>
          <w:ilvl w:val="0"/>
          <w:numId w:val="0"/>
        </w:numPr>
        <w:snapToGrid w:val="0"/>
        <w:spacing w:line="52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pPr>
        <w:numPr>
          <w:ilvl w:val="0"/>
          <w:numId w:val="0"/>
        </w:numPr>
        <w:snapToGrid w:val="0"/>
        <w:spacing w:line="520" w:lineRule="exact"/>
        <w:ind w:firstLine="640" w:firstLineChars="200"/>
        <w:rPr>
          <w:rFonts w:hint="eastAsia" w:ascii="仿宋" w:hAnsi="仿宋" w:eastAsia="仿宋"/>
          <w:sz w:val="32"/>
          <w:szCs w:val="32"/>
        </w:rPr>
      </w:pPr>
      <w:r>
        <w:rPr>
          <w:rFonts w:hint="eastAsia" w:ascii="仿宋" w:hAnsi="仿宋" w:eastAsia="仿宋"/>
          <w:sz w:val="32"/>
          <w:szCs w:val="32"/>
        </w:rPr>
        <w:t>独立编制机构数与独立核算机构数均为1个。</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
    <w:p/>
    <w:p/>
    <w:p>
      <w:pPr>
        <w:pStyle w:val="7"/>
      </w:pPr>
    </w:p>
    <w:p>
      <w:pPr>
        <w:pStyle w:val="3"/>
      </w:pPr>
    </w:p>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rFonts w:ascii="Times New Roman" w:hAnsi="Times New Roman" w:eastAsia="黑体" w:cs="Times New Roman"/>
          <w:sz w:val="28"/>
          <w:szCs w:val="28"/>
        </w:rPr>
      </w:pP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道县敦颐高级中学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3512.66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681.68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4194.34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4194.34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4194.34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4194.34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4194.34</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bidi="ar"/>
        </w:rPr>
        <w:t>道县敦颐高级中学</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681.68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681.68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普通教育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681.68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2050204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高中教育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681.68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道县敦颐高级中学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4997" w:type="pct"/>
        <w:jc w:val="center"/>
        <w:tblLayout w:type="autofit"/>
        <w:tblCellMar>
          <w:top w:w="0" w:type="dxa"/>
          <w:left w:w="108" w:type="dxa"/>
          <w:bottom w:w="0" w:type="dxa"/>
          <w:right w:w="108" w:type="dxa"/>
        </w:tblCellMar>
      </w:tblPr>
      <w:tblGrid>
        <w:gridCol w:w="2519"/>
        <w:gridCol w:w="1390"/>
        <w:gridCol w:w="1952"/>
        <w:gridCol w:w="1387"/>
        <w:gridCol w:w="1387"/>
        <w:gridCol w:w="1952"/>
        <w:gridCol w:w="1387"/>
        <w:gridCol w:w="2803"/>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hint="default"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w:t>
            </w:r>
          </w:p>
        </w:tc>
        <w:tc>
          <w:tcPr>
            <w:tcW w:w="470"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教育支出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20502</w:t>
            </w:r>
          </w:p>
        </w:tc>
        <w:tc>
          <w:tcPr>
            <w:tcW w:w="470"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普通教育</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2050204</w:t>
            </w:r>
          </w:p>
        </w:tc>
        <w:tc>
          <w:tcPr>
            <w:tcW w:w="470"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高中教育</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4194.34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7"/>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道县敦颐高级中学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31"/>
        <w:gridCol w:w="2636"/>
        <w:gridCol w:w="616"/>
        <w:gridCol w:w="931"/>
        <w:gridCol w:w="1934"/>
        <w:gridCol w:w="1739"/>
        <w:gridCol w:w="1867"/>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color w:val="000000"/>
                <w:sz w:val="22"/>
                <w:lang w:val="en-US" w:eastAsia="zh-CN"/>
              </w:rPr>
              <w:t>3512.66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both"/>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道县敦颐高级中学</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sz w:val="22"/>
                <w:lang w:val="en-US" w:eastAsia="zh-CN"/>
              </w:rPr>
              <w:t>3512.66</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sz w:val="22"/>
                <w:lang w:val="en-US" w:eastAsia="zh-CN"/>
              </w:rPr>
              <w:t>3512.66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spacing w:line="240" w:lineRule="auto"/>
              <w:jc w:val="left"/>
              <w:textAlignment w:val="center"/>
              <w:rPr>
                <w:rFonts w:hint="default"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w:t>
            </w:r>
          </w:p>
        </w:tc>
        <w:tc>
          <w:tcPr>
            <w:tcW w:w="3527" w:type="dxa"/>
            <w:tcBorders>
              <w:top w:val="nil"/>
              <w:left w:val="nil"/>
              <w:bottom w:val="single" w:color="auto" w:sz="4" w:space="0"/>
              <w:right w:val="single" w:color="auto" w:sz="4" w:space="0"/>
            </w:tcBorders>
            <w:shd w:val="clear" w:color="000000" w:fill="FFFFFF"/>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教育支出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sz w:val="22"/>
                <w:lang w:val="en-US" w:eastAsia="zh-CN"/>
              </w:rPr>
              <w:t>3512.66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sz w:val="22"/>
                <w:lang w:val="en-US" w:eastAsia="zh-CN"/>
              </w:rPr>
              <w:t>3512.66</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20502</w:t>
            </w:r>
          </w:p>
        </w:tc>
        <w:tc>
          <w:tcPr>
            <w:tcW w:w="3527" w:type="dxa"/>
            <w:tcBorders>
              <w:top w:val="nil"/>
              <w:left w:val="nil"/>
              <w:bottom w:val="single" w:color="auto" w:sz="4" w:space="0"/>
              <w:right w:val="single" w:color="auto" w:sz="4" w:space="0"/>
            </w:tcBorders>
            <w:shd w:val="clear" w:color="000000" w:fill="FFFFFF"/>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普通教育</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sz w:val="22"/>
                <w:lang w:val="en-US" w:eastAsia="zh-CN"/>
              </w:rPr>
              <w:t>3512.66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sz w:val="22"/>
                <w:lang w:val="en-US" w:eastAsia="zh-CN"/>
              </w:rPr>
              <w:t>3512.66</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2050204</w:t>
            </w:r>
          </w:p>
        </w:tc>
        <w:tc>
          <w:tcPr>
            <w:tcW w:w="3527" w:type="dxa"/>
            <w:tcBorders>
              <w:top w:val="nil"/>
              <w:left w:val="nil"/>
              <w:bottom w:val="single" w:color="auto" w:sz="4" w:space="0"/>
              <w:right w:val="single" w:color="auto" w:sz="4" w:space="0"/>
            </w:tcBorders>
            <w:shd w:val="clear" w:color="000000" w:fill="FFFFFF"/>
            <w:vAlign w:val="center"/>
          </w:tcPr>
          <w:p>
            <w:pPr>
              <w:widowControl/>
              <w:spacing w:line="240" w:lineRule="auto"/>
              <w:jc w:val="left"/>
              <w:textAlignment w:val="center"/>
              <w:rPr>
                <w:rFonts w:ascii="宋体" w:hAnsi="宋体" w:eastAsia="宋体" w:cs="宋体"/>
                <w:kern w:val="2"/>
                <w:sz w:val="24"/>
                <w:szCs w:val="24"/>
                <w:lang w:val="en-US" w:eastAsia="zh-CN" w:bidi="ar-SA"/>
              </w:rPr>
            </w:pPr>
            <w:r>
              <w:rPr>
                <w:rFonts w:hint="eastAsia" w:ascii="宋体" w:hAnsi="宋体" w:eastAsia="宋体" w:cs="宋体"/>
                <w:color w:val="000000"/>
                <w:kern w:val="0"/>
                <w:sz w:val="22"/>
                <w:lang w:bidi="ar"/>
              </w:rPr>
              <w:t>高中教育</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sz w:val="22"/>
                <w:lang w:val="en-US" w:eastAsia="zh-CN"/>
              </w:rPr>
              <w:t>3512.66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sz w:val="22"/>
                <w:lang w:val="en-US" w:eastAsia="zh-CN"/>
              </w:rPr>
              <w:t>3512.66</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14833" w:type="dxa"/>
        <w:tblInd w:w="-115" w:type="dxa"/>
        <w:tblLayout w:type="fixed"/>
        <w:tblCellMar>
          <w:top w:w="0" w:type="dxa"/>
          <w:left w:w="108" w:type="dxa"/>
          <w:bottom w:w="0" w:type="dxa"/>
          <w:right w:w="108" w:type="dxa"/>
        </w:tblCellMar>
      </w:tblPr>
      <w:tblGrid>
        <w:gridCol w:w="1183"/>
        <w:gridCol w:w="3100"/>
        <w:gridCol w:w="1017"/>
        <w:gridCol w:w="1066"/>
        <w:gridCol w:w="1900"/>
        <w:gridCol w:w="1017"/>
        <w:gridCol w:w="1117"/>
        <w:gridCol w:w="3583"/>
        <w:gridCol w:w="850"/>
      </w:tblGrid>
      <w:tr>
        <w:tblPrEx>
          <w:tblCellMar>
            <w:top w:w="0" w:type="dxa"/>
            <w:left w:w="108" w:type="dxa"/>
            <w:bottom w:w="0" w:type="dxa"/>
            <w:right w:w="108" w:type="dxa"/>
          </w:tblCellMar>
        </w:tblPrEx>
        <w:trPr>
          <w:trHeight w:val="531" w:hRule="atLeast"/>
        </w:trPr>
        <w:tc>
          <w:tcPr>
            <w:tcW w:w="14833"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hint="eastAsia"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val="en-US" w:eastAsia="zh-CN"/>
              </w:rPr>
              <w:t>道县敦颐高级中学</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 w:val="20"/>
                <w:szCs w:val="20"/>
              </w:rPr>
              <w:t>公开06表</w:t>
            </w:r>
          </w:p>
          <w:p>
            <w:pPr>
              <w:widowControl/>
              <w:wordWrap w:val="0"/>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 w:val="20"/>
                <w:szCs w:val="20"/>
              </w:rPr>
              <w:t>单位：万元</w:t>
            </w:r>
          </w:p>
        </w:tc>
      </w:tr>
      <w:tr>
        <w:tblPrEx>
          <w:tblCellMar>
            <w:top w:w="0" w:type="dxa"/>
            <w:left w:w="108" w:type="dxa"/>
            <w:bottom w:w="0" w:type="dxa"/>
            <w:right w:w="108" w:type="dxa"/>
          </w:tblCellMar>
        </w:tblPrEx>
        <w:trPr>
          <w:trHeight w:val="481" w:hRule="atLeast"/>
        </w:trPr>
        <w:tc>
          <w:tcPr>
            <w:tcW w:w="118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经济分类科目编码</w:t>
            </w:r>
          </w:p>
        </w:tc>
        <w:tc>
          <w:tcPr>
            <w:tcW w:w="31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科目名称</w:t>
            </w:r>
          </w:p>
        </w:tc>
        <w:tc>
          <w:tcPr>
            <w:tcW w:w="10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决算数</w:t>
            </w:r>
          </w:p>
        </w:tc>
        <w:tc>
          <w:tcPr>
            <w:tcW w:w="10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经济分类科目编码</w:t>
            </w:r>
          </w:p>
        </w:tc>
        <w:tc>
          <w:tcPr>
            <w:tcW w:w="19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科目名称</w:t>
            </w:r>
          </w:p>
        </w:tc>
        <w:tc>
          <w:tcPr>
            <w:tcW w:w="10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决算数</w:t>
            </w:r>
          </w:p>
        </w:tc>
        <w:tc>
          <w:tcPr>
            <w:tcW w:w="11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经济分类科目编码</w:t>
            </w:r>
          </w:p>
        </w:tc>
        <w:tc>
          <w:tcPr>
            <w:tcW w:w="35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科目名称</w:t>
            </w: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决算数</w:t>
            </w: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工资福利支出</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3172.52</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商品和服务支出</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250.62</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307</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债务利息及费用支出</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 w:val="21"/>
                <w:szCs w:val="21"/>
                <w:lang w:val="en-US" w:eastAsia="zh-CN"/>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30101</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基本工资</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1375.72</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30201</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办公费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33.10</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30701</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国内债务付息</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 w:val="21"/>
                <w:szCs w:val="21"/>
                <w:lang w:val="en-US" w:eastAsia="zh-CN"/>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30102</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津贴补贴</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457.63</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30202</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印刷费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8.30</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30702</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国外债务付息</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30103</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奖金</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126.65</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30203</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咨询费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 w:val="21"/>
                <w:szCs w:val="21"/>
                <w:lang w:val="en-US" w:eastAsia="zh-CN"/>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资本性支出</w:t>
            </w:r>
          </w:p>
        </w:tc>
        <w:tc>
          <w:tcPr>
            <w:tcW w:w="8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34.86</w:t>
            </w: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30106</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伙食补助费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30204</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手续费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31001</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房屋建筑物购建</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30107</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绩效工资</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468.19</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30205</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水费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2.62</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31002</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办公设备购置</w:t>
            </w:r>
          </w:p>
        </w:tc>
        <w:tc>
          <w:tcPr>
            <w:tcW w:w="8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14.57</w:t>
            </w: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30108</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机关事业单位基本养老保险缴费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335.57</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30206</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电费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3.41</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31003</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专用设备购置</w:t>
            </w:r>
          </w:p>
        </w:tc>
        <w:tc>
          <w:tcPr>
            <w:tcW w:w="8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2.37</w:t>
            </w: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30109</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职业年金缴费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56.48</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30207</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邮电费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31005</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基础设施建设</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30110</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职工基本医疗保险缴费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152.32</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30208</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取暖费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31006</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大型修缮</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30111</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公务员医疗补助缴费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30209</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物业管理费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8357.00</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31007</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信息网络及软件购置更新</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17.92</w:t>
            </w: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30112</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其他社会保障缴费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12.78</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30211</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差旅费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9.10</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31008</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物资储备</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30113</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住房公积金</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159.06</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30212</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因公出国（境）费用</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31009</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土地补偿</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30114</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医疗费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30213</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维修（护）费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0.62</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31010</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安置补助</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30199</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其他工资福利支出</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28.11</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30214</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租赁费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31011</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地上附着物和青苗补偿</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对个人和家庭的补助</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54.65</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30215</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会议费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31012</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拆迁补偿</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30301</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离休费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30216</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培训费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15.78</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31013</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公务用车购置</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30302</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退休费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30217</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公务接待费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31019</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其他交通工具购置</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30303</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退职（役）费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30218</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专用材料费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3.66</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31021</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文物和陈列品购置</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30304</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抚恤金</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30224</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被装购置费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31022</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无形资产购置</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30305</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生活补助</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30225</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专用燃料费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31099</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其他资本性支出</w:t>
            </w:r>
          </w:p>
        </w:tc>
        <w:tc>
          <w:tcPr>
            <w:tcW w:w="8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30306</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救济费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30226</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劳务费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56.87</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399</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其他支出</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30307</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医疗费补助</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30227</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委托业务费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39906</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赠与</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30308</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助学金</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54.65</w:t>
            </w: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30228</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工会经费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108.31</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39907</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国家赔偿费用支出</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30309</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奖励金</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30229</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福利费</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7.55</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39908</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对民间非营利组织和群众性自治组织补贴</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30310</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个人农业生产补贴</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30231</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公务用车运行维护费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39999</w:t>
            </w:r>
          </w:p>
        </w:tc>
        <w:tc>
          <w:tcPr>
            <w:tcW w:w="358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其他支出</w:t>
            </w: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30311</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代缴社会保险费</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30239</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其他交通费用</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0.16</w:t>
            </w:r>
          </w:p>
        </w:tc>
        <w:tc>
          <w:tcPr>
            <w:tcW w:w="1117"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 w:val="21"/>
                <w:szCs w:val="21"/>
              </w:rPr>
            </w:pPr>
          </w:p>
        </w:tc>
        <w:tc>
          <w:tcPr>
            <w:tcW w:w="3583"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 w:val="21"/>
                <w:szCs w:val="21"/>
              </w:rPr>
            </w:pP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30399</w:t>
            </w:r>
          </w:p>
        </w:tc>
        <w:tc>
          <w:tcPr>
            <w:tcW w:w="31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其他对个人和家庭的补助</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30240</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税金及附加费用</w:t>
            </w: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117"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 w:val="21"/>
                <w:szCs w:val="21"/>
              </w:rPr>
            </w:pPr>
          </w:p>
        </w:tc>
        <w:tc>
          <w:tcPr>
            <w:tcW w:w="3583"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 w:val="21"/>
                <w:szCs w:val="21"/>
              </w:rPr>
            </w:pP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84" w:hRule="exact"/>
        </w:trPr>
        <w:tc>
          <w:tcPr>
            <w:tcW w:w="1183"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 w:val="21"/>
                <w:szCs w:val="21"/>
              </w:rPr>
            </w:pPr>
          </w:p>
        </w:tc>
        <w:tc>
          <w:tcPr>
            <w:tcW w:w="3100"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 w:val="21"/>
                <w:szCs w:val="21"/>
              </w:rPr>
            </w:pPr>
          </w:p>
        </w:tc>
        <w:tc>
          <w:tcPr>
            <w:tcW w:w="101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c>
          <w:tcPr>
            <w:tcW w:w="10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30299</w:t>
            </w:r>
          </w:p>
        </w:tc>
        <w:tc>
          <w:tcPr>
            <w:tcW w:w="190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 xml:space="preserve">  其他商品和服务支出</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0.31</w:t>
            </w:r>
          </w:p>
        </w:tc>
        <w:tc>
          <w:tcPr>
            <w:tcW w:w="1117"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 w:val="21"/>
                <w:szCs w:val="21"/>
              </w:rPr>
            </w:pPr>
          </w:p>
        </w:tc>
        <w:tc>
          <w:tcPr>
            <w:tcW w:w="3583"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 w:val="21"/>
                <w:szCs w:val="21"/>
              </w:rPr>
            </w:pPr>
          </w:p>
        </w:tc>
        <w:tc>
          <w:tcPr>
            <w:tcW w:w="8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337" w:hRule="exact"/>
        </w:trPr>
        <w:tc>
          <w:tcPr>
            <w:tcW w:w="428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人员经费合计</w:t>
            </w:r>
          </w:p>
        </w:tc>
        <w:tc>
          <w:tcPr>
            <w:tcW w:w="101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3227.18</w:t>
            </w:r>
          </w:p>
        </w:tc>
        <w:tc>
          <w:tcPr>
            <w:tcW w:w="8683"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bidi="ar"/>
              </w:rPr>
              <w:t>公用经费合计</w:t>
            </w:r>
          </w:p>
        </w:tc>
        <w:tc>
          <w:tcPr>
            <w:tcW w:w="8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285.49</w:t>
            </w:r>
          </w:p>
        </w:tc>
      </w:tr>
      <w:tr>
        <w:tblPrEx>
          <w:tblCellMar>
            <w:top w:w="0" w:type="dxa"/>
            <w:left w:w="108" w:type="dxa"/>
            <w:bottom w:w="0" w:type="dxa"/>
            <w:right w:w="108" w:type="dxa"/>
          </w:tblCellMar>
        </w:tblPrEx>
        <w:trPr>
          <w:trHeight w:val="284" w:hRule="exact"/>
        </w:trPr>
        <w:tc>
          <w:tcPr>
            <w:tcW w:w="14833" w:type="dxa"/>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注：本表反映部门本年度一般公共预算财政拨款基本支出明细情况。</w:t>
            </w:r>
          </w:p>
        </w:tc>
      </w:tr>
    </w:tbl>
    <w:p>
      <w:pPr>
        <w:widowControl/>
        <w:jc w:val="left"/>
        <w:rPr>
          <w:rFonts w:ascii="Times New Roman" w:hAnsi="Times New Roman" w:eastAsia="仿宋_GB2312" w:cs="Times New Roman"/>
          <w:color w:val="000000"/>
          <w:kern w:val="0"/>
          <w:szCs w:val="24"/>
        </w:rPr>
      </w:pP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道县敦颐高级中学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道县敦颐高级中学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217"/>
        <w:gridCol w:w="3220"/>
        <w:gridCol w:w="1904"/>
        <w:gridCol w:w="3221"/>
        <w:gridCol w:w="3221"/>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道县敦颐高级中学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71"/>
        <w:gridCol w:w="1276"/>
        <w:gridCol w:w="1128"/>
        <w:gridCol w:w="1234"/>
        <w:gridCol w:w="1482"/>
        <w:gridCol w:w="1434"/>
        <w:gridCol w:w="1092"/>
        <w:gridCol w:w="1213"/>
        <w:gridCol w:w="1213"/>
        <w:gridCol w:w="1213"/>
        <w:gridCol w:w="1412"/>
        <w:gridCol w:w="1455"/>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510" w:right="1134" w:bottom="567" w:left="1134"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lang w:eastAsia="zh-CN"/>
        </w:rPr>
        <w:t>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heme="minorEastAsia" w:hAnsiTheme="minorEastAsia" w:eastAsiaTheme="minorEastAsia"/>
          <w:color w:val="auto"/>
          <w:sz w:val="32"/>
          <w:szCs w:val="32"/>
          <w:highlight w:val="none"/>
          <w:lang w:val="en-US"/>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4194.34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减少1012.44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减少20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学生人数招生减少</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相应的人员经费及收、支减少；项目支出减少。</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4194.34</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3512.66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84</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事业收入681.68万元，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4194.34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4194.34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3512.66</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减少1694.12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减少33</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项目支出减少。</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3512.66</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84</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减少1694.12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减少33</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项目支出减少。</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4194.34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全部用于</w:t>
      </w:r>
      <w:r>
        <w:rPr>
          <w:rFonts w:hint="eastAsia" w:ascii="Times New Roman" w:hAnsi="Times New Roman" w:eastAsia="仿宋_GB2312"/>
          <w:sz w:val="32"/>
          <w:szCs w:val="32"/>
        </w:rPr>
        <w:t>教育支出，占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6254.43</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4194.34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67</w:t>
      </w:r>
      <w:r>
        <w:rPr>
          <w:rFonts w:hint="eastAsia" w:ascii="Times New Roman" w:hAnsi="Times New Roman" w:eastAsia="仿宋_GB2312"/>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w:t>
      </w:r>
      <w:r>
        <w:rPr>
          <w:rFonts w:hint="eastAsia" w:ascii="Times New Roman" w:hAnsi="Times New Roman" w:eastAsia="仿宋_GB2312"/>
          <w:sz w:val="32"/>
          <w:szCs w:val="32"/>
          <w:lang w:eastAsia="zh-CN"/>
        </w:rPr>
        <w:t>普通教育</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高中教育</w:t>
      </w:r>
      <w:r>
        <w:rPr>
          <w:rFonts w:hint="eastAsia" w:ascii="Times New Roman" w:hAnsi="Times New Roman" w:eastAsia="仿宋_GB2312"/>
          <w:sz w:val="32"/>
          <w:szCs w:val="32"/>
        </w:rPr>
        <w:t>（项）。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6254.43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4194.34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67</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项目支出减少。</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3512.66</w:t>
      </w:r>
      <w:r>
        <w:rPr>
          <w:rFonts w:hint="eastAsia" w:ascii="Times New Roman" w:hAnsi="Times New Roman" w:eastAsia="仿宋_GB2312"/>
          <w:sz w:val="32"/>
          <w:szCs w:val="32"/>
        </w:rPr>
        <w:t>万元，其中：</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b/>
          <w:bCs/>
          <w:sz w:val="32"/>
          <w:szCs w:val="32"/>
          <w:lang w:val="en-US" w:eastAsia="zh-CN"/>
        </w:rPr>
        <w:t>3227.18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92</w:t>
      </w:r>
      <w:r>
        <w:rPr>
          <w:rFonts w:hint="eastAsia" w:ascii="Times New Roman" w:hAnsi="Times New Roman" w:eastAsia="仿宋_GB2312"/>
          <w:sz w:val="32"/>
          <w:szCs w:val="32"/>
        </w:rPr>
        <w:t>%,主要包括本</w:t>
      </w:r>
      <w:r>
        <w:rPr>
          <w:rFonts w:hint="eastAsia" w:ascii="Times New Roman" w:hAnsi="Times New Roman" w:eastAsia="仿宋_GB2312"/>
          <w:sz w:val="32"/>
          <w:szCs w:val="32"/>
          <w:lang w:val="en-US" w:eastAsia="zh-CN"/>
        </w:rPr>
        <w:t>基本</w:t>
      </w:r>
      <w:r>
        <w:rPr>
          <w:rFonts w:hint="eastAsia" w:ascii="Times New Roman" w:hAnsi="Times New Roman" w:eastAsia="仿宋_GB2312"/>
          <w:sz w:val="32"/>
          <w:szCs w:val="32"/>
        </w:rPr>
        <w:t>工资、津贴补贴、奖金、伙食补助费</w:t>
      </w:r>
      <w:r>
        <w:rPr>
          <w:rFonts w:hint="eastAsia" w:ascii="Times New Roman" w:hAnsi="Times New Roman" w:eastAsia="仿宋_GB2312"/>
          <w:sz w:val="32"/>
          <w:szCs w:val="32"/>
          <w:lang w:eastAsia="zh-CN"/>
        </w:rPr>
        <w:t>、</w:t>
      </w:r>
      <w:r>
        <w:rPr>
          <w:rFonts w:hint="eastAsia" w:ascii="仿宋_GB2312" w:hAnsi="仿宋_GB2312" w:eastAsia="仿宋_GB2312" w:cs="仿宋_GB2312"/>
          <w:sz w:val="32"/>
          <w:szCs w:val="32"/>
          <w:lang w:val="en-US" w:eastAsia="zh-CN"/>
        </w:rPr>
        <w:t>绩效工资、住房公积金及社会保障缴费</w:t>
      </w:r>
      <w:r>
        <w:rPr>
          <w:rFonts w:hint="eastAsia" w:ascii="仿宋_GB2312" w:hAnsi="仿宋_GB2312" w:eastAsia="仿宋_GB2312" w:cs="仿宋_GB2312"/>
          <w:sz w:val="32"/>
          <w:szCs w:val="32"/>
        </w:rPr>
        <w:t>等人员经费</w:t>
      </w:r>
      <w:r>
        <w:rPr>
          <w:rFonts w:hint="eastAsia" w:ascii="仿宋_GB2312" w:hAnsi="仿宋_GB2312" w:eastAsia="仿宋_GB2312" w:cs="仿宋_GB2312"/>
          <w:sz w:val="32"/>
          <w:szCs w:val="32"/>
          <w:lang w:val="en-US" w:eastAsia="zh-CN"/>
        </w:rPr>
        <w:t>等</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b/>
          <w:bCs/>
          <w:sz w:val="32"/>
          <w:szCs w:val="32"/>
          <w:lang w:val="en-US" w:eastAsia="zh-CN"/>
        </w:rPr>
        <w:t>285.49</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%，主要包括</w:t>
      </w:r>
      <w:r>
        <w:rPr>
          <w:rFonts w:hint="eastAsia" w:ascii="仿宋_GB2312" w:hAnsi="仿宋_GB2312" w:eastAsia="仿宋_GB2312" w:cs="仿宋_GB2312"/>
          <w:sz w:val="32"/>
          <w:szCs w:val="32"/>
          <w:lang w:val="en-US" w:eastAsia="zh-CN"/>
        </w:rPr>
        <w:t>学校临</w:t>
      </w:r>
      <w:r>
        <w:rPr>
          <w:rFonts w:hint="eastAsia" w:ascii="仿宋_GB2312" w:hAnsi="仿宋_GB2312" w:eastAsia="仿宋_GB2312" w:cs="仿宋_GB2312"/>
          <w:sz w:val="32"/>
          <w:szCs w:val="32"/>
        </w:rPr>
        <w:t>办公费、印刷费、</w:t>
      </w:r>
      <w:r>
        <w:rPr>
          <w:rFonts w:hint="eastAsia" w:ascii="仿宋_GB2312" w:hAnsi="仿宋_GB2312" w:eastAsia="仿宋_GB2312" w:cs="仿宋_GB2312"/>
          <w:sz w:val="32"/>
          <w:szCs w:val="32"/>
          <w:lang w:val="en-US" w:eastAsia="zh-CN"/>
        </w:rPr>
        <w:t>物业管理费、</w:t>
      </w:r>
      <w:r>
        <w:rPr>
          <w:rFonts w:hint="eastAsia" w:ascii="仿宋_GB2312" w:hAnsi="仿宋_GB2312" w:eastAsia="仿宋_GB2312" w:cs="仿宋_GB2312"/>
          <w:sz w:val="32"/>
          <w:szCs w:val="32"/>
        </w:rPr>
        <w:t>水电费、差旅费、维修（护）费、培训费、劳务费、工会经费、福利费等日常工作运转经费</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学校减少接待开支，</w:t>
      </w:r>
      <w:r>
        <w:rPr>
          <w:rFonts w:hint="eastAsia" w:ascii="Times New Roman" w:hAnsi="Times New Roman" w:eastAsia="仿宋_GB2312"/>
          <w:sz w:val="32"/>
          <w:szCs w:val="32"/>
        </w:rPr>
        <w:t>与上年相比减少（增加）</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学校减少接待开支</w:t>
      </w:r>
      <w:r>
        <w:rPr>
          <w:rFonts w:hint="eastAsia" w:ascii="Times New Roman" w:hAnsi="Times New Roman" w:eastAsia="仿宋_GB2312"/>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学校减少接待开支</w:t>
      </w:r>
      <w:r>
        <w:rPr>
          <w:rFonts w:hint="eastAsia" w:ascii="Times New Roman" w:hAnsi="Times New Roman" w:eastAsia="仿宋_GB2312"/>
          <w:sz w:val="32"/>
          <w:szCs w:val="32"/>
        </w:rPr>
        <w:t>，与上年相比减少（增加）</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学校减少接待开支</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eastAsia="zh-CN"/>
        </w:rPr>
        <w:t>无。</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2"/>
        <w:keepNext w:val="0"/>
        <w:keepLines w:val="0"/>
        <w:pageBreakBefore w:val="0"/>
        <w:widowControl w:val="0"/>
        <w:kinsoku/>
        <w:wordWrap/>
        <w:overflowPunct/>
        <w:topLinePunct w:val="0"/>
        <w:bidi w:val="0"/>
        <w:snapToGrid/>
        <w:spacing w:line="600" w:lineRule="exact"/>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w:t>
      </w:r>
      <w:r>
        <w:rPr>
          <w:rFonts w:hint="eastAsia" w:ascii="Times New Roman" w:hAnsi="Times New Roman" w:eastAsia="仿宋_GB2312"/>
          <w:sz w:val="32"/>
          <w:szCs w:val="32"/>
          <w:lang w:val="en-US" w:eastAsia="zh-CN"/>
        </w:rPr>
        <w:t>未发生</w:t>
      </w:r>
      <w:r>
        <w:rPr>
          <w:rFonts w:hint="eastAsia" w:ascii="Times New Roman" w:hAnsi="Times New Roman" w:eastAsia="仿宋_GB2312"/>
          <w:sz w:val="32"/>
          <w:szCs w:val="32"/>
        </w:rPr>
        <w:t>政府性基金预算财政拨款收</w:t>
      </w:r>
      <w:r>
        <w:rPr>
          <w:rFonts w:hint="eastAsia" w:ascii="Times New Roman" w:hAnsi="Times New Roman" w:eastAsia="仿宋_GB2312"/>
          <w:sz w:val="32"/>
          <w:szCs w:val="32"/>
          <w:lang w:val="en-US" w:eastAsia="zh-CN"/>
        </w:rPr>
        <w:t>支。</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机关运行经费支出。</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15.78</w:t>
      </w:r>
      <w:r>
        <w:rPr>
          <w:rFonts w:hint="eastAsia" w:ascii="Times New Roman" w:hAnsi="Times New Roman" w:eastAsia="仿宋_GB2312"/>
          <w:sz w:val="32"/>
          <w:szCs w:val="32"/>
        </w:rPr>
        <w:t>万元，用于开展</w:t>
      </w:r>
      <w:r>
        <w:rPr>
          <w:rFonts w:hint="eastAsia" w:ascii="Times New Roman" w:hAnsi="Times New Roman" w:eastAsia="仿宋_GB2312"/>
          <w:sz w:val="32"/>
          <w:szCs w:val="32"/>
          <w:lang w:eastAsia="zh-CN"/>
        </w:rPr>
        <w:t>教师</w:t>
      </w:r>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248</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val="en-US" w:eastAsia="zh-CN"/>
        </w:rPr>
        <w:t>各类学科</w:t>
      </w:r>
      <w:r>
        <w:rPr>
          <w:rFonts w:hint="eastAsia" w:ascii="Times New Roman" w:hAnsi="Times New Roman" w:eastAsia="仿宋_GB2312"/>
          <w:sz w:val="32"/>
          <w:szCs w:val="32"/>
        </w:rPr>
        <w:t>培训</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暑期培训等</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未</w:t>
      </w:r>
      <w:r>
        <w:rPr>
          <w:rFonts w:hint="eastAsia" w:ascii="Times New Roman" w:hAnsi="Times New Roman" w:eastAsia="仿宋_GB2312"/>
          <w:sz w:val="32"/>
          <w:szCs w:val="32"/>
        </w:rPr>
        <w:t>举办节庆、晚会、论坛、赛事活动</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w:t>
      </w:r>
      <w:r>
        <w:rPr>
          <w:rFonts w:hint="eastAsia" w:hAnsi="黑体" w:cs="黑体"/>
          <w:b w:val="0"/>
          <w:bCs/>
          <w:color w:val="auto"/>
          <w:sz w:val="32"/>
          <w:szCs w:val="32"/>
          <w:lang w:eastAsia="zh-CN"/>
        </w:rPr>
        <w:t>于202</w:t>
      </w:r>
      <w:r>
        <w:rPr>
          <w:rFonts w:hint="eastAsia" w:hAnsi="黑体" w:cs="黑体"/>
          <w:b w:val="0"/>
          <w:bCs/>
          <w:color w:val="auto"/>
          <w:sz w:val="32"/>
          <w:szCs w:val="32"/>
          <w:lang w:val="en-US" w:eastAsia="zh-CN"/>
        </w:rPr>
        <w:t>5</w:t>
      </w:r>
      <w:r>
        <w:rPr>
          <w:rFonts w:hint="eastAsia" w:hAnsi="黑体" w:cs="黑体"/>
          <w:b w:val="0"/>
          <w:bCs/>
          <w:color w:val="auto"/>
          <w:sz w:val="32"/>
          <w:szCs w:val="32"/>
          <w:lang w:eastAsia="zh-CN"/>
        </w:rPr>
        <w:t>年度预算</w:t>
      </w:r>
      <w:r>
        <w:rPr>
          <w:rFonts w:hint="eastAsia" w:ascii="黑体" w:hAnsi="黑体" w:eastAsia="黑体" w:cs="黑体"/>
          <w:b w:val="0"/>
          <w:bCs/>
          <w:color w:val="auto"/>
          <w:sz w:val="32"/>
          <w:szCs w:val="32"/>
        </w:rPr>
        <w:t>绩效情况的说明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本部门预算绩效管理开展情况、绩效目标和绩效评价报告见附件</w:t>
      </w:r>
      <w:r>
        <w:rPr>
          <w:rFonts w:hint="eastAsia" w:ascii="Times New Roman" w:hAnsi="Times New Roman" w:eastAsia="仿宋_GB2312"/>
          <w:color w:val="auto"/>
          <w:sz w:val="32"/>
          <w:szCs w:val="32"/>
        </w:rPr>
        <w:t>。</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2"/>
        <w:ind w:firstLine="640" w:firstLineChars="200"/>
        <w:jc w:val="both"/>
        <w:rPr>
          <w:sz w:val="72"/>
          <w:szCs w:val="72"/>
        </w:rPr>
      </w:pPr>
      <w:r>
        <w:rPr>
          <w:rFonts w:hint="eastAsia" w:ascii="Times New Roman" w:hAnsi="Times New Roman" w:eastAsia="仿宋_GB2312"/>
          <w:color w:val="auto"/>
          <w:sz w:val="32"/>
          <w:szCs w:val="32"/>
          <w:lang w:val="en-US" w:eastAsia="zh-CN"/>
        </w:rPr>
        <w:t>全年预算数大于全年执行数，原因在于预算过程中，数据估算不准确，实际执行过程中，有部分资金未使用。主要是其他资金无法准确预算。</w:t>
      </w:r>
    </w:p>
    <w:p>
      <w:pPr>
        <w:pStyle w:val="12"/>
        <w:jc w:val="center"/>
        <w:rPr>
          <w:sz w:val="72"/>
          <w:szCs w:val="72"/>
        </w:rPr>
      </w:pPr>
    </w:p>
    <w:p>
      <w:pPr>
        <w:pStyle w:val="12"/>
        <w:jc w:val="center"/>
        <w:rPr>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1．财政拨款收入：指单位本年度从同级财政部门取得的各类财政拨款。</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2．上级补助收入：指事业单位从主管部门和上级单位取得的非财政补助收入。</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3．事业收入：指事业单位开展专业业务活动及其辅助活动取得的收入，事业单位收到的财政专户实际核拨的教育收费等资金在此反映。</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4．经营收入：指事业单位在专业业务活动及其辅助活动之外开展非独立核算经营活动取得的收入。</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5．附属单位上缴收入：指事业单位附属独立核算单位按照有关规定上缴的收入。</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6．其他收入：指单位取得的除上述“财政拨款收入”、“事业收入”、“经营收入”等以外的各项收入。</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7．使用非财政拨款结余：指事业单位使用非财政拨款结余（原事业基金）弥补当年收支差额的数额。</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8．年初结转和结余：指单位上年结转本年使用的基本支出结转、项目支出结转和结余和经营结余。</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9．结余分配：指事业单位按规定对非财政拨款结余资金提取的专用基金、缴纳的所得税和转入非财政拨款结余等。</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10．年末结转和结余资金：指本年度或以前年度预算安排、因客观条件发生变化无法按原计划实施，需要延迟到以后年度按有关规定继续使用的资金。</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11．基本支出：指为保障机构正常运转、完成日常工作任务而发生的支出，包括人员经费和公用经费。</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12．项目支出：指在为完成特定的工作任务和事业发展目标所发生的支出。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13．上缴上级支出：指事业单位按照财政部门和主管部门的规定上缴上级单位的支出。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14．经营支出：指事业单位在专业业务活动及其辅助活动之外开展非独立核算经营活动发生的支出。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15．对附属单位补助支出：指事业单位用财政拨款收入之外的收入对附属单位补助发生的支出。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16．“三公”经费：指单位用一般公共预算财政拨款安排的因公出国（境）费、公务用车购置及运行维护费和公务接待费。其中，因公出国（境）费反映单位公务出国（境）的国际旅费、国外城市间交通费、</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17．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18．教育支出（类）普通教育（款）高中教育（项）：反映各部门举办的普通高中教育支出。政府各部门对社会组织等举办的普通高中的资助，如捐赠、补贴等，也在本科目中反映。</w:t>
      </w: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2"/>
        <w:jc w:val="center"/>
        <w:rPr>
          <w:rFonts w:hint="eastAsia" w:ascii="方正小标宋_GBK" w:hAnsi="方正小标宋_GBK" w:eastAsia="方正小标宋_GBK" w:cs="方正小标宋_GBK"/>
          <w:sz w:val="70"/>
          <w:szCs w:val="70"/>
        </w:rPr>
      </w:pPr>
    </w:p>
    <w:p>
      <w:pPr>
        <w:pStyle w:val="12"/>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adjustRightInd w:val="0"/>
        <w:spacing w:line="600" w:lineRule="exact"/>
        <w:jc w:val="center"/>
        <w:rPr>
          <w:rFonts w:eastAsia="方正小标宋_GBK"/>
          <w:sz w:val="36"/>
          <w:szCs w:val="36"/>
        </w:rPr>
      </w:pPr>
      <w:r>
        <w:rPr>
          <w:rFonts w:eastAsia="方正小标宋_GBK"/>
          <w:sz w:val="36"/>
          <w:szCs w:val="36"/>
        </w:rPr>
        <w:t>202</w:t>
      </w:r>
      <w:r>
        <w:rPr>
          <w:rFonts w:hint="eastAsia" w:eastAsia="方正小标宋_GBK"/>
          <w:sz w:val="36"/>
          <w:szCs w:val="36"/>
          <w:lang w:val="en-US" w:eastAsia="zh-CN"/>
        </w:rPr>
        <w:t>5</w:t>
      </w:r>
      <w:r>
        <w:rPr>
          <w:rFonts w:hint="eastAsia" w:eastAsia="方正小标宋_GBK"/>
          <w:sz w:val="36"/>
          <w:szCs w:val="36"/>
        </w:rPr>
        <w:t>年度道县</w:t>
      </w:r>
      <w:r>
        <w:rPr>
          <w:rFonts w:hint="eastAsia" w:eastAsia="方正小标宋_GBK"/>
          <w:sz w:val="36"/>
          <w:szCs w:val="36"/>
          <w:lang w:val="en-US" w:eastAsia="zh-CN"/>
        </w:rPr>
        <w:t>敦颐高级中学</w:t>
      </w:r>
      <w:r>
        <w:rPr>
          <w:rFonts w:hint="eastAsia" w:eastAsia="方正小标宋_GBK"/>
          <w:sz w:val="36"/>
          <w:szCs w:val="36"/>
        </w:rPr>
        <w:t>部门整体支出绩效评价报告</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一、基本情况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（一）部门基本情况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道县敦颐高级中学于2020年建校，地址位于道县潇水南路207国道旁，是一所公办普通高中学校。主要职能：培养专门人才和发展科学知识。涉及教育与教学。服务于社会的发展，承担着文化的传承和创新的重要工作。</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（二）部门整体支出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年度预算申请金额：全年预算数6254.43万元，全年执行数4194.34万元。</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二、一般公共预算支出情况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基本支出情况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人员经费：248位老师在编，人员经费为32271768.08元。上年度为21098345.82元</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公用经费：公用经费为2854875.13元，其中公用经费包含学生生均经费，寄宿生水电费，学生人数为3310人，寄宿生2528人。上年度为11128196.20元。</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三、政府性基金预算支出情况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无</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四、国有资本经营预算支出情况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无</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五、社会保险基金预算支出情况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无</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六、部门整体支出绩效情况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目前学校资金来源主要是补贴的生均经费，生均经费用于学校的日常水电，维修管理，印刷费，办公费等日常支出类项目。</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我校积极履职，强化管理，较好的完成了年度工作目标。已按照规定完成了相关的绩效目标和整体支出绩效目标。财政供养人员情况248人，实际在岗情况为248人，其中编制为248人。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2024年决算数据为5206.78万元，25年数据为4194.34</w:t>
      </w:r>
      <w:bookmarkStart w:id="4" w:name="_GoBack"/>
      <w:bookmarkEnd w:id="4"/>
      <w:r>
        <w:rPr>
          <w:rFonts w:hint="eastAsia" w:ascii="Times New Roman" w:hAnsi="Times New Roman" w:eastAsia="仿宋_GB2312"/>
          <w:color w:val="auto"/>
          <w:sz w:val="32"/>
          <w:szCs w:val="32"/>
          <w:lang w:val="en-US" w:eastAsia="zh-CN"/>
        </w:rPr>
        <w:t>万元。符合要求，无偏差。</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教学过程满足学生要求，进行学生活动开展，开展演讲比赛活动，文艺汇演，元旦晚会，运动会等各类活动。</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七、存在的问题及原因分析</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bookmarkStart w:id="3" w:name="OLE_LINK9"/>
      <w:r>
        <w:rPr>
          <w:rFonts w:hint="eastAsia" w:ascii="Times New Roman" w:hAnsi="Times New Roman" w:eastAsia="仿宋_GB2312"/>
          <w:color w:val="auto"/>
          <w:sz w:val="32"/>
          <w:szCs w:val="32"/>
          <w:lang w:val="en-US" w:eastAsia="zh-CN"/>
        </w:rPr>
        <w:t>全年预算数略微大于全年执行数，原因在于预算过程中，数据估算不准确，实际执行过程中，有部分资金未使用。主要是其他资金无法准确预算。</w:t>
      </w:r>
      <w:bookmarkEnd w:id="3"/>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八、下一步改进措施</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进行预算时各个部门讨论，计划下一年度的具体事项，进行合理预算。</w:t>
      </w: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61D0A"/>
    <w:rsid w:val="01BF2B3A"/>
    <w:rsid w:val="02A3420E"/>
    <w:rsid w:val="0433560E"/>
    <w:rsid w:val="04CE2A73"/>
    <w:rsid w:val="093E2B2C"/>
    <w:rsid w:val="09C771CC"/>
    <w:rsid w:val="0A5B5731"/>
    <w:rsid w:val="0D914D5A"/>
    <w:rsid w:val="0EBB6D20"/>
    <w:rsid w:val="0F254A49"/>
    <w:rsid w:val="10A67900"/>
    <w:rsid w:val="15187608"/>
    <w:rsid w:val="16C10C92"/>
    <w:rsid w:val="17451C21"/>
    <w:rsid w:val="1AD10DB0"/>
    <w:rsid w:val="1B4548E5"/>
    <w:rsid w:val="1C0E011D"/>
    <w:rsid w:val="1D97DEFF"/>
    <w:rsid w:val="1DFF72E5"/>
    <w:rsid w:val="1E442A4F"/>
    <w:rsid w:val="1EFC6F07"/>
    <w:rsid w:val="23E76EA7"/>
    <w:rsid w:val="247B1377"/>
    <w:rsid w:val="263A1677"/>
    <w:rsid w:val="289862D6"/>
    <w:rsid w:val="2A41096D"/>
    <w:rsid w:val="2A5813C9"/>
    <w:rsid w:val="2D80270E"/>
    <w:rsid w:val="2EC43F18"/>
    <w:rsid w:val="2F110352"/>
    <w:rsid w:val="2FDF85B8"/>
    <w:rsid w:val="2FFFEE04"/>
    <w:rsid w:val="31B9703B"/>
    <w:rsid w:val="34DF85B0"/>
    <w:rsid w:val="355D1673"/>
    <w:rsid w:val="38251734"/>
    <w:rsid w:val="38B16CBE"/>
    <w:rsid w:val="38D330D8"/>
    <w:rsid w:val="38F25F05"/>
    <w:rsid w:val="39602492"/>
    <w:rsid w:val="3AEA6F91"/>
    <w:rsid w:val="3B8F36BC"/>
    <w:rsid w:val="3C127E7E"/>
    <w:rsid w:val="406B009A"/>
    <w:rsid w:val="41E83ECA"/>
    <w:rsid w:val="457B3E01"/>
    <w:rsid w:val="491FF225"/>
    <w:rsid w:val="4B2E23F0"/>
    <w:rsid w:val="4C8F5111"/>
    <w:rsid w:val="4C9F5404"/>
    <w:rsid w:val="4EFA0F67"/>
    <w:rsid w:val="4FFD214C"/>
    <w:rsid w:val="53CC27A6"/>
    <w:rsid w:val="542C607F"/>
    <w:rsid w:val="550645B5"/>
    <w:rsid w:val="5777D4F5"/>
    <w:rsid w:val="57F73597"/>
    <w:rsid w:val="59DD8326"/>
    <w:rsid w:val="5B6A1223"/>
    <w:rsid w:val="5DEF592A"/>
    <w:rsid w:val="5EB86749"/>
    <w:rsid w:val="5FC6BB1E"/>
    <w:rsid w:val="5FF720F1"/>
    <w:rsid w:val="65F04A1A"/>
    <w:rsid w:val="67FF5C0B"/>
    <w:rsid w:val="68185DCC"/>
    <w:rsid w:val="698937A8"/>
    <w:rsid w:val="6AC547AA"/>
    <w:rsid w:val="6B6630CD"/>
    <w:rsid w:val="6EFC0924"/>
    <w:rsid w:val="6F58744D"/>
    <w:rsid w:val="6FB74722"/>
    <w:rsid w:val="6FD07FAF"/>
    <w:rsid w:val="6FEF8B7E"/>
    <w:rsid w:val="70380431"/>
    <w:rsid w:val="708E10B8"/>
    <w:rsid w:val="71A6591B"/>
    <w:rsid w:val="72514A93"/>
    <w:rsid w:val="72C34518"/>
    <w:rsid w:val="73516B3F"/>
    <w:rsid w:val="737D59BA"/>
    <w:rsid w:val="73CF2753"/>
    <w:rsid w:val="760B654F"/>
    <w:rsid w:val="77C37683"/>
    <w:rsid w:val="79D19834"/>
    <w:rsid w:val="79FA156C"/>
    <w:rsid w:val="79FF515B"/>
    <w:rsid w:val="7AC42C03"/>
    <w:rsid w:val="7BF549BF"/>
    <w:rsid w:val="7D230E0C"/>
    <w:rsid w:val="7E9E1962"/>
    <w:rsid w:val="7E9F11B4"/>
    <w:rsid w:val="7F37EC1E"/>
    <w:rsid w:val="7F7DCD9D"/>
    <w:rsid w:val="7F8C3DF4"/>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6707</Words>
  <Characters>7857</Characters>
  <Lines>69</Lines>
  <Paragraphs>19</Paragraphs>
  <TotalTime>4</TotalTime>
  <ScaleCrop>false</ScaleCrop>
  <LinksUpToDate>false</LinksUpToDate>
  <CharactersWithSpaces>9112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2026-09-15T00:49:39Z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588CB460304D4C6091C3714B5963A199_13</vt:lpwstr>
  </property>
  <property fmtid="{D5CDD505-2E9C-101B-9397-08002B2CF9AE}" pid="4" name="KSOTemplateDocerSaveRecord">
    <vt:lpwstr>eyJoZGlkIjoiNmFiMThiNzFkNjI5NzM1ZjUxOGZhOGI5ZmViNTRhZmIiLCJ1c2VySWQiOiIyOTgwMTk1NDcifQ==</vt:lpwstr>
  </property>
</Properties>
</file>