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jc w:val="center"/>
        <w:rPr>
          <w:rFonts w:hint="default"/>
          <w:sz w:val="56"/>
          <w:szCs w:val="56"/>
          <w:lang w:val="en-US"/>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rgbClr val="FFFFFF"/>
                        </a:solidFill>
                        <a:ln w="6350">
                          <a:noFill/>
                        </a:ln>
                        <a:effectLst/>
                      </wps:spPr>
                      <wps:txbx>
                        <w:txbxContent>
                          <w:p>
                            <w:pPr>
                              <w:rPr>
                                <w:rFonts w:ascii="楷体" w:hAnsi="楷体" w:eastAsia="楷体" w:cs="楷体"/>
                                <w:sz w:val="30"/>
                                <w:szCs w:val="30"/>
                              </w:rPr>
                            </w:pPr>
                            <w:r>
                              <w:rPr>
                                <w:rFonts w:hint="eastAsia" w:ascii="楷体" w:hAnsi="楷体" w:eastAsia="楷体" w:cs="楷体"/>
                                <w:sz w:val="30"/>
                                <w:szCs w:val="30"/>
                              </w:rPr>
                              <w:t>附件1：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cvAm&#10;UNYAAAAKAQAADwAAAAAAAAABACAAAAAiAAAAZHJzL2Rvd25yZXYueG1sUEsBAhQAFAAAAAgAh07i&#10;QBc6bCZdAgAAqAQAAA4AAAAAAAAAAQAgAAAAJQEAAGRycy9lMm9Eb2MueG1sUEsFBgAAAAAGAAYA&#10;WQEAAPQFAAAAAA==&#10;">
                <v:fill on="t" focussize="0,0"/>
                <v:stroke on="f" weight="0.5pt"/>
                <v:imagedata o:title=""/>
                <o:lock v:ext="edit" aspectratio="f"/>
                <v:textbox>
                  <w:txbxContent>
                    <w:p>
                      <w:pPr>
                        <w:rPr>
                          <w:rFonts w:ascii="楷体" w:hAnsi="楷体" w:eastAsia="楷体" w:cs="楷体"/>
                          <w:sz w:val="30"/>
                          <w:szCs w:val="30"/>
                        </w:rPr>
                      </w:pPr>
                      <w:r>
                        <w:rPr>
                          <w:rFonts w:hint="eastAsia" w:ascii="楷体" w:hAnsi="楷体" w:eastAsia="楷体" w:cs="楷体"/>
                          <w:sz w:val="30"/>
                          <w:szCs w:val="30"/>
                        </w:rPr>
                        <w:t>附件1：</w:t>
                      </w:r>
                    </w:p>
                  </w:txbxContent>
                </v:textbox>
              </v:shape>
            </w:pict>
          </mc:Fallback>
        </mc:AlternateContent>
      </w:r>
    </w:p>
    <w:p>
      <w:pPr>
        <w:pStyle w:val="16"/>
        <w:jc w:val="center"/>
        <w:rPr>
          <w:sz w:val="56"/>
          <w:szCs w:val="56"/>
        </w:rPr>
      </w:pPr>
    </w:p>
    <w:p>
      <w:pPr>
        <w:pStyle w:val="16"/>
        <w:jc w:val="center"/>
        <w:rPr>
          <w:sz w:val="84"/>
          <w:szCs w:val="84"/>
        </w:rPr>
      </w:pPr>
    </w:p>
    <w:p>
      <w:pPr>
        <w:pStyle w:val="16"/>
        <w:jc w:val="center"/>
        <w:rPr>
          <w:sz w:val="84"/>
          <w:szCs w:val="84"/>
        </w:rPr>
      </w:pPr>
    </w:p>
    <w:p>
      <w:pPr>
        <w:pStyle w:val="16"/>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w:t>
      </w:r>
      <w:r>
        <w:rPr>
          <w:rFonts w:hint="eastAsia" w:ascii="方正小标宋_GBK" w:hAnsi="方正小标宋_GBK" w:eastAsia="方正小标宋_GBK" w:cs="方正小标宋_GBK"/>
          <w:sz w:val="84"/>
          <w:szCs w:val="84"/>
        </w:rPr>
        <w:t>年度</w:t>
      </w:r>
    </w:p>
    <w:p>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道县</w:t>
      </w:r>
      <w:r>
        <w:rPr>
          <w:rFonts w:hint="eastAsia" w:ascii="方正小标宋_GBK" w:hAnsi="方正小标宋_GBK" w:eastAsia="方正小标宋_GBK" w:cs="方正小标宋_GBK"/>
          <w:sz w:val="72"/>
          <w:szCs w:val="72"/>
          <w:lang w:eastAsia="zh-CN"/>
        </w:rPr>
        <w:t>万家庄</w:t>
      </w:r>
      <w:r>
        <w:rPr>
          <w:rFonts w:hint="eastAsia" w:ascii="方正小标宋_GBK" w:hAnsi="方正小标宋_GBK" w:eastAsia="方正小标宋_GBK" w:cs="方正小标宋_GBK"/>
          <w:sz w:val="72"/>
          <w:szCs w:val="72"/>
        </w:rPr>
        <w:t>街道办事处</w:t>
      </w:r>
    </w:p>
    <w:p>
      <w:pPr>
        <w:pStyle w:val="16"/>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部门决算</w:t>
      </w:r>
    </w:p>
    <w:p>
      <w:pPr>
        <w:pStyle w:val="16"/>
        <w:jc w:val="center"/>
        <w:rPr>
          <w:rFonts w:ascii="方正小标宋_GBK" w:hAnsi="方正小标宋_GBK" w:eastAsia="方正小标宋_GBK" w:cs="方正小标宋_GBK"/>
          <w:sz w:val="56"/>
          <w:szCs w:val="56"/>
        </w:rPr>
      </w:pPr>
    </w:p>
    <w:p>
      <w:pPr>
        <w:pStyle w:val="16"/>
        <w:jc w:val="center"/>
        <w:rPr>
          <w:sz w:val="56"/>
          <w:szCs w:val="56"/>
        </w:rPr>
      </w:pPr>
    </w:p>
    <w:p>
      <w:pPr>
        <w:pStyle w:val="16"/>
        <w:jc w:val="center"/>
        <w:rPr>
          <w:sz w:val="56"/>
          <w:szCs w:val="56"/>
        </w:rPr>
      </w:pPr>
    </w:p>
    <w:p>
      <w:pPr>
        <w:pStyle w:val="16"/>
        <w:jc w:val="center"/>
        <w:rPr>
          <w:sz w:val="56"/>
          <w:szCs w:val="56"/>
        </w:rPr>
      </w:pPr>
    </w:p>
    <w:p>
      <w:pPr>
        <w:pStyle w:val="16"/>
        <w:jc w:val="center"/>
        <w:rPr>
          <w:sz w:val="32"/>
          <w:szCs w:val="32"/>
        </w:rPr>
      </w:pPr>
    </w:p>
    <w:p>
      <w:pPr>
        <w:pStyle w:val="16"/>
        <w:jc w:val="center"/>
        <w:rPr>
          <w:sz w:val="32"/>
          <w:szCs w:val="32"/>
        </w:rPr>
      </w:pPr>
    </w:p>
    <w:p>
      <w:pPr>
        <w:pStyle w:val="16"/>
        <w:jc w:val="center"/>
        <w:rPr>
          <w:sz w:val="32"/>
          <w:szCs w:val="32"/>
        </w:rPr>
      </w:pPr>
    </w:p>
    <w:p>
      <w:pPr>
        <w:pStyle w:val="16"/>
        <w:jc w:val="center"/>
        <w:rPr>
          <w:sz w:val="32"/>
          <w:szCs w:val="32"/>
        </w:rPr>
      </w:pPr>
    </w:p>
    <w:p>
      <w:pPr>
        <w:pStyle w:val="16"/>
        <w:jc w:val="center"/>
        <w:rPr>
          <w:sz w:val="32"/>
          <w:szCs w:val="32"/>
        </w:rPr>
      </w:pPr>
    </w:p>
    <w:p>
      <w:pPr>
        <w:pStyle w:val="16"/>
        <w:spacing w:line="540" w:lineRule="exact"/>
        <w:jc w:val="center"/>
        <w:rPr>
          <w:sz w:val="56"/>
          <w:szCs w:val="56"/>
        </w:rPr>
      </w:pPr>
    </w:p>
    <w:p>
      <w:pPr>
        <w:pStyle w:val="16"/>
        <w:spacing w:line="500" w:lineRule="exact"/>
        <w:jc w:val="both"/>
        <w:rPr>
          <w:b/>
          <w:sz w:val="36"/>
          <w:szCs w:val="28"/>
        </w:rPr>
      </w:pPr>
    </w:p>
    <w:p>
      <w:pPr>
        <w:pStyle w:val="16"/>
        <w:spacing w:line="500" w:lineRule="exact"/>
        <w:jc w:val="center"/>
        <w:rPr>
          <w:b/>
          <w:sz w:val="36"/>
          <w:szCs w:val="28"/>
        </w:rPr>
      </w:pPr>
      <w:r>
        <w:rPr>
          <w:rFonts w:hint="eastAsia"/>
          <w:b/>
          <w:sz w:val="36"/>
          <w:szCs w:val="28"/>
        </w:rPr>
        <w:t>目录</w:t>
      </w:r>
    </w:p>
    <w:p>
      <w:pPr>
        <w:pStyle w:val="16"/>
        <w:spacing w:line="500" w:lineRule="exact"/>
        <w:rPr>
          <w:rFonts w:hAnsi="黑体"/>
          <w:bCs/>
          <w:sz w:val="28"/>
          <w:szCs w:val="28"/>
        </w:rPr>
      </w:pPr>
      <w:r>
        <w:rPr>
          <w:rFonts w:hint="eastAsia" w:hAnsi="黑体"/>
          <w:bCs/>
          <w:sz w:val="28"/>
          <w:szCs w:val="28"/>
        </w:rPr>
        <w:t>第一部分 道县</w:t>
      </w:r>
      <w:r>
        <w:rPr>
          <w:rFonts w:hint="eastAsia" w:hAnsi="黑体"/>
          <w:bCs/>
          <w:sz w:val="28"/>
          <w:szCs w:val="28"/>
          <w:lang w:eastAsia="zh-CN"/>
        </w:rPr>
        <w:t>万家庄</w:t>
      </w:r>
      <w:r>
        <w:rPr>
          <w:rFonts w:hint="eastAsia" w:hAnsi="黑体"/>
          <w:bCs/>
          <w:sz w:val="28"/>
          <w:szCs w:val="28"/>
        </w:rPr>
        <w:t>街道办事处概况</w:t>
      </w:r>
    </w:p>
    <w:p>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6"/>
        <w:spacing w:line="500" w:lineRule="exact"/>
        <w:rPr>
          <w:rFonts w:hAnsi="黑体"/>
          <w:bCs/>
          <w:sz w:val="28"/>
          <w:szCs w:val="28"/>
        </w:rPr>
      </w:pPr>
      <w:r>
        <w:rPr>
          <w:rFonts w:hint="eastAsia" w:hAnsi="黑体"/>
          <w:bCs/>
          <w:sz w:val="28"/>
          <w:szCs w:val="28"/>
        </w:rPr>
        <w:t>第二部分 部门决算表</w:t>
      </w:r>
    </w:p>
    <w:p>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6"/>
        <w:spacing w:line="500" w:lineRule="exact"/>
        <w:rPr>
          <w:rFonts w:hAnsi="黑体"/>
          <w:bCs/>
          <w:sz w:val="28"/>
          <w:szCs w:val="28"/>
        </w:rPr>
      </w:pPr>
      <w:r>
        <w:rPr>
          <w:rFonts w:hint="eastAsia" w:hAnsi="黑体"/>
          <w:bCs/>
          <w:sz w:val="28"/>
          <w:szCs w:val="28"/>
        </w:rPr>
        <w:t>第三部分 部门决算情况说明</w:t>
      </w:r>
    </w:p>
    <w:p>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6"/>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2025</w:t>
      </w:r>
      <w:r>
        <w:rPr>
          <w:rFonts w:hint="eastAsia" w:ascii="仿宋_GB2312" w:hAnsi="仿宋_GB2312" w:eastAsia="仿宋_GB2312" w:cs="仿宋_GB2312"/>
          <w:sz w:val="28"/>
          <w:szCs w:val="28"/>
        </w:rPr>
        <w:t>年度预算绩效情况的说明</w:t>
      </w:r>
    </w:p>
    <w:p>
      <w:pPr>
        <w:pStyle w:val="16"/>
        <w:spacing w:line="500" w:lineRule="exact"/>
        <w:rPr>
          <w:rFonts w:hAnsi="黑体"/>
          <w:bCs/>
          <w:sz w:val="28"/>
          <w:szCs w:val="28"/>
        </w:rPr>
      </w:pPr>
      <w:r>
        <w:rPr>
          <w:rFonts w:hint="eastAsia" w:hAnsi="黑体"/>
          <w:bCs/>
          <w:sz w:val="28"/>
          <w:szCs w:val="28"/>
        </w:rPr>
        <w:t>第四部分 名词解释</w:t>
      </w:r>
    </w:p>
    <w:p>
      <w:pPr>
        <w:pStyle w:val="16"/>
        <w:spacing w:line="500" w:lineRule="exact"/>
        <w:rPr>
          <w:rFonts w:hAnsi="黑体"/>
          <w:bCs/>
          <w:sz w:val="28"/>
          <w:szCs w:val="28"/>
        </w:rPr>
      </w:pPr>
      <w:r>
        <w:rPr>
          <w:rFonts w:hint="eastAsia" w:hAnsi="黑体"/>
          <w:bCs/>
          <w:sz w:val="28"/>
          <w:szCs w:val="28"/>
        </w:rPr>
        <w:t>第五部分 附件</w:t>
      </w:r>
    </w:p>
    <w:p>
      <w:pPr>
        <w:pStyle w:val="16"/>
        <w:spacing w:line="500" w:lineRule="exact"/>
        <w:rPr>
          <w:rFonts w:hAnsi="黑体"/>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ascii="方正小标宋_GBK" w:hAnsi="方正小标宋_GBK" w:eastAsia="方正小标宋_GBK" w:cs="方正小标宋_GBK"/>
          <w:sz w:val="72"/>
          <w:szCs w:val="72"/>
        </w:rPr>
      </w:pPr>
    </w:p>
    <w:p>
      <w:pPr>
        <w:pStyle w:val="16"/>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6"/>
        <w:jc w:val="center"/>
        <w:rPr>
          <w:rFonts w:ascii="方正小标宋_GBK" w:hAnsi="方正小标宋_GBK" w:eastAsia="方正小标宋_GBK" w:cs="方正小标宋_GBK"/>
          <w:sz w:val="84"/>
          <w:szCs w:val="84"/>
        </w:rPr>
      </w:pPr>
    </w:p>
    <w:p>
      <w:pPr>
        <w:pStyle w:val="16"/>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万家庄</w:t>
      </w:r>
      <w:r>
        <w:rPr>
          <w:rFonts w:hint="eastAsia" w:ascii="方正小标宋_GBK" w:hAnsi="方正小标宋_GBK" w:eastAsia="方正小标宋_GBK" w:cs="方正小标宋_GBK"/>
          <w:sz w:val="84"/>
          <w:szCs w:val="84"/>
        </w:rPr>
        <w:t>街道办事处概况</w:t>
      </w:r>
    </w:p>
    <w:p>
      <w:pPr>
        <w:jc w:val="center"/>
        <w:rPr>
          <w:rFonts w:ascii="方正小标宋_GBK" w:hAnsi="方正小标宋_GBK" w:eastAsia="方正小标宋_GBK" w:cs="方正小标宋_GBK"/>
          <w:sz w:val="72"/>
          <w:szCs w:val="72"/>
        </w:rPr>
      </w:pPr>
    </w:p>
    <w:p>
      <w:pPr>
        <w:jc w:val="center"/>
        <w:rPr>
          <w:rFonts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numPr>
          <w:ilvl w:val="0"/>
          <w:numId w:val="0"/>
        </w:numPr>
        <w:rPr>
          <w:rFonts w:hint="eastAsia" w:ascii="黑体" w:hAnsi="黑体" w:eastAsia="黑体" w:cs="黑体"/>
          <w:sz w:val="28"/>
          <w:szCs w:val="36"/>
        </w:rPr>
      </w:pPr>
      <w:r>
        <w:rPr>
          <w:rFonts w:hint="eastAsia" w:ascii="黑体" w:hAnsi="黑体" w:eastAsia="黑体" w:cs="黑体"/>
          <w:sz w:val="28"/>
          <w:szCs w:val="36"/>
        </w:rPr>
        <w:t>一、基本情况</w:t>
      </w:r>
    </w:p>
    <w:p>
      <w:pPr>
        <w:numPr>
          <w:ilvl w:val="0"/>
          <w:numId w:val="0"/>
        </w:numPr>
        <w:rPr>
          <w:rFonts w:hint="eastAsia" w:ascii="黑体" w:hAnsi="黑体" w:eastAsia="黑体" w:cs="黑体"/>
          <w:sz w:val="28"/>
          <w:szCs w:val="36"/>
        </w:rPr>
      </w:pPr>
      <w:r>
        <w:rPr>
          <w:rFonts w:hint="eastAsia" w:ascii="黑体" w:hAnsi="黑体" w:eastAsia="黑体" w:cs="黑体"/>
          <w:sz w:val="28"/>
          <w:szCs w:val="36"/>
        </w:rPr>
        <w:t>（一）部门（单位）基本情况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eastAsia" w:ascii="黑体" w:hAnsi="黑体" w:eastAsia="黑体" w:cs="黑体"/>
          <w:i w:val="0"/>
          <w:iCs w:val="0"/>
          <w:caps w:val="0"/>
          <w:color w:val="333333"/>
          <w:spacing w:val="0"/>
          <w:sz w:val="21"/>
          <w:szCs w:val="21"/>
        </w:rPr>
      </w:pPr>
      <w:r>
        <w:rPr>
          <w:rFonts w:hint="eastAsia" w:ascii="黑体" w:hAnsi="黑体" w:eastAsia="黑体" w:cs="黑体"/>
          <w:b/>
          <w:bCs/>
          <w:i w:val="0"/>
          <w:iCs w:val="0"/>
          <w:caps w:val="0"/>
          <w:color w:val="000000"/>
          <w:spacing w:val="0"/>
          <w:kern w:val="0"/>
          <w:sz w:val="24"/>
          <w:szCs w:val="24"/>
          <w:shd w:val="clear" w:fill="FFFFFF"/>
          <w:lang w:val="en-US" w:eastAsia="zh-CN" w:bidi="ar"/>
        </w:rPr>
        <w:t>1.机构组成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Theme="minorEastAsia" w:hAnsiTheme="minorEastAsia" w:eastAsiaTheme="minorEastAsia" w:cstheme="minorEastAsia"/>
          <w:color w:val="000000"/>
          <w:sz w:val="24"/>
          <w:szCs w:val="24"/>
          <w:shd w:val="clear" w:color="auto" w:fill="FFFFFF"/>
        </w:rPr>
      </w:pPr>
      <w:bookmarkStart w:id="0" w:name="ORG_SET"/>
      <w:r>
        <w:rPr>
          <w:rFonts w:hint="eastAsia" w:asciiTheme="minorEastAsia" w:hAnsiTheme="minorEastAsia" w:cstheme="minorEastAsia"/>
          <w:color w:val="000000"/>
          <w:sz w:val="24"/>
          <w:szCs w:val="24"/>
          <w:shd w:val="clear" w:color="auto" w:fill="FFFFFF"/>
          <w:lang w:eastAsia="zh-CN"/>
        </w:rPr>
        <w:t>道县万家庄街道</w:t>
      </w:r>
      <w:r>
        <w:rPr>
          <w:rFonts w:hint="eastAsia" w:asciiTheme="minorEastAsia" w:hAnsiTheme="minorEastAsia" w:eastAsiaTheme="minorEastAsia" w:cstheme="minorEastAsia"/>
          <w:color w:val="000000"/>
          <w:sz w:val="24"/>
          <w:szCs w:val="24"/>
          <w:shd w:val="clear" w:color="auto" w:fill="FFFFFF"/>
        </w:rPr>
        <w:t>为正科级全额拨款行政单位，党政办公室</w:t>
      </w:r>
      <w:r>
        <w:rPr>
          <w:rFonts w:hint="eastAsia" w:asciiTheme="minorEastAsia" w:hAnsiTheme="minorEastAsia" w:cstheme="minorEastAsia"/>
          <w:color w:val="000000"/>
          <w:sz w:val="24"/>
          <w:szCs w:val="24"/>
          <w:shd w:val="clear" w:color="auto" w:fill="FFFFFF"/>
          <w:lang w:val="en-US" w:eastAsia="zh-CN"/>
        </w:rPr>
        <w:t>3</w:t>
      </w:r>
      <w:r>
        <w:rPr>
          <w:rFonts w:hint="eastAsia" w:asciiTheme="minorEastAsia" w:hAnsiTheme="minorEastAsia" w:eastAsiaTheme="minorEastAsia" w:cstheme="minorEastAsia"/>
          <w:color w:val="000000"/>
          <w:sz w:val="24"/>
          <w:szCs w:val="24"/>
          <w:shd w:val="clear" w:color="auto" w:fill="FFFFFF"/>
        </w:rPr>
        <w:t>人，党委8人，农业农村办</w:t>
      </w:r>
      <w:r>
        <w:rPr>
          <w:rFonts w:hint="eastAsia" w:asciiTheme="minorEastAsia" w:hAnsiTheme="minorEastAsia" w:cstheme="minorEastAsia"/>
          <w:color w:val="000000"/>
          <w:sz w:val="24"/>
          <w:szCs w:val="24"/>
          <w:shd w:val="clear" w:color="auto" w:fill="FFFFFF"/>
          <w:lang w:val="en-US" w:eastAsia="zh-CN"/>
        </w:rPr>
        <w:t>2</w:t>
      </w:r>
      <w:r>
        <w:rPr>
          <w:rFonts w:hint="eastAsia" w:asciiTheme="minorEastAsia" w:hAnsiTheme="minorEastAsia" w:eastAsiaTheme="minorEastAsia" w:cstheme="minorEastAsia"/>
          <w:color w:val="000000"/>
          <w:sz w:val="24"/>
          <w:szCs w:val="24"/>
          <w:shd w:val="clear" w:color="auto" w:fill="FFFFFF"/>
        </w:rPr>
        <w:t>人，安监站</w:t>
      </w:r>
      <w:r>
        <w:rPr>
          <w:rFonts w:hint="eastAsia" w:asciiTheme="minorEastAsia" w:hAnsiTheme="minorEastAsia" w:cstheme="minorEastAsia"/>
          <w:color w:val="000000"/>
          <w:sz w:val="24"/>
          <w:szCs w:val="24"/>
          <w:shd w:val="clear" w:color="auto" w:fill="FFFFFF"/>
          <w:lang w:val="en-US" w:eastAsia="zh-CN"/>
        </w:rPr>
        <w:t>3</w:t>
      </w:r>
      <w:r>
        <w:rPr>
          <w:rFonts w:hint="eastAsia" w:asciiTheme="minorEastAsia" w:hAnsiTheme="minorEastAsia" w:eastAsiaTheme="minorEastAsia" w:cstheme="minorEastAsia"/>
          <w:color w:val="000000"/>
          <w:sz w:val="24"/>
          <w:szCs w:val="24"/>
          <w:shd w:val="clear" w:color="auto" w:fill="FFFFFF"/>
        </w:rPr>
        <w:t>人，财政所</w:t>
      </w:r>
      <w:r>
        <w:rPr>
          <w:rFonts w:hint="eastAsia" w:asciiTheme="minorEastAsia" w:hAnsiTheme="minorEastAsia" w:cstheme="minorEastAsia"/>
          <w:color w:val="000000"/>
          <w:sz w:val="24"/>
          <w:szCs w:val="24"/>
          <w:shd w:val="clear" w:color="auto" w:fill="FFFFFF"/>
          <w:lang w:val="en-US" w:eastAsia="zh-CN"/>
        </w:rPr>
        <w:t>9</w:t>
      </w:r>
      <w:r>
        <w:rPr>
          <w:rFonts w:hint="eastAsia" w:asciiTheme="minorEastAsia" w:hAnsiTheme="minorEastAsia" w:eastAsiaTheme="minorEastAsia" w:cstheme="minorEastAsia"/>
          <w:color w:val="000000"/>
          <w:sz w:val="24"/>
          <w:szCs w:val="24"/>
          <w:shd w:val="clear" w:color="auto" w:fill="FFFFFF"/>
        </w:rPr>
        <w:t>人，党建室</w:t>
      </w:r>
      <w:r>
        <w:rPr>
          <w:rFonts w:hint="eastAsia" w:asciiTheme="minorEastAsia" w:hAnsiTheme="minorEastAsia" w:cstheme="minorEastAsia"/>
          <w:color w:val="000000"/>
          <w:sz w:val="24"/>
          <w:szCs w:val="24"/>
          <w:shd w:val="clear" w:color="auto" w:fill="FFFFFF"/>
          <w:lang w:val="en-US" w:eastAsia="zh-CN"/>
        </w:rPr>
        <w:t>3</w:t>
      </w:r>
      <w:r>
        <w:rPr>
          <w:rFonts w:hint="eastAsia" w:asciiTheme="minorEastAsia" w:hAnsiTheme="minorEastAsia" w:eastAsiaTheme="minorEastAsia" w:cstheme="minorEastAsia"/>
          <w:color w:val="000000"/>
          <w:sz w:val="24"/>
          <w:szCs w:val="24"/>
          <w:shd w:val="clear" w:color="auto" w:fill="FFFFFF"/>
        </w:rPr>
        <w:t>人，纪委</w:t>
      </w:r>
      <w:r>
        <w:rPr>
          <w:rFonts w:hint="eastAsia" w:asciiTheme="minorEastAsia" w:hAnsiTheme="minorEastAsia" w:cstheme="minorEastAsia"/>
          <w:color w:val="000000"/>
          <w:sz w:val="24"/>
          <w:szCs w:val="24"/>
          <w:shd w:val="clear" w:color="auto" w:fill="FFFFFF"/>
          <w:lang w:val="en-US" w:eastAsia="zh-CN"/>
        </w:rPr>
        <w:t>4</w:t>
      </w:r>
      <w:r>
        <w:rPr>
          <w:rFonts w:hint="eastAsia" w:asciiTheme="minorEastAsia" w:hAnsiTheme="minorEastAsia" w:eastAsiaTheme="minorEastAsia" w:cstheme="minorEastAsia"/>
          <w:color w:val="000000"/>
          <w:sz w:val="24"/>
          <w:szCs w:val="24"/>
          <w:shd w:val="clear" w:color="auto" w:fill="FFFFFF"/>
        </w:rPr>
        <w:t>人，综治办</w:t>
      </w:r>
      <w:r>
        <w:rPr>
          <w:rFonts w:hint="eastAsia" w:asciiTheme="minorEastAsia" w:hAnsiTheme="minorEastAsia" w:cstheme="minorEastAsia"/>
          <w:color w:val="000000"/>
          <w:sz w:val="24"/>
          <w:szCs w:val="24"/>
          <w:shd w:val="clear" w:color="auto" w:fill="FFFFFF"/>
          <w:lang w:val="en-US" w:eastAsia="zh-CN"/>
        </w:rPr>
        <w:t>2</w:t>
      </w:r>
      <w:r>
        <w:rPr>
          <w:rFonts w:hint="eastAsia" w:asciiTheme="minorEastAsia" w:hAnsiTheme="minorEastAsia" w:eastAsiaTheme="minorEastAsia" w:cstheme="minorEastAsia"/>
          <w:color w:val="000000"/>
          <w:sz w:val="24"/>
          <w:szCs w:val="24"/>
          <w:shd w:val="clear" w:color="auto" w:fill="FFFFFF"/>
        </w:rPr>
        <w:t>人，其他驻村干部及办公室</w:t>
      </w:r>
      <w:r>
        <w:rPr>
          <w:rFonts w:hint="eastAsia" w:asciiTheme="minorEastAsia" w:hAnsiTheme="minorEastAsia" w:cstheme="minorEastAsia"/>
          <w:color w:val="000000"/>
          <w:sz w:val="24"/>
          <w:szCs w:val="24"/>
          <w:shd w:val="clear" w:color="auto" w:fill="FFFFFF"/>
          <w:lang w:val="en-US" w:eastAsia="zh-CN"/>
        </w:rPr>
        <w:t>27</w:t>
      </w:r>
      <w:r>
        <w:rPr>
          <w:rFonts w:hint="eastAsia" w:asciiTheme="minorEastAsia" w:hAnsiTheme="minorEastAsia" w:eastAsiaTheme="minorEastAsia" w:cstheme="minorEastAsia"/>
          <w:color w:val="000000"/>
          <w:sz w:val="24"/>
          <w:szCs w:val="24"/>
          <w:shd w:val="clear" w:color="auto" w:fill="FFFFFF"/>
        </w:rPr>
        <w:t>人，机动车辆1台。</w:t>
      </w:r>
      <w:bookmarkEnd w:id="0"/>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eastAsia" w:ascii="黑体" w:hAnsi="黑体" w:eastAsia="黑体" w:cs="黑体"/>
          <w:i w:val="0"/>
          <w:iCs w:val="0"/>
          <w:caps w:val="0"/>
          <w:color w:val="333333"/>
          <w:spacing w:val="0"/>
          <w:sz w:val="21"/>
          <w:szCs w:val="21"/>
        </w:rPr>
      </w:pPr>
      <w:r>
        <w:rPr>
          <w:rFonts w:hint="eastAsia" w:ascii="黑体" w:hAnsi="黑体" w:eastAsia="黑体" w:cs="黑体"/>
          <w:b/>
          <w:bCs/>
          <w:i w:val="0"/>
          <w:iCs w:val="0"/>
          <w:caps w:val="0"/>
          <w:color w:val="000000"/>
          <w:spacing w:val="0"/>
          <w:kern w:val="0"/>
          <w:sz w:val="24"/>
          <w:szCs w:val="24"/>
          <w:shd w:val="clear" w:fill="FFFFFF"/>
          <w:lang w:val="en-US" w:eastAsia="zh-CN" w:bidi="ar"/>
        </w:rPr>
        <w:t>2.机构职能</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000000"/>
          <w:sz w:val="24"/>
          <w:szCs w:val="24"/>
          <w:shd w:val="clear" w:color="auto" w:fill="FFFFFF"/>
        </w:rPr>
      </w:pPr>
      <w:bookmarkStart w:id="1" w:name="FUNCRESP"/>
      <w:r>
        <w:rPr>
          <w:rFonts w:hint="eastAsia" w:asciiTheme="minorEastAsia" w:hAnsiTheme="minorEastAsia" w:eastAsiaTheme="minorEastAsia" w:cstheme="minorEastAsia"/>
          <w:color w:val="000000"/>
          <w:sz w:val="24"/>
          <w:szCs w:val="24"/>
          <w:shd w:val="clear" w:color="auto" w:fill="FFFFFF"/>
        </w:rPr>
        <w:t>执行县级人民代表大会的决议和上级国家行政机关的决定和命令，管理本行政区域内的行政工作，拟定适合本</w:t>
      </w:r>
      <w:r>
        <w:rPr>
          <w:rFonts w:hint="eastAsia" w:asciiTheme="minorEastAsia" w:hAnsiTheme="minorEastAsia" w:cstheme="minorEastAsia"/>
          <w:color w:val="000000"/>
          <w:sz w:val="24"/>
          <w:szCs w:val="24"/>
          <w:shd w:val="clear" w:color="auto" w:fill="FFFFFF"/>
          <w:lang w:eastAsia="zh-CN"/>
        </w:rPr>
        <w:t>街道</w:t>
      </w:r>
      <w:r>
        <w:rPr>
          <w:rFonts w:hint="eastAsia" w:asciiTheme="minorEastAsia" w:hAnsiTheme="minorEastAsia" w:eastAsiaTheme="minorEastAsia" w:cstheme="minorEastAsia"/>
          <w:color w:val="000000"/>
          <w:sz w:val="24"/>
          <w:szCs w:val="24"/>
          <w:shd w:val="clear" w:color="auto" w:fill="FFFFFF"/>
        </w:rPr>
        <w:t>实际的具体政策措施。组织制定并实施本</w:t>
      </w:r>
      <w:r>
        <w:rPr>
          <w:rFonts w:hint="eastAsia" w:asciiTheme="minorEastAsia" w:hAnsiTheme="minorEastAsia" w:cstheme="minorEastAsia"/>
          <w:color w:val="000000"/>
          <w:sz w:val="24"/>
          <w:szCs w:val="24"/>
          <w:shd w:val="clear" w:color="auto" w:fill="FFFFFF"/>
          <w:lang w:eastAsia="zh-CN"/>
        </w:rPr>
        <w:t>街道</w:t>
      </w:r>
      <w:r>
        <w:rPr>
          <w:rFonts w:hint="eastAsia" w:asciiTheme="minorEastAsia" w:hAnsiTheme="minorEastAsia" w:eastAsiaTheme="minorEastAsia" w:cstheme="minorEastAsia"/>
          <w:color w:val="000000"/>
          <w:sz w:val="24"/>
          <w:szCs w:val="24"/>
          <w:shd w:val="clear" w:color="auto" w:fill="FFFFFF"/>
        </w:rPr>
        <w:t>经济和社会发展中长期规划，搞好经济发展的总体布局和产业结构设置。负责本</w:t>
      </w:r>
      <w:r>
        <w:rPr>
          <w:rFonts w:hint="eastAsia" w:asciiTheme="minorEastAsia" w:hAnsiTheme="minorEastAsia" w:cstheme="minorEastAsia"/>
          <w:color w:val="000000"/>
          <w:sz w:val="24"/>
          <w:szCs w:val="24"/>
          <w:shd w:val="clear" w:color="auto" w:fill="FFFFFF"/>
          <w:lang w:eastAsia="zh-CN"/>
        </w:rPr>
        <w:t>街道</w:t>
      </w:r>
      <w:r>
        <w:rPr>
          <w:rFonts w:hint="eastAsia" w:asciiTheme="minorEastAsia" w:hAnsiTheme="minorEastAsia" w:eastAsiaTheme="minorEastAsia" w:cstheme="minorEastAsia"/>
          <w:color w:val="000000"/>
          <w:sz w:val="24"/>
          <w:szCs w:val="24"/>
          <w:shd w:val="clear" w:color="auto" w:fill="FFFFFF"/>
        </w:rPr>
        <w:t>的科技、教育、文化、卫生等事业发展和计划生育工作</w:t>
      </w:r>
      <w:r>
        <w:rPr>
          <w:rFonts w:hint="eastAsia" w:asciiTheme="minorEastAsia" w:hAnsiTheme="minorEastAsia" w:cstheme="minorEastAsia"/>
          <w:color w:val="000000"/>
          <w:sz w:val="24"/>
          <w:szCs w:val="24"/>
          <w:shd w:val="clear" w:color="auto" w:fill="FFFFFF"/>
          <w:lang w:eastAsia="zh-CN"/>
        </w:rPr>
        <w:t>。</w:t>
      </w:r>
      <w:r>
        <w:rPr>
          <w:rFonts w:hint="eastAsia" w:asciiTheme="minorEastAsia" w:hAnsiTheme="minorEastAsia" w:eastAsiaTheme="minorEastAsia" w:cstheme="minorEastAsia"/>
          <w:color w:val="000000"/>
          <w:sz w:val="24"/>
          <w:szCs w:val="24"/>
          <w:shd w:val="clear" w:color="auto" w:fill="FFFFFF"/>
        </w:rPr>
        <w:t>编制本</w:t>
      </w:r>
      <w:r>
        <w:rPr>
          <w:rFonts w:hint="eastAsia" w:asciiTheme="minorEastAsia" w:hAnsiTheme="minorEastAsia" w:cstheme="minorEastAsia"/>
          <w:color w:val="000000"/>
          <w:sz w:val="24"/>
          <w:szCs w:val="24"/>
          <w:shd w:val="clear" w:color="auto" w:fill="FFFFFF"/>
          <w:lang w:eastAsia="zh-CN"/>
        </w:rPr>
        <w:t>街道</w:t>
      </w:r>
      <w:r>
        <w:rPr>
          <w:rFonts w:hint="eastAsia" w:asciiTheme="minorEastAsia" w:hAnsiTheme="minorEastAsia" w:eastAsiaTheme="minorEastAsia" w:cstheme="minorEastAsia"/>
          <w:color w:val="000000"/>
          <w:sz w:val="24"/>
          <w:szCs w:val="24"/>
          <w:shd w:val="clear" w:color="auto" w:fill="FFFFFF"/>
        </w:rPr>
        <w:t>财政预决算计划，负责经费的划拨和核算工作。</w:t>
      </w:r>
      <w:bookmarkEnd w:id="1"/>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黑体" w:hAnsi="黑体" w:eastAsia="黑体" w:cs="黑体"/>
          <w:i w:val="0"/>
          <w:iCs w:val="0"/>
          <w:caps w:val="0"/>
          <w:color w:val="333333"/>
          <w:spacing w:val="0"/>
          <w:sz w:val="21"/>
          <w:szCs w:val="21"/>
        </w:rPr>
      </w:pPr>
      <w:r>
        <w:rPr>
          <w:rFonts w:hint="eastAsia" w:ascii="黑体" w:hAnsi="黑体" w:eastAsia="黑体" w:cs="黑体"/>
          <w:i w:val="0"/>
          <w:iCs w:val="0"/>
          <w:caps w:val="0"/>
          <w:color w:val="000000"/>
          <w:spacing w:val="0"/>
          <w:kern w:val="0"/>
          <w:sz w:val="24"/>
          <w:szCs w:val="24"/>
          <w:shd w:val="clear" w:fill="FFFFFF"/>
          <w:lang w:val="en-US" w:eastAsia="zh-CN" w:bidi="ar"/>
        </w:rPr>
        <w:t>3.</w:t>
      </w:r>
      <w:r>
        <w:rPr>
          <w:rFonts w:hint="eastAsia" w:ascii="黑体" w:hAnsi="黑体" w:eastAsia="黑体" w:cs="黑体"/>
          <w:b/>
          <w:bCs/>
          <w:i w:val="0"/>
          <w:iCs w:val="0"/>
          <w:caps w:val="0"/>
          <w:color w:val="000000"/>
          <w:spacing w:val="0"/>
          <w:kern w:val="0"/>
          <w:sz w:val="24"/>
          <w:szCs w:val="24"/>
          <w:shd w:val="clear" w:fill="FFFFFF"/>
          <w:lang w:val="en-US" w:eastAsia="zh-CN" w:bidi="ar"/>
        </w:rPr>
        <w:t>人员概况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i w:val="0"/>
          <w:iCs w:val="0"/>
          <w:caps w:val="0"/>
          <w:color w:val="333333"/>
          <w:spacing w:val="0"/>
          <w:kern w:val="0"/>
          <w:sz w:val="24"/>
          <w:szCs w:val="24"/>
          <w:lang w:val="en-US" w:eastAsia="zh-CN" w:bidi="ar"/>
        </w:rPr>
      </w:pPr>
      <w:r>
        <w:rPr>
          <w:rFonts w:hint="eastAsia" w:asciiTheme="minorEastAsia" w:hAnsiTheme="minorEastAsia" w:eastAsiaTheme="minorEastAsia" w:cstheme="minorEastAsia"/>
          <w:i w:val="0"/>
          <w:iCs w:val="0"/>
          <w:caps w:val="0"/>
          <w:color w:val="333333"/>
          <w:spacing w:val="0"/>
          <w:kern w:val="0"/>
          <w:sz w:val="24"/>
          <w:szCs w:val="24"/>
          <w:lang w:val="en-US" w:eastAsia="zh-CN" w:bidi="ar"/>
        </w:rPr>
        <w:t>本单位</w:t>
      </w:r>
      <w:r>
        <w:rPr>
          <w:rFonts w:hint="eastAsia" w:asciiTheme="minorEastAsia" w:hAnsiTheme="minorEastAsia" w:cstheme="minorEastAsia"/>
          <w:i w:val="0"/>
          <w:iCs w:val="0"/>
          <w:caps w:val="0"/>
          <w:color w:val="333333"/>
          <w:spacing w:val="0"/>
          <w:kern w:val="0"/>
          <w:sz w:val="24"/>
          <w:szCs w:val="24"/>
          <w:lang w:val="en-US" w:eastAsia="zh-CN" w:bidi="ar"/>
        </w:rPr>
        <w:t>财政拨款开支人员61</w:t>
      </w:r>
      <w:r>
        <w:rPr>
          <w:rFonts w:hint="eastAsia" w:asciiTheme="minorEastAsia" w:hAnsiTheme="minorEastAsia" w:eastAsiaTheme="minorEastAsia" w:cstheme="minorEastAsia"/>
          <w:i w:val="0"/>
          <w:iCs w:val="0"/>
          <w:caps w:val="0"/>
          <w:color w:val="333333"/>
          <w:spacing w:val="0"/>
          <w:kern w:val="0"/>
          <w:sz w:val="24"/>
          <w:szCs w:val="24"/>
          <w:lang w:val="en-US" w:eastAsia="zh-CN" w:bidi="ar"/>
        </w:rPr>
        <w:t>人，在岗编制人员</w:t>
      </w:r>
      <w:r>
        <w:rPr>
          <w:rFonts w:hint="eastAsia" w:asciiTheme="minorEastAsia" w:hAnsiTheme="minorEastAsia" w:cstheme="minorEastAsia"/>
          <w:i w:val="0"/>
          <w:iCs w:val="0"/>
          <w:caps w:val="0"/>
          <w:color w:val="333333"/>
          <w:spacing w:val="0"/>
          <w:kern w:val="0"/>
          <w:sz w:val="24"/>
          <w:szCs w:val="24"/>
          <w:lang w:val="en-US" w:eastAsia="zh-CN" w:bidi="ar"/>
        </w:rPr>
        <w:t>61</w:t>
      </w:r>
      <w:r>
        <w:rPr>
          <w:rFonts w:hint="eastAsia" w:asciiTheme="minorEastAsia" w:hAnsiTheme="minorEastAsia" w:eastAsiaTheme="minorEastAsia" w:cstheme="minorEastAsia"/>
          <w:i w:val="0"/>
          <w:iCs w:val="0"/>
          <w:caps w:val="0"/>
          <w:color w:val="333333"/>
          <w:spacing w:val="0"/>
          <w:kern w:val="0"/>
          <w:sz w:val="24"/>
          <w:szCs w:val="24"/>
          <w:lang w:val="en-US" w:eastAsia="zh-CN" w:bidi="ar"/>
        </w:rPr>
        <w:t>人，</w:t>
      </w:r>
      <w:r>
        <w:rPr>
          <w:rFonts w:hint="eastAsia" w:asciiTheme="minorEastAsia" w:hAnsiTheme="minorEastAsia" w:cstheme="minorEastAsia"/>
          <w:i w:val="0"/>
          <w:iCs w:val="0"/>
          <w:caps w:val="0"/>
          <w:color w:val="333333"/>
          <w:spacing w:val="0"/>
          <w:kern w:val="0"/>
          <w:sz w:val="24"/>
          <w:szCs w:val="24"/>
          <w:lang w:val="en-US" w:eastAsia="zh-CN" w:bidi="ar"/>
        </w:rPr>
        <w:t>其中</w:t>
      </w:r>
      <w:r>
        <w:rPr>
          <w:rFonts w:hint="eastAsia" w:asciiTheme="minorEastAsia" w:hAnsiTheme="minorEastAsia" w:eastAsiaTheme="minorEastAsia" w:cstheme="minorEastAsia"/>
          <w:i w:val="0"/>
          <w:iCs w:val="0"/>
          <w:caps w:val="0"/>
          <w:color w:val="333333"/>
          <w:spacing w:val="0"/>
          <w:kern w:val="0"/>
          <w:sz w:val="24"/>
          <w:szCs w:val="24"/>
          <w:lang w:val="en-US" w:eastAsia="zh-CN" w:bidi="ar"/>
        </w:rPr>
        <w:t>在岗行政编制人员</w:t>
      </w:r>
      <w:r>
        <w:rPr>
          <w:rFonts w:hint="eastAsia" w:asciiTheme="minorEastAsia" w:hAnsiTheme="minorEastAsia" w:cstheme="minorEastAsia"/>
          <w:i w:val="0"/>
          <w:iCs w:val="0"/>
          <w:caps w:val="0"/>
          <w:color w:val="333333"/>
          <w:spacing w:val="0"/>
          <w:kern w:val="0"/>
          <w:sz w:val="24"/>
          <w:szCs w:val="24"/>
          <w:lang w:val="en-US" w:eastAsia="zh-CN" w:bidi="ar"/>
        </w:rPr>
        <w:t>28</w:t>
      </w:r>
      <w:r>
        <w:rPr>
          <w:rFonts w:hint="eastAsia" w:asciiTheme="minorEastAsia" w:hAnsiTheme="minorEastAsia" w:eastAsiaTheme="minorEastAsia" w:cstheme="minorEastAsia"/>
          <w:i w:val="0"/>
          <w:iCs w:val="0"/>
          <w:caps w:val="0"/>
          <w:color w:val="333333"/>
          <w:spacing w:val="0"/>
          <w:kern w:val="0"/>
          <w:sz w:val="24"/>
          <w:szCs w:val="24"/>
          <w:lang w:val="en-US" w:eastAsia="zh-CN" w:bidi="ar"/>
        </w:rPr>
        <w:t>人，在岗事业编制人员</w:t>
      </w:r>
      <w:r>
        <w:rPr>
          <w:rFonts w:hint="eastAsia" w:asciiTheme="minorEastAsia" w:hAnsiTheme="minorEastAsia" w:cstheme="minorEastAsia"/>
          <w:i w:val="0"/>
          <w:iCs w:val="0"/>
          <w:caps w:val="0"/>
          <w:color w:val="333333"/>
          <w:spacing w:val="0"/>
          <w:kern w:val="0"/>
          <w:sz w:val="24"/>
          <w:szCs w:val="24"/>
          <w:lang w:val="en-US" w:eastAsia="zh-CN" w:bidi="ar"/>
        </w:rPr>
        <w:t>31</w:t>
      </w:r>
      <w:r>
        <w:rPr>
          <w:rFonts w:hint="eastAsia" w:asciiTheme="minorEastAsia" w:hAnsiTheme="minorEastAsia" w:eastAsiaTheme="minorEastAsia" w:cstheme="minorEastAsia"/>
          <w:i w:val="0"/>
          <w:iCs w:val="0"/>
          <w:caps w:val="0"/>
          <w:color w:val="333333"/>
          <w:spacing w:val="0"/>
          <w:kern w:val="0"/>
          <w:sz w:val="24"/>
          <w:szCs w:val="24"/>
          <w:lang w:val="en-US" w:eastAsia="zh-CN" w:bidi="ar"/>
        </w:rPr>
        <w:t>人</w:t>
      </w:r>
      <w:r>
        <w:rPr>
          <w:rFonts w:hint="eastAsia" w:asciiTheme="minorEastAsia" w:hAnsiTheme="minorEastAsia" w:cstheme="minorEastAsia"/>
          <w:i w:val="0"/>
          <w:iCs w:val="0"/>
          <w:caps w:val="0"/>
          <w:color w:val="333333"/>
          <w:spacing w:val="0"/>
          <w:kern w:val="0"/>
          <w:sz w:val="24"/>
          <w:szCs w:val="24"/>
          <w:lang w:val="en-US" w:eastAsia="zh-CN" w:bidi="ar"/>
        </w:rPr>
        <w:t>，工勤人员2人</w:t>
      </w:r>
      <w:r>
        <w:rPr>
          <w:rFonts w:hint="eastAsia" w:asciiTheme="minorEastAsia" w:hAnsiTheme="minorEastAsia" w:eastAsiaTheme="minorEastAsia" w:cstheme="minorEastAsia"/>
          <w:i w:val="0"/>
          <w:iCs w:val="0"/>
          <w:caps w:val="0"/>
          <w:color w:val="333333"/>
          <w:spacing w:val="0"/>
          <w:kern w:val="0"/>
          <w:sz w:val="24"/>
          <w:szCs w:val="24"/>
          <w:lang w:val="en-US" w:eastAsia="zh-CN" w:bidi="ar"/>
        </w:rPr>
        <w:t>。</w:t>
      </w:r>
    </w:p>
    <w:p>
      <w:pPr>
        <w:jc w:val="center"/>
        <w:rPr>
          <w:sz w:val="72"/>
          <w:szCs w:val="72"/>
        </w:rPr>
      </w:pP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6"/>
        <w:jc w:val="center"/>
        <w:rPr>
          <w:rFonts w:ascii="方正小标宋_GBK" w:hAnsi="方正小标宋_GBK" w:eastAsia="方正小标宋_GBK" w:cs="方正小标宋_GBK"/>
          <w:sz w:val="84"/>
          <w:szCs w:val="84"/>
        </w:rPr>
      </w:pPr>
    </w:p>
    <w:p>
      <w:pPr>
        <w:pStyle w:val="16"/>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6"/>
        <w:jc w:val="center"/>
        <w:rPr>
          <w:rFonts w:ascii="方正小标宋_GBK" w:hAnsi="方正小标宋_GBK" w:eastAsia="方正小标宋_GBK" w:cs="方正小标宋_GBK"/>
          <w:sz w:val="84"/>
          <w:szCs w:val="84"/>
        </w:rPr>
      </w:pPr>
    </w:p>
    <w:p>
      <w:pPr>
        <w:pStyle w:val="16"/>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2"/>
        <w:tblW w:w="15428" w:type="dxa"/>
        <w:tblInd w:w="0" w:type="dxa"/>
        <w:tblLayout w:type="autofit"/>
        <w:tblCellMar>
          <w:top w:w="0" w:type="dxa"/>
          <w:left w:w="0" w:type="dxa"/>
          <w:bottom w:w="0" w:type="dxa"/>
          <w:right w:w="0" w:type="dxa"/>
        </w:tblCellMar>
      </w:tblPr>
      <w:tblGrid>
        <w:gridCol w:w="15428"/>
      </w:tblGrid>
      <w:tr>
        <w:tblPrEx>
          <w:tblCellMar>
            <w:top w:w="0" w:type="dxa"/>
            <w:left w:w="0" w:type="dxa"/>
            <w:bottom w:w="0" w:type="dxa"/>
            <w:right w:w="0" w:type="dxa"/>
          </w:tblCellMar>
        </w:tblPrEx>
        <w:trPr>
          <w:trHeight w:val="435" w:hRule="atLeast"/>
        </w:trPr>
        <w:tc>
          <w:tcPr>
            <w:tcW w:w="15428" w:type="dxa"/>
            <w:tcBorders>
              <w:top w:val="nil"/>
              <w:left w:val="nil"/>
              <w:bottom w:val="nil"/>
              <w:right w:val="nil"/>
            </w:tcBorders>
            <w:shd w:val="clear" w:color="auto" w:fill="auto"/>
            <w:noWrap/>
            <w:tcMar>
              <w:top w:w="15" w:type="dxa"/>
              <w:left w:w="15" w:type="dxa"/>
              <w:bottom w:w="0" w:type="dxa"/>
              <w:right w:w="15" w:type="dxa"/>
            </w:tcMar>
            <w:vAlign w:val="center"/>
          </w:tcPr>
          <w:tbl>
            <w:tblPr>
              <w:tblStyle w:val="12"/>
              <w:tblW w:w="15398" w:type="dxa"/>
              <w:tblInd w:w="0" w:type="dxa"/>
              <w:tblLayout w:type="autofit"/>
              <w:tblCellMar>
                <w:top w:w="0" w:type="dxa"/>
                <w:left w:w="108" w:type="dxa"/>
                <w:bottom w:w="0" w:type="dxa"/>
                <w:right w:w="108" w:type="dxa"/>
              </w:tblCellMar>
            </w:tblPr>
            <w:tblGrid>
              <w:gridCol w:w="300"/>
              <w:gridCol w:w="569"/>
              <w:gridCol w:w="1441"/>
              <w:gridCol w:w="1760"/>
              <w:gridCol w:w="552"/>
              <w:gridCol w:w="616"/>
              <w:gridCol w:w="610"/>
              <w:gridCol w:w="756"/>
              <w:gridCol w:w="1009"/>
              <w:gridCol w:w="1760"/>
              <w:gridCol w:w="1760"/>
              <w:gridCol w:w="370"/>
              <w:gridCol w:w="1394"/>
              <w:gridCol w:w="221"/>
              <w:gridCol w:w="1132"/>
              <w:gridCol w:w="1133"/>
              <w:gridCol w:w="15"/>
            </w:tblGrid>
            <w:tr>
              <w:tblPrEx>
                <w:tblCellMar>
                  <w:top w:w="0" w:type="dxa"/>
                  <w:left w:w="108" w:type="dxa"/>
                  <w:bottom w:w="0" w:type="dxa"/>
                  <w:right w:w="108" w:type="dxa"/>
                </w:tblCellMar>
              </w:tblPrEx>
              <w:trPr>
                <w:gridBefore w:val="1"/>
                <w:gridAfter w:val="1"/>
                <w:wBefore w:w="300" w:type="dxa"/>
                <w:wAfter w:w="15" w:type="dxa"/>
                <w:trHeight w:val="304" w:hRule="atLeast"/>
              </w:trPr>
              <w:tc>
                <w:tcPr>
                  <w:tcW w:w="4322" w:type="dxa"/>
                  <w:gridSpan w:val="4"/>
                  <w:tcBorders>
                    <w:top w:val="nil"/>
                    <w:left w:val="nil"/>
                    <w:bottom w:val="nil"/>
                    <w:right w:val="nil"/>
                  </w:tcBorders>
                  <w:shd w:val="clear" w:color="auto" w:fill="auto"/>
                  <w:noWrap/>
                  <w:vAlign w:val="center"/>
                </w:tcPr>
                <w:p>
                  <w:pPr>
                    <w:jc w:val="left"/>
                    <w:rPr>
                      <w:rFonts w:ascii="黑体" w:hAnsi="宋体" w:eastAsia="黑体" w:cs="黑体"/>
                      <w:color w:val="000000"/>
                      <w:sz w:val="24"/>
                      <w:szCs w:val="24"/>
                    </w:rPr>
                  </w:pPr>
                </w:p>
              </w:tc>
              <w:tc>
                <w:tcPr>
                  <w:tcW w:w="616" w:type="dxa"/>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1366" w:type="dxa"/>
                  <w:gridSpan w:val="2"/>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4899" w:type="dxa"/>
                  <w:gridSpan w:val="4"/>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1615" w:type="dxa"/>
                  <w:gridSpan w:val="2"/>
                  <w:tcBorders>
                    <w:top w:val="nil"/>
                    <w:left w:val="nil"/>
                    <w:bottom w:val="nil"/>
                    <w:right w:val="nil"/>
                  </w:tcBorders>
                  <w:shd w:val="clear" w:color="auto" w:fill="auto"/>
                  <w:noWrap/>
                  <w:vAlign w:val="center"/>
                </w:tcPr>
                <w:p>
                  <w:pPr>
                    <w:jc w:val="right"/>
                    <w:rPr>
                      <w:rFonts w:ascii="宋体" w:hAnsi="宋体" w:eastAsia="宋体" w:cs="宋体"/>
                      <w:color w:val="000000"/>
                      <w:sz w:val="24"/>
                      <w:szCs w:val="24"/>
                    </w:rPr>
                  </w:pPr>
                </w:p>
              </w:tc>
              <w:tc>
                <w:tcPr>
                  <w:tcW w:w="2265" w:type="dxa"/>
                  <w:gridSpan w:val="2"/>
                  <w:tcBorders>
                    <w:top w:val="nil"/>
                    <w:left w:val="nil"/>
                    <w:bottom w:val="nil"/>
                    <w:right w:val="nil"/>
                  </w:tcBorders>
                  <w:shd w:val="clear" w:color="auto" w:fill="auto"/>
                  <w:noWrap/>
                  <w:vAlign w:val="center"/>
                </w:tcPr>
                <w:p>
                  <w:pPr>
                    <w:jc w:val="right"/>
                    <w:rPr>
                      <w:rFonts w:ascii="黑体" w:hAnsi="宋体" w:eastAsia="黑体" w:cs="黑体"/>
                      <w:color w:val="000000"/>
                      <w:sz w:val="24"/>
                      <w:szCs w:val="24"/>
                    </w:rPr>
                  </w:pPr>
                </w:p>
              </w:tc>
            </w:tr>
            <w:tr>
              <w:tblPrEx>
                <w:tblCellMar>
                  <w:top w:w="0" w:type="dxa"/>
                  <w:left w:w="108" w:type="dxa"/>
                  <w:bottom w:w="0" w:type="dxa"/>
                  <w:right w:w="108" w:type="dxa"/>
                </w:tblCellMar>
              </w:tblPrEx>
              <w:trPr>
                <w:gridBefore w:val="1"/>
                <w:gridAfter w:val="1"/>
                <w:wBefore w:w="300" w:type="dxa"/>
                <w:wAfter w:w="15" w:type="dxa"/>
                <w:trHeight w:val="609" w:hRule="atLeast"/>
              </w:trPr>
              <w:tc>
                <w:tcPr>
                  <w:tcW w:w="0" w:type="auto"/>
                  <w:gridSpan w:val="15"/>
                  <w:tcBorders>
                    <w:top w:val="nil"/>
                    <w:left w:val="nil"/>
                    <w:bottom w:val="nil"/>
                    <w:right w:val="nil"/>
                  </w:tcBorders>
                  <w:shd w:val="clear" w:color="auto" w:fill="auto"/>
                  <w:noWrap/>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收入支出决算总表</w:t>
                  </w:r>
                </w:p>
              </w:tc>
            </w:tr>
            <w:tr>
              <w:tblPrEx>
                <w:tblCellMar>
                  <w:top w:w="0" w:type="dxa"/>
                  <w:left w:w="108" w:type="dxa"/>
                  <w:bottom w:w="0" w:type="dxa"/>
                  <w:right w:w="108" w:type="dxa"/>
                </w:tblCellMar>
              </w:tblPrEx>
              <w:trPr>
                <w:gridBefore w:val="1"/>
                <w:gridAfter w:val="1"/>
                <w:wBefore w:w="300" w:type="dxa"/>
                <w:wAfter w:w="15" w:type="dxa"/>
                <w:trHeight w:val="304" w:hRule="atLeast"/>
              </w:trPr>
              <w:tc>
                <w:tcPr>
                  <w:tcW w:w="0" w:type="auto"/>
                  <w:gridSpan w:val="4"/>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4"/>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公开01表</w:t>
                  </w:r>
                </w:p>
              </w:tc>
            </w:tr>
            <w:tr>
              <w:tblPrEx>
                <w:tblCellMar>
                  <w:top w:w="0" w:type="dxa"/>
                  <w:left w:w="108" w:type="dxa"/>
                  <w:bottom w:w="0" w:type="dxa"/>
                  <w:right w:w="108" w:type="dxa"/>
                </w:tblCellMar>
              </w:tblPrEx>
              <w:trPr>
                <w:gridBefore w:val="1"/>
                <w:gridAfter w:val="1"/>
                <w:wBefore w:w="300" w:type="dxa"/>
                <w:wAfter w:w="15" w:type="dxa"/>
                <w:trHeight w:val="304" w:hRule="atLeast"/>
              </w:trPr>
              <w:tc>
                <w:tcPr>
                  <w:tcW w:w="0" w:type="auto"/>
                  <w:gridSpan w:val="4"/>
                  <w:tcBorders>
                    <w:top w:val="nil"/>
                    <w:left w:val="nil"/>
                    <w:bottom w:val="nil"/>
                    <w:right w:val="nil"/>
                  </w:tcBorders>
                  <w:shd w:val="clear" w:color="auto" w:fill="FFFFFF"/>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部门：道县</w:t>
                  </w:r>
                  <w:r>
                    <w:rPr>
                      <w:rFonts w:hint="eastAsia" w:ascii="宋体" w:hAnsi="宋体" w:eastAsia="宋体" w:cs="宋体"/>
                      <w:color w:val="000000"/>
                      <w:kern w:val="0"/>
                      <w:sz w:val="20"/>
                      <w:szCs w:val="20"/>
                      <w:lang w:eastAsia="zh-CN"/>
                    </w:rPr>
                    <w:t>万家庄</w:t>
                  </w:r>
                  <w:r>
                    <w:rPr>
                      <w:rFonts w:hint="eastAsia" w:ascii="宋体" w:hAnsi="宋体" w:eastAsia="宋体" w:cs="宋体"/>
                      <w:color w:val="000000"/>
                      <w:kern w:val="0"/>
                      <w:sz w:val="20"/>
                      <w:szCs w:val="20"/>
                    </w:rPr>
                    <w:t>街道办事处</w:t>
                  </w:r>
                </w:p>
              </w:tc>
              <w:tc>
                <w:tcPr>
                  <w:tcW w:w="0" w:type="auto"/>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4"/>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pPr>
                    <w:jc w:val="right"/>
                    <w:rPr>
                      <w:rFonts w:ascii="宋体" w:hAnsi="宋体" w:eastAsia="宋体" w:cs="宋体"/>
                      <w:color w:val="000000"/>
                      <w:sz w:val="24"/>
                      <w:szCs w:val="24"/>
                    </w:rPr>
                  </w:pPr>
                </w:p>
              </w:tc>
              <w:tc>
                <w:tcPr>
                  <w:tcW w:w="0" w:type="auto"/>
                  <w:gridSpan w:val="2"/>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收入</w:t>
                  </w:r>
                </w:p>
              </w:tc>
              <w:tc>
                <w:tcPr>
                  <w:tcW w:w="7646" w:type="dxa"/>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支出</w:t>
                  </w:r>
                </w:p>
              </w:tc>
            </w:tr>
            <w:tr>
              <w:tblPrEx>
                <w:tblCellMar>
                  <w:top w:w="0" w:type="dxa"/>
                  <w:left w:w="108" w:type="dxa"/>
                  <w:bottom w:w="0" w:type="dxa"/>
                  <w:right w:w="108" w:type="dxa"/>
                </w:tblCellMar>
              </w:tblPrEx>
              <w:trPr>
                <w:gridBefore w:val="1"/>
                <w:gridAfter w:val="2"/>
                <w:wBefore w:w="300" w:type="dxa"/>
                <w:wAfter w:w="1148" w:type="dxa"/>
                <w:trHeight w:val="62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11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eastAsia="宋体" w:cs="宋体"/>
                      <w:color w:val="000000"/>
                      <w:sz w:val="24"/>
                      <w:szCs w:val="24"/>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宋体" w:hAnsi="宋体" w:eastAsia="宋体" w:cs="宋体"/>
                      <w:color w:val="000000"/>
                      <w:sz w:val="24"/>
                      <w:szCs w:val="24"/>
                    </w:rPr>
                  </w:pPr>
                </w:p>
              </w:tc>
              <w:tc>
                <w:tcPr>
                  <w:tcW w:w="11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1093.6</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sz w:val="22"/>
                    </w:rPr>
                    <w:t>一、一般公共服务支出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14</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lang w:val="en-US" w:eastAsia="zh-CN"/>
                    </w:rPr>
                  </w:pPr>
                  <w:r>
                    <w:rPr>
                      <w:rFonts w:hint="eastAsia" w:ascii="宋体" w:hAnsi="宋体" w:eastAsia="宋体" w:cs="宋体"/>
                      <w:color w:val="000000"/>
                      <w:sz w:val="22"/>
                      <w:lang w:val="en-US" w:eastAsia="zh-CN"/>
                    </w:rPr>
                    <w:t>918.5</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15</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16</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17</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18</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六、卫生健康支出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19</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32.2</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kern w:val="0"/>
                      <w:sz w:val="24"/>
                      <w:szCs w:val="24"/>
                    </w:rPr>
                    <w:t>七、社会保障和就业支出</w:t>
                  </w:r>
                  <w:r>
                    <w:rPr>
                      <w:rFonts w:hint="eastAsia" w:ascii="宋体" w:hAnsi="宋体" w:eastAsia="宋体" w:cs="宋体"/>
                      <w:color w:val="000000"/>
                      <w:kern w:val="0"/>
                      <w:sz w:val="24"/>
                      <w:szCs w:val="24"/>
                      <w:lang w:val="en-US" w:eastAsia="zh-CN"/>
                    </w:rPr>
                    <w:t xml:space="preserve">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56.4</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22"/>
                    </w:rPr>
                  </w:pPr>
                  <w:r>
                    <w:rPr>
                      <w:rFonts w:hint="eastAsia" w:ascii="宋体" w:hAnsi="宋体" w:eastAsia="宋体" w:cs="宋体"/>
                      <w:color w:val="000000"/>
                      <w:sz w:val="22"/>
                    </w:rPr>
                    <w:t>八、住房保障支出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21</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22"/>
                    </w:rPr>
                  </w:pPr>
                  <w:r>
                    <w:rPr>
                      <w:rFonts w:hint="eastAsia" w:ascii="宋体" w:hAnsi="宋体" w:eastAsia="宋体" w:cs="宋体"/>
                      <w:color w:val="000000"/>
                      <w:sz w:val="22"/>
                    </w:rPr>
                    <w:t>九、城乡社区支出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22</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firstLine="220" w:firstLineChars="100"/>
                    <w:jc w:val="both"/>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86.5</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1093.6</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23</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1093.6</w:t>
                  </w: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结余分配</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24</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Before w:val="1"/>
                <w:gridAfter w:val="2"/>
                <w:wBefore w:w="300" w:type="dxa"/>
                <w:wAfter w:w="1148" w:type="dxa"/>
                <w:trHeight w:val="62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年末结转和结余</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25</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22"/>
                    </w:rPr>
                  </w:pPr>
                </w:p>
              </w:tc>
            </w:tr>
            <w:tr>
              <w:tblPrEx>
                <w:tblCellMar>
                  <w:top w:w="0" w:type="dxa"/>
                  <w:left w:w="108" w:type="dxa"/>
                  <w:bottom w:w="0" w:type="dxa"/>
                  <w:right w:w="108" w:type="dxa"/>
                </w:tblCellMar>
              </w:tblPrEx>
              <w:trPr>
                <w:gridBefore w:val="1"/>
                <w:gridAfter w:val="2"/>
                <w:wBefore w:w="300" w:type="dxa"/>
                <w:wAfter w:w="1148" w:type="dxa"/>
                <w:trHeight w:val="44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rPr>
                  </w:pPr>
                  <w:r>
                    <w:rPr>
                      <w:rFonts w:hint="eastAsia" w:ascii="宋体" w:hAnsi="宋体" w:eastAsia="宋体" w:cs="宋体"/>
                      <w:color w:val="000000"/>
                      <w:sz w:val="22"/>
                      <w:lang w:val="en-US" w:eastAsia="zh-CN"/>
                    </w:rPr>
                    <w:t>1093.6</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26</w:t>
                  </w:r>
                </w:p>
              </w:tc>
              <w:tc>
                <w:tcPr>
                  <w:tcW w:w="1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color w:val="000000"/>
                      <w:sz w:val="22"/>
                      <w:lang w:val="en-US"/>
                    </w:rPr>
                  </w:pPr>
                  <w:r>
                    <w:rPr>
                      <w:rFonts w:hint="eastAsia" w:ascii="宋体" w:hAnsi="宋体" w:eastAsia="宋体" w:cs="宋体"/>
                      <w:color w:val="000000"/>
                      <w:sz w:val="22"/>
                      <w:lang w:val="en-US" w:eastAsia="zh-CN"/>
                    </w:rPr>
                    <w:t>1093.6</w:t>
                  </w:r>
                </w:p>
              </w:tc>
            </w:tr>
            <w:tr>
              <w:tblPrEx>
                <w:tblCellMar>
                  <w:top w:w="0" w:type="dxa"/>
                  <w:left w:w="108" w:type="dxa"/>
                  <w:bottom w:w="0" w:type="dxa"/>
                  <w:right w:w="108" w:type="dxa"/>
                </w:tblCellMar>
              </w:tblPrEx>
              <w:trPr>
                <w:gridBefore w:val="1"/>
                <w:gridAfter w:val="1"/>
                <w:wBefore w:w="300" w:type="dxa"/>
                <w:wAfter w:w="15" w:type="dxa"/>
                <w:trHeight w:val="1015" w:hRule="atLeast"/>
              </w:trPr>
              <w:tc>
                <w:tcPr>
                  <w:tcW w:w="15083" w:type="dxa"/>
                  <w:gridSpan w:val="15"/>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注：1.本表反映部门本年度的总收支和年末结转结余情况。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2.本套报表金额单位转换时可能存在尾数误差。</w:t>
                  </w:r>
                </w:p>
              </w:tc>
            </w:tr>
            <w:tr>
              <w:tblPrEx>
                <w:tblCellMar>
                  <w:top w:w="0" w:type="dxa"/>
                  <w:left w:w="0" w:type="dxa"/>
                  <w:bottom w:w="0" w:type="dxa"/>
                  <w:right w:w="0" w:type="dxa"/>
                </w:tblCellMar>
              </w:tblPrEx>
              <w:trPr>
                <w:trHeight w:val="285" w:hRule="atLeast"/>
              </w:trPr>
              <w:tc>
                <w:tcPr>
                  <w:tcW w:w="15398" w:type="dxa"/>
                  <w:gridSpan w:val="17"/>
                  <w:tcBorders>
                    <w:top w:val="nil"/>
                    <w:left w:val="nil"/>
                    <w:bottom w:val="nil"/>
                    <w:right w:val="nil"/>
                  </w:tcBorders>
                  <w:shd w:val="clear" w:color="000000" w:fill="FFFFFF"/>
                  <w:noWrap/>
                  <w:tcMar>
                    <w:top w:w="15" w:type="dxa"/>
                    <w:left w:w="15" w:type="dxa"/>
                    <w:bottom w:w="0" w:type="dxa"/>
                    <w:right w:w="15" w:type="dxa"/>
                  </w:tcMar>
                  <w:vAlign w:val="center"/>
                </w:tcPr>
                <w:p>
                  <w:pPr>
                    <w:jc w:val="center"/>
                  </w:pPr>
                  <w:r>
                    <w:rPr>
                      <w:rFonts w:hint="eastAsia" w:ascii="华文中宋" w:hAnsi="华文中宋" w:eastAsia="华文中宋"/>
                      <w:color w:val="000000"/>
                      <w:sz w:val="32"/>
                      <w:szCs w:val="32"/>
                    </w:rPr>
                    <w:t>收入决算表</w:t>
                  </w:r>
                  <w:r>
                    <w:rPr>
                      <w:rFonts w:hint="eastAsia"/>
                    </w:rPr>
                    <w:t>　</w:t>
                  </w:r>
                </w:p>
                <w:tbl>
                  <w:tblPr>
                    <w:tblStyle w:val="12"/>
                    <w:tblW w:w="12717" w:type="dxa"/>
                    <w:tblInd w:w="0" w:type="dxa"/>
                    <w:tblLayout w:type="autofit"/>
                    <w:tblCellMar>
                      <w:top w:w="0" w:type="dxa"/>
                      <w:left w:w="0" w:type="dxa"/>
                      <w:bottom w:w="0" w:type="dxa"/>
                      <w:right w:w="0" w:type="dxa"/>
                    </w:tblCellMar>
                  </w:tblPr>
                  <w:tblGrid>
                    <w:gridCol w:w="12717"/>
                  </w:tblGrid>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bl>
                <w:p>
                  <w:pPr>
                    <w:pStyle w:val="10"/>
                  </w:pPr>
                </w:p>
                <w:tbl>
                  <w:tblPr>
                    <w:tblStyle w:val="12"/>
                    <w:tblW w:w="12717" w:type="dxa"/>
                    <w:tblInd w:w="0" w:type="dxa"/>
                    <w:tblLayout w:type="autofit"/>
                    <w:tblCellMar>
                      <w:top w:w="0" w:type="dxa"/>
                      <w:left w:w="0" w:type="dxa"/>
                      <w:bottom w:w="0" w:type="dxa"/>
                      <w:right w:w="0" w:type="dxa"/>
                    </w:tblCellMar>
                  </w:tblPr>
                  <w:tblGrid>
                    <w:gridCol w:w="4793"/>
                    <w:gridCol w:w="2160"/>
                    <w:gridCol w:w="3010"/>
                    <w:gridCol w:w="65"/>
                    <w:gridCol w:w="66"/>
                    <w:gridCol w:w="66"/>
                    <w:gridCol w:w="66"/>
                    <w:gridCol w:w="66"/>
                    <w:gridCol w:w="2425"/>
                  </w:tblGrid>
                  <w:tr>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r>
                          <w:rPr>
                            <w:rFonts w:hint="eastAsia" w:ascii="宋体" w:hAnsi="宋体" w:eastAsia="宋体" w:cs="宋体"/>
                            <w:color w:val="000000"/>
                            <w:kern w:val="0"/>
                            <w:sz w:val="20"/>
                            <w:szCs w:val="20"/>
                          </w:rPr>
                          <w:t>道县</w:t>
                        </w:r>
                        <w:r>
                          <w:rPr>
                            <w:rFonts w:hint="eastAsia" w:ascii="宋体" w:hAnsi="宋体" w:eastAsia="宋体" w:cs="宋体"/>
                            <w:color w:val="000000"/>
                            <w:kern w:val="0"/>
                            <w:sz w:val="20"/>
                            <w:szCs w:val="20"/>
                            <w:lang w:eastAsia="zh-CN"/>
                          </w:rPr>
                          <w:t>万家庄</w:t>
                        </w:r>
                        <w:r>
                          <w:rPr>
                            <w:rFonts w:hint="eastAsia" w:ascii="宋体" w:hAnsi="宋体" w:eastAsia="宋体" w:cs="宋体"/>
                            <w:color w:val="000000"/>
                            <w:kern w:val="0"/>
                            <w:sz w:val="20"/>
                            <w:szCs w:val="20"/>
                          </w:rPr>
                          <w:t>街道办事处</w:t>
                        </w:r>
                      </w:p>
                    </w:tc>
                    <w:tc>
                      <w:tcPr>
                        <w:tcW w:w="216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301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pPr>
                          <w:wordWrap w:val="0"/>
                          <w:jc w:val="right"/>
                          <w:rPr>
                            <w:rFonts w:ascii="宋体" w:hAnsi="宋体" w:eastAsia="宋体" w:cs="宋体"/>
                            <w:color w:val="000000"/>
                            <w:sz w:val="20"/>
                            <w:szCs w:val="20"/>
                          </w:rPr>
                        </w:pPr>
                        <w:r>
                          <w:rPr>
                            <w:rFonts w:hint="eastAsia"/>
                            <w:color w:val="000000"/>
                            <w:sz w:val="20"/>
                            <w:szCs w:val="20"/>
                          </w:rPr>
                          <w:t xml:space="preserve">   单位：万元</w:t>
                        </w:r>
                      </w:p>
                    </w:tc>
                  </w:tr>
                </w:tbl>
                <w:p>
                  <w:pPr>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450" w:hRule="atLeast"/>
              </w:trPr>
              <w:tc>
                <w:tcPr>
                  <w:tcW w:w="2310"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7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778" w:type="dxa"/>
                  <w:gridSpan w:val="3"/>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765"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7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76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76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501" w:type="dxa"/>
                  <w:gridSpan w:val="4"/>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869"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441"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7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78"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01"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869"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41"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78"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5"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6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01" w:type="dxa"/>
                  <w:gridSpan w:val="4"/>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231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7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778"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765"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7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76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764"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501" w:type="dxa"/>
                  <w:gridSpan w:val="4"/>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507" w:hRule="atLeast"/>
              </w:trPr>
              <w:tc>
                <w:tcPr>
                  <w:tcW w:w="2310"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ascii="宋体" w:hAnsi="宋体" w:eastAsia="宋体" w:cs="宋体"/>
                      <w:color w:val="000000"/>
                      <w:sz w:val="22"/>
                      <w:lang w:val="en-US" w:eastAsia="zh-CN"/>
                    </w:rPr>
                    <w:t>1093.6</w:t>
                  </w: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ascii="宋体" w:hAnsi="宋体" w:eastAsia="宋体" w:cs="宋体"/>
                      <w:color w:val="000000"/>
                      <w:sz w:val="22"/>
                      <w:lang w:val="en-US" w:eastAsia="zh-CN"/>
                    </w:rPr>
                    <w:t>1093.6</w:t>
                  </w: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6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sz w:val="18"/>
                      <w:szCs w:val="18"/>
                    </w:rPr>
                  </w:pPr>
                  <w:r>
                    <w:rPr>
                      <w:rFonts w:hint="eastAsia"/>
                      <w:sz w:val="18"/>
                      <w:szCs w:val="18"/>
                    </w:rPr>
                    <w:t>　2101101</w:t>
                  </w: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18"/>
                      <w:szCs w:val="18"/>
                    </w:rPr>
                  </w:pPr>
                  <w:r>
                    <w:rPr>
                      <w:rFonts w:hint="eastAsia"/>
                      <w:sz w:val="18"/>
                      <w:szCs w:val="18"/>
                    </w:rPr>
                    <w:t>　行政单位医疗</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lang w:val="en-US" w:eastAsia="zh-CN"/>
                    </w:rPr>
                    <w:t>32.2</w:t>
                  </w: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32.2　</w:t>
                  </w: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6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eastAsiaTheme="minorEastAsia"/>
                      <w:sz w:val="18"/>
                      <w:szCs w:val="18"/>
                      <w:lang w:val="en-US" w:eastAsia="zh-CN"/>
                    </w:rPr>
                  </w:pPr>
                  <w:r>
                    <w:rPr>
                      <w:rFonts w:hint="eastAsia"/>
                      <w:sz w:val="18"/>
                      <w:szCs w:val="18"/>
                    </w:rPr>
                    <w:t>　</w:t>
                  </w:r>
                  <w:r>
                    <w:rPr>
                      <w:rFonts w:hint="eastAsia"/>
                      <w:sz w:val="18"/>
                      <w:szCs w:val="18"/>
                      <w:lang w:val="en-US" w:eastAsia="zh-CN"/>
                    </w:rPr>
                    <w:t>2010399</w:t>
                  </w: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18"/>
                      <w:szCs w:val="18"/>
                    </w:rPr>
                  </w:pPr>
                  <w:r>
                    <w:rPr>
                      <w:rFonts w:hint="eastAsia"/>
                      <w:sz w:val="18"/>
                      <w:szCs w:val="18"/>
                      <w:lang w:eastAsia="zh-CN"/>
                    </w:rPr>
                    <w:t>其他政府支出</w:t>
                  </w:r>
                  <w:r>
                    <w:rPr>
                      <w:rFonts w:hint="eastAsia"/>
                      <w:sz w:val="18"/>
                      <w:szCs w:val="18"/>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lang w:val="en-US" w:eastAsia="zh-CN"/>
                    </w:rPr>
                    <w:t>19.3</w:t>
                  </w: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19.3</w:t>
                  </w: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6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sz w:val="18"/>
                      <w:szCs w:val="18"/>
                    </w:rPr>
                  </w:pPr>
                  <w:r>
                    <w:rPr>
                      <w:rFonts w:hint="eastAsia"/>
                      <w:sz w:val="18"/>
                      <w:szCs w:val="18"/>
                    </w:rPr>
                    <w:t>　2010301</w:t>
                  </w: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18"/>
                      <w:szCs w:val="18"/>
                    </w:rPr>
                  </w:pPr>
                  <w:r>
                    <w:rPr>
                      <w:rFonts w:hint="eastAsia"/>
                      <w:sz w:val="18"/>
                      <w:szCs w:val="18"/>
                    </w:rPr>
                    <w:t>　行政运行</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lang w:val="en-US" w:eastAsia="zh-CN"/>
                    </w:rPr>
                    <w:t>884.5</w:t>
                  </w: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884.5</w:t>
                  </w: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6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sz w:val="18"/>
                      <w:szCs w:val="18"/>
                    </w:rPr>
                  </w:pPr>
                  <w:r>
                    <w:rPr>
                      <w:rFonts w:hint="eastAsia"/>
                      <w:sz w:val="18"/>
                      <w:szCs w:val="18"/>
                    </w:rPr>
                    <w:t>　2080505</w:t>
                  </w: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18"/>
                      <w:szCs w:val="18"/>
                    </w:rPr>
                  </w:pPr>
                  <w:r>
                    <w:rPr>
                      <w:rFonts w:hint="eastAsia"/>
                      <w:sz w:val="18"/>
                      <w:szCs w:val="18"/>
                    </w:rPr>
                    <w:t>　基本养老保险缴费支出</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lang w:val="en-US" w:eastAsia="zh-CN"/>
                    </w:rPr>
                    <w:t>52.8</w:t>
                  </w: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52.8</w:t>
                  </w: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6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sz w:val="18"/>
                      <w:szCs w:val="18"/>
                    </w:rPr>
                  </w:pPr>
                  <w:r>
                    <w:rPr>
                      <w:rFonts w:hint="eastAsia"/>
                      <w:sz w:val="18"/>
                      <w:szCs w:val="18"/>
                    </w:rPr>
                    <w:t>　2129999</w:t>
                  </w: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其他城乡社区支出</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lang w:val="en-US" w:eastAsia="zh-CN"/>
                    </w:rPr>
                    <w:t>86.5</w:t>
                  </w: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eastAsia="zh-CN"/>
                    </w:rPr>
                  </w:pPr>
                  <w:r>
                    <w:rPr>
                      <w:rFonts w:hint="eastAsia"/>
                      <w:lang w:val="en-US" w:eastAsia="zh-CN"/>
                    </w:rPr>
                    <w:t>86.5</w:t>
                  </w: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6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sz w:val="18"/>
                      <w:szCs w:val="18"/>
                    </w:rPr>
                  </w:pPr>
                  <w:r>
                    <w:rPr>
                      <w:rFonts w:hint="eastAsia"/>
                      <w:sz w:val="18"/>
                      <w:szCs w:val="18"/>
                    </w:rPr>
                    <w:t>　2080506</w:t>
                  </w: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职业年金缴费支出</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lang w:val="en-US"/>
                    </w:rPr>
                  </w:pPr>
                  <w:r>
                    <w:rPr>
                      <w:rFonts w:hint="eastAsia"/>
                      <w:lang w:val="en-US" w:eastAsia="zh-CN"/>
                    </w:rPr>
                    <w:t>18.3</w:t>
                  </w: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eastAsia"/>
                      <w:lang w:val="en-US" w:eastAsia="zh-CN"/>
                    </w:rPr>
                  </w:pPr>
                  <w:r>
                    <w:rPr>
                      <w:rFonts w:hint="eastAsia"/>
                      <w:lang w:val="en-US" w:eastAsia="zh-CN"/>
                    </w:rPr>
                    <w:t>18.3　</w:t>
                  </w: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86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eastAsiaTheme="minorEastAsia"/>
                      <w:sz w:val="18"/>
                      <w:szCs w:val="18"/>
                      <w:lang w:eastAsia="zh-CN"/>
                    </w:rPr>
                  </w:pP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eastAsiaTheme="minorEastAsia"/>
                      <w:lang w:eastAsia="zh-CN"/>
                    </w:rPr>
                  </w:pP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both"/>
                  </w:pPr>
                </w:p>
              </w:tc>
              <w:tc>
                <w:tcPr>
                  <w:tcW w:w="1778" w:type="dxa"/>
                  <w:gridSpan w:val="3"/>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both"/>
                    <w:rPr>
                      <w:rFonts w:hint="default"/>
                      <w:lang w:val="en-US"/>
                    </w:rPr>
                  </w:pPr>
                </w:p>
              </w:tc>
              <w:tc>
                <w:tcPr>
                  <w:tcW w:w="176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64"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01" w:type="dxa"/>
                  <w:gridSpan w:val="4"/>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bl>
          <w:p>
            <w:pPr>
              <w:rPr>
                <w:rFonts w:ascii="华文中宋" w:hAnsi="华文中宋" w:eastAsia="华文中宋" w:cs="宋体"/>
                <w:color w:val="000000"/>
                <w:sz w:val="32"/>
                <w:szCs w:val="32"/>
              </w:rPr>
            </w:pPr>
          </w:p>
        </w:tc>
      </w:tr>
      <w:tr>
        <w:tblPrEx>
          <w:tblCellMar>
            <w:top w:w="0" w:type="dxa"/>
            <w:left w:w="0" w:type="dxa"/>
            <w:bottom w:w="0" w:type="dxa"/>
            <w:right w:w="0" w:type="dxa"/>
          </w:tblCellMar>
        </w:tblPrEx>
        <w:trPr>
          <w:trHeight w:val="615" w:hRule="atLeast"/>
        </w:trPr>
        <w:tc>
          <w:tcPr>
            <w:tcW w:w="15428" w:type="dxa"/>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12"/>
        <w:tblW w:w="15640" w:type="dxa"/>
        <w:tblInd w:w="93"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2980" w:type="dxa"/>
            <w:gridSpan w:val="3"/>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w:t>
            </w:r>
            <w:r>
              <w:rPr>
                <w:rFonts w:hint="eastAsia" w:ascii="宋体" w:hAnsi="宋体" w:eastAsia="宋体" w:cs="宋体"/>
                <w:color w:val="000000"/>
                <w:kern w:val="0"/>
                <w:sz w:val="20"/>
                <w:szCs w:val="20"/>
                <w:lang w:eastAsia="zh-CN"/>
              </w:rPr>
              <w:t>万家庄</w:t>
            </w:r>
            <w:r>
              <w:rPr>
                <w:rFonts w:hint="eastAsia" w:ascii="宋体" w:hAnsi="宋体" w:eastAsia="宋体" w:cs="宋体"/>
                <w:color w:val="000000"/>
                <w:kern w:val="0"/>
                <w:sz w:val="20"/>
                <w:szCs w:val="20"/>
              </w:rPr>
              <w:t>街道办事处</w:t>
            </w: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ind w:right="480"/>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lang w:val="en-US"/>
              </w:rPr>
            </w:pPr>
            <w:r>
              <w:rPr>
                <w:rFonts w:hint="eastAsia"/>
                <w:lang w:val="en-US" w:eastAsia="zh-CN"/>
              </w:rPr>
              <w:t>1093.6</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default"/>
                <w:lang w:val="en-US" w:eastAsia="zh-CN"/>
              </w:rPr>
            </w:pPr>
            <w:r>
              <w:rPr>
                <w:rFonts w:hint="eastAsia"/>
                <w:lang w:val="en-US" w:eastAsia="zh-CN"/>
              </w:rPr>
              <w:t>987.8</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105.8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 w:val="18"/>
                <w:szCs w:val="18"/>
              </w:rPr>
            </w:pPr>
            <w:r>
              <w:rPr>
                <w:rFonts w:hint="eastAsia"/>
                <w:sz w:val="18"/>
                <w:szCs w:val="18"/>
              </w:rPr>
              <w:t>　2101101</w:t>
            </w:r>
          </w:p>
        </w:tc>
        <w:tc>
          <w:tcPr>
            <w:tcW w:w="1481"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sz w:val="18"/>
                <w:szCs w:val="18"/>
              </w:rPr>
            </w:pPr>
            <w:r>
              <w:rPr>
                <w:rFonts w:hint="eastAsia"/>
                <w:sz w:val="18"/>
                <w:szCs w:val="18"/>
              </w:rPr>
              <w:t>　行政单位医疗</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eastAsiaTheme="minorEastAsia"/>
                <w:lang w:val="en-US" w:eastAsia="zh-CN"/>
              </w:rPr>
            </w:pPr>
            <w:r>
              <w:rPr>
                <w:rFonts w:hint="eastAsia"/>
                <w:lang w:val="en-US" w:eastAsia="zh-CN"/>
              </w:rPr>
              <w:t>32.2</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default"/>
                <w:lang w:val="en-US" w:eastAsia="zh-CN"/>
              </w:rPr>
            </w:pPr>
            <w:r>
              <w:rPr>
                <w:rFonts w:hint="eastAsia"/>
                <w:lang w:val="en-US" w:eastAsia="zh-CN"/>
              </w:rPr>
              <w:t>32.2</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 w:val="18"/>
                <w:szCs w:val="18"/>
              </w:rPr>
            </w:pPr>
            <w:r>
              <w:rPr>
                <w:rFonts w:hint="eastAsia"/>
                <w:sz w:val="18"/>
                <w:szCs w:val="18"/>
              </w:rPr>
              <w:t>　</w:t>
            </w:r>
            <w:r>
              <w:rPr>
                <w:rFonts w:hint="eastAsia"/>
                <w:sz w:val="18"/>
                <w:szCs w:val="18"/>
                <w:lang w:val="en-US" w:eastAsia="zh-CN"/>
              </w:rPr>
              <w:t>2010399</w:t>
            </w:r>
          </w:p>
        </w:tc>
        <w:tc>
          <w:tcPr>
            <w:tcW w:w="1481"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sz w:val="18"/>
                <w:szCs w:val="18"/>
              </w:rPr>
            </w:pPr>
            <w:r>
              <w:rPr>
                <w:rFonts w:hint="eastAsia"/>
                <w:sz w:val="18"/>
                <w:szCs w:val="18"/>
                <w:lang w:eastAsia="zh-CN"/>
              </w:rPr>
              <w:t>其他政府支出</w:t>
            </w:r>
            <w:r>
              <w:rPr>
                <w:rFonts w:hint="eastAsia"/>
                <w:sz w:val="18"/>
                <w:szCs w:val="18"/>
              </w:rPr>
              <w:t>　</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lang w:val="en-US"/>
              </w:rPr>
            </w:pPr>
            <w:r>
              <w:rPr>
                <w:rFonts w:hint="eastAsia"/>
                <w:lang w:val="en-US" w:eastAsia="zh-CN"/>
              </w:rPr>
              <w:t>19.3</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default"/>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default"/>
                <w:lang w:val="en-US" w:eastAsia="zh-CN"/>
              </w:rPr>
            </w:pPr>
            <w:r>
              <w:rPr>
                <w:rFonts w:hint="eastAsia"/>
                <w:lang w:val="en-US" w:eastAsia="zh-CN"/>
              </w:rPr>
              <w:t>19.3</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 w:val="18"/>
                <w:szCs w:val="18"/>
              </w:rPr>
            </w:pPr>
            <w:r>
              <w:rPr>
                <w:rFonts w:hint="eastAsia"/>
                <w:sz w:val="18"/>
                <w:szCs w:val="18"/>
              </w:rPr>
              <w:t>　2010301</w:t>
            </w:r>
          </w:p>
        </w:tc>
        <w:tc>
          <w:tcPr>
            <w:tcW w:w="1481"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sz w:val="18"/>
                <w:szCs w:val="18"/>
              </w:rPr>
            </w:pPr>
            <w:r>
              <w:rPr>
                <w:rFonts w:hint="eastAsia"/>
                <w:sz w:val="18"/>
                <w:szCs w:val="18"/>
              </w:rPr>
              <w:t>　行政运行</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lang w:val="en-US"/>
              </w:rPr>
            </w:pPr>
            <w:r>
              <w:rPr>
                <w:rFonts w:hint="eastAsia"/>
                <w:lang w:val="en-US" w:eastAsia="zh-CN"/>
              </w:rPr>
              <w:t>884.5</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884.5　</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 w:val="18"/>
                <w:szCs w:val="18"/>
              </w:rPr>
            </w:pPr>
            <w:r>
              <w:rPr>
                <w:rFonts w:hint="eastAsia"/>
                <w:sz w:val="18"/>
                <w:szCs w:val="18"/>
              </w:rPr>
              <w:t>　2080505</w:t>
            </w:r>
          </w:p>
        </w:tc>
        <w:tc>
          <w:tcPr>
            <w:tcW w:w="1481"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sz w:val="18"/>
                <w:szCs w:val="18"/>
              </w:rPr>
            </w:pPr>
            <w:r>
              <w:rPr>
                <w:rFonts w:hint="eastAsia"/>
                <w:sz w:val="18"/>
                <w:szCs w:val="18"/>
              </w:rPr>
              <w:t>　基本养老保险缴费支出</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lang w:val="en-US"/>
              </w:rPr>
            </w:pPr>
            <w:r>
              <w:rPr>
                <w:rFonts w:hint="eastAsia"/>
                <w:lang w:val="en-US" w:eastAsia="zh-CN"/>
              </w:rPr>
              <w:t>52.8</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default"/>
                <w:lang w:val="en-US" w:eastAsia="zh-CN"/>
              </w:rPr>
            </w:pPr>
            <w:r>
              <w:rPr>
                <w:rFonts w:hint="eastAsia"/>
                <w:lang w:val="en-US" w:eastAsia="zh-CN"/>
              </w:rPr>
              <w:t>52.8</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 w:val="18"/>
                <w:szCs w:val="18"/>
              </w:rPr>
            </w:pPr>
            <w:r>
              <w:rPr>
                <w:rFonts w:hint="eastAsia"/>
                <w:sz w:val="18"/>
                <w:szCs w:val="18"/>
              </w:rPr>
              <w:t>　2129999</w:t>
            </w:r>
          </w:p>
        </w:tc>
        <w:tc>
          <w:tcPr>
            <w:tcW w:w="1481"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sz w:val="24"/>
                <w:szCs w:val="24"/>
              </w:rPr>
            </w:pPr>
            <w:r>
              <w:rPr>
                <w:rFonts w:hint="eastAsia"/>
              </w:rPr>
              <w:t>其他城乡社区支出</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lang w:val="en-US"/>
              </w:rPr>
            </w:pPr>
            <w:r>
              <w:rPr>
                <w:rFonts w:hint="eastAsia"/>
                <w:lang w:val="en-US" w:eastAsia="zh-CN"/>
              </w:rPr>
              <w:t>86.5</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default"/>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default"/>
                <w:lang w:val="en-US" w:eastAsia="zh-CN"/>
              </w:rPr>
            </w:pPr>
            <w:r>
              <w:rPr>
                <w:rFonts w:hint="eastAsia"/>
                <w:lang w:val="en-US" w:eastAsia="zh-CN"/>
              </w:rPr>
              <w:t>86.5</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 w:val="18"/>
                <w:szCs w:val="18"/>
              </w:rPr>
            </w:pPr>
            <w:r>
              <w:rPr>
                <w:rFonts w:hint="eastAsia"/>
                <w:sz w:val="18"/>
                <w:szCs w:val="18"/>
              </w:rPr>
              <w:t>　2080506</w:t>
            </w:r>
          </w:p>
        </w:tc>
        <w:tc>
          <w:tcPr>
            <w:tcW w:w="1481"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sz w:val="24"/>
                <w:szCs w:val="24"/>
              </w:rPr>
            </w:pPr>
            <w:r>
              <w:rPr>
                <w:rFonts w:hint="eastAsia"/>
              </w:rPr>
              <w:t>职业年金缴费支出</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eastAsiaTheme="minorEastAsia"/>
                <w:lang w:val="en-US" w:eastAsia="zh-CN"/>
              </w:rPr>
            </w:pPr>
            <w:r>
              <w:rPr>
                <w:rFonts w:hint="eastAsia"/>
                <w:lang w:val="en-US" w:eastAsia="zh-CN"/>
              </w:rPr>
              <w:t>18.3</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default"/>
                <w:lang w:val="en-US" w:eastAsia="zh-CN"/>
              </w:rPr>
            </w:pPr>
            <w:r>
              <w:rPr>
                <w:rFonts w:hint="eastAsia"/>
                <w:lang w:val="en-US" w:eastAsia="zh-CN"/>
              </w:rPr>
              <w:t>18.3</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hint="eastAsia"/>
                <w:lang w:val="en-US" w:eastAsia="zh-CN"/>
              </w:rPr>
            </w:pPr>
            <w:r>
              <w:rPr>
                <w:rFonts w:hint="eastAsia"/>
                <w:lang w:val="en-US" w:eastAsia="zh-CN"/>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rPr>
                <w:sz w:val="18"/>
                <w:szCs w:val="18"/>
              </w:rPr>
            </w:pPr>
          </w:p>
        </w:tc>
        <w:tc>
          <w:tcPr>
            <w:tcW w:w="1481" w:type="dxa"/>
            <w:tcBorders>
              <w:top w:val="nil"/>
              <w:left w:val="nil"/>
              <w:bottom w:val="single" w:color="auto" w:sz="4" w:space="0"/>
              <w:right w:val="single" w:color="auto" w:sz="4" w:space="0"/>
            </w:tcBorders>
            <w:shd w:val="clear" w:color="000000" w:fill="FFFFFF"/>
            <w:noWrap/>
            <w:vAlign w:val="center"/>
          </w:tcPr>
          <w:p/>
        </w:tc>
        <w:tc>
          <w:tcPr>
            <w:tcW w:w="1952" w:type="dxa"/>
            <w:tcBorders>
              <w:top w:val="nil"/>
              <w:left w:val="nil"/>
              <w:bottom w:val="single" w:color="auto" w:sz="4" w:space="0"/>
              <w:right w:val="single" w:color="auto" w:sz="4" w:space="0"/>
            </w:tcBorders>
            <w:shd w:val="clear" w:color="auto" w:fill="auto"/>
            <w:noWrap/>
            <w:vAlign w:val="center"/>
          </w:tcPr>
          <w:p>
            <w:pPr>
              <w:jc w:val="center"/>
            </w:pP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rPr>
          <w:rFonts w:ascii="Times New Roman" w:hAnsi="Times New Roman" w:eastAsia="方正小标宋_GBK" w:cs="Times New Roman"/>
          <w:color w:val="000000"/>
          <w:kern w:val="0"/>
          <w:sz w:val="36"/>
          <w:szCs w:val="21"/>
        </w:rPr>
      </w:pPr>
    </w:p>
    <w:tbl>
      <w:tblPr>
        <w:tblStyle w:val="12"/>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2" w:name="RANGE!A1:I22"/>
            <w:bookmarkEnd w:id="2"/>
            <w:bookmarkStart w:id="3"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w:t>
            </w:r>
            <w:r>
              <w:rPr>
                <w:rFonts w:hint="eastAsia" w:ascii="宋体" w:hAnsi="宋体" w:eastAsia="宋体" w:cs="宋体"/>
                <w:color w:val="000000"/>
                <w:kern w:val="0"/>
                <w:sz w:val="20"/>
                <w:szCs w:val="20"/>
                <w:lang w:eastAsia="zh-CN"/>
              </w:rPr>
              <w:t>万家庄</w:t>
            </w:r>
            <w:r>
              <w:rPr>
                <w:rFonts w:hint="eastAsia" w:ascii="宋体" w:hAnsi="宋体" w:eastAsia="宋体" w:cs="宋体"/>
                <w:color w:val="000000"/>
                <w:kern w:val="0"/>
                <w:sz w:val="20"/>
                <w:szCs w:val="20"/>
              </w:rPr>
              <w:t>街道办事处</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lang w:val="en-US" w:eastAsia="zh-CN"/>
              </w:rPr>
              <w:t>1093.6</w:t>
            </w:r>
            <w:r>
              <w:rPr>
                <w:rFonts w:hint="eastAsia"/>
              </w:rPr>
              <w:t>　</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705.2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color w:val="000000"/>
                <w:sz w:val="22"/>
                <w:lang w:val="en-US" w:eastAsia="zh-CN"/>
              </w:rPr>
              <w:t>705.2</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rPr>
              <w:t>　</w:t>
            </w:r>
            <w:r>
              <w:rPr>
                <w:rFonts w:hint="eastAsia" w:ascii="宋体" w:hAnsi="宋体" w:eastAsia="宋体" w:cs="宋体"/>
                <w:color w:val="000000"/>
                <w:sz w:val="22"/>
                <w:lang w:val="en-US" w:eastAsia="zh-CN"/>
              </w:rPr>
              <w:t>32.2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color w:val="000000"/>
                <w:sz w:val="22"/>
                <w:lang w:val="en-US" w:eastAsia="zh-CN"/>
              </w:rPr>
              <w:t>32.2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七、社会保障和就业支出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color w:val="000000"/>
                <w:sz w:val="22"/>
                <w:lang w:val="en-US" w:eastAsia="zh-CN"/>
              </w:rPr>
              <w:t>56.4</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color w:val="000000"/>
                <w:sz w:val="22"/>
                <w:lang w:val="en-US" w:eastAsia="zh-CN"/>
              </w:rPr>
              <w:t>56.4</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rPr>
            </w:pPr>
            <w:r>
              <w:rPr>
                <w:rFonts w:hint="eastAsia" w:ascii="宋体" w:hAnsi="宋体" w:eastAsia="宋体" w:cs="宋体"/>
                <w:color w:val="000000"/>
                <w:sz w:val="22"/>
              </w:rPr>
              <w:t>八、住房保障支出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sz w:val="22"/>
              </w:rPr>
            </w:pPr>
            <w:r>
              <w:rPr>
                <w:rFonts w:hint="eastAsia" w:ascii="宋体" w:hAnsi="宋体" w:eastAsia="宋体" w:cs="宋体"/>
                <w:color w:val="000000"/>
                <w:sz w:val="22"/>
              </w:rPr>
              <w:t>九、城乡社区支出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color w:val="000000"/>
                <w:sz w:val="22"/>
                <w:lang w:val="en-US" w:eastAsia="zh-CN"/>
              </w:rPr>
              <w:t xml:space="preserve"> 86.5</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rPr>
            </w:pPr>
            <w:r>
              <w:rPr>
                <w:rFonts w:hint="eastAsia" w:ascii="宋体" w:hAnsi="宋体" w:eastAsia="宋体" w:cs="宋体"/>
                <w:color w:val="000000"/>
                <w:sz w:val="22"/>
                <w:lang w:val="en-US" w:eastAsia="zh-CN"/>
              </w:rPr>
              <w:t>86.5</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lang w:val="en-US" w:eastAsia="zh-CN"/>
              </w:rPr>
              <w:t>1093.6</w:t>
            </w:r>
            <w:r>
              <w:rPr>
                <w:rFonts w:hint="eastAsia"/>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r>
              <w:rPr>
                <w:rFonts w:hint="eastAsia"/>
                <w:lang w:val="en-US" w:eastAsia="zh-CN"/>
              </w:rPr>
              <w:t>1093.6</w:t>
            </w:r>
            <w:r>
              <w:rPr>
                <w:rFonts w:hint="eastAsia"/>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lang w:val="en-US" w:eastAsia="zh-CN"/>
              </w:rPr>
              <w:t>1093.6</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FF0000"/>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lang w:val="en-US" w:eastAsia="zh-CN"/>
              </w:rPr>
              <w:t>1093.6</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30</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lang w:val="en-US" w:eastAsia="zh-CN"/>
              </w:rPr>
              <w:t>1093.6</w:t>
            </w:r>
            <w:r>
              <w:rPr>
                <w:rFonts w:hint="eastAsia"/>
              </w:rPr>
              <w:t>　</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lang w:val="en-US" w:eastAsia="zh-CN"/>
              </w:rPr>
              <w:t>1093.6</w:t>
            </w:r>
            <w:r>
              <w:rPr>
                <w:rFonts w:hint="eastAsia"/>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3"/>
    </w:p>
    <w:p>
      <w:pPr>
        <w:widowControl/>
        <w:spacing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w:t>
      </w:r>
      <w:r>
        <w:rPr>
          <w:rFonts w:hint="eastAsia" w:ascii="宋体" w:hAnsi="宋体" w:eastAsia="宋体" w:cs="宋体"/>
          <w:color w:val="000000"/>
          <w:kern w:val="0"/>
          <w:sz w:val="20"/>
          <w:szCs w:val="20"/>
          <w:lang w:eastAsia="zh-CN"/>
        </w:rPr>
        <w:t>万家庄</w:t>
      </w:r>
      <w:r>
        <w:rPr>
          <w:rFonts w:hint="eastAsia" w:ascii="宋体" w:hAnsi="宋体" w:eastAsia="宋体" w:cs="宋体"/>
          <w:color w:val="000000"/>
          <w:kern w:val="0"/>
          <w:sz w:val="20"/>
          <w:szCs w:val="20"/>
        </w:rPr>
        <w:t>街道办事处</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2"/>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lang w:val="en-US" w:eastAsia="zh-CN"/>
              </w:rPr>
              <w:t>1093.6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1129.3</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105.8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sz w:val="18"/>
                <w:szCs w:val="18"/>
              </w:rPr>
            </w:pPr>
            <w:r>
              <w:rPr>
                <w:rFonts w:hint="eastAsia"/>
                <w:sz w:val="18"/>
                <w:szCs w:val="18"/>
              </w:rPr>
              <w:t>　2101101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18"/>
                <w:szCs w:val="18"/>
              </w:rPr>
            </w:pPr>
            <w:r>
              <w:rPr>
                <w:rFonts w:hint="eastAsia"/>
                <w:sz w:val="18"/>
                <w:szCs w:val="18"/>
              </w:rPr>
              <w:t>　行政单位医疗</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lang w:val="en-US"/>
              </w:rPr>
            </w:pPr>
            <w:r>
              <w:rPr>
                <w:rFonts w:hint="eastAsia"/>
                <w:lang w:val="en-US" w:eastAsia="zh-CN"/>
              </w:rPr>
              <w:t>32.2</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32.2</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sz w:val="18"/>
                <w:szCs w:val="18"/>
              </w:rPr>
            </w:pPr>
            <w:r>
              <w:rPr>
                <w:rFonts w:hint="eastAsia"/>
                <w:sz w:val="18"/>
                <w:szCs w:val="18"/>
              </w:rPr>
              <w:t>　</w:t>
            </w:r>
            <w:r>
              <w:rPr>
                <w:rFonts w:hint="eastAsia"/>
                <w:sz w:val="18"/>
                <w:szCs w:val="18"/>
                <w:lang w:val="en-US" w:eastAsia="zh-CN"/>
              </w:rPr>
              <w:t>2010399</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18"/>
                <w:szCs w:val="18"/>
              </w:rPr>
            </w:pPr>
            <w:r>
              <w:rPr>
                <w:rFonts w:hint="eastAsia"/>
                <w:sz w:val="18"/>
                <w:szCs w:val="18"/>
                <w:lang w:eastAsia="zh-CN"/>
              </w:rPr>
              <w:t>其他政府支出</w:t>
            </w:r>
            <w:r>
              <w:rPr>
                <w:rFonts w:hint="eastAsia"/>
                <w:sz w:val="18"/>
                <w:szCs w:val="18"/>
              </w:rPr>
              <w:t>　</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lang w:val="en-US"/>
              </w:rPr>
            </w:pPr>
            <w:r>
              <w:rPr>
                <w:rFonts w:hint="eastAsia"/>
                <w:lang w:val="en-US" w:eastAsia="zh-CN"/>
              </w:rPr>
              <w:t>19.3</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19.3</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sz w:val="18"/>
                <w:szCs w:val="18"/>
              </w:rPr>
            </w:pPr>
            <w:r>
              <w:rPr>
                <w:rFonts w:hint="eastAsia"/>
                <w:sz w:val="18"/>
                <w:szCs w:val="18"/>
              </w:rPr>
              <w:t>　2010301</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18"/>
                <w:szCs w:val="18"/>
              </w:rPr>
            </w:pPr>
            <w:r>
              <w:rPr>
                <w:rFonts w:hint="eastAsia"/>
                <w:sz w:val="18"/>
                <w:szCs w:val="18"/>
              </w:rPr>
              <w:t>　行政运行</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lang w:val="en-US"/>
              </w:rPr>
            </w:pPr>
            <w:r>
              <w:rPr>
                <w:rFonts w:hint="eastAsia"/>
                <w:lang w:val="en-US" w:eastAsia="zh-CN"/>
              </w:rPr>
              <w:t>884.5</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884.5</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sz w:val="18"/>
                <w:szCs w:val="18"/>
              </w:rPr>
            </w:pPr>
            <w:r>
              <w:rPr>
                <w:rFonts w:hint="eastAsia"/>
                <w:sz w:val="18"/>
                <w:szCs w:val="18"/>
              </w:rPr>
              <w:t>　2080505</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18"/>
                <w:szCs w:val="18"/>
              </w:rPr>
            </w:pPr>
            <w:r>
              <w:rPr>
                <w:rFonts w:hint="eastAsia"/>
                <w:sz w:val="18"/>
                <w:szCs w:val="18"/>
              </w:rPr>
              <w:t>　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lang w:val="en-US"/>
              </w:rPr>
            </w:pPr>
            <w:r>
              <w:rPr>
                <w:rFonts w:hint="eastAsia"/>
                <w:lang w:val="en-US" w:eastAsia="zh-CN"/>
              </w:rPr>
              <w:t>52.8</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52.8</w:t>
            </w: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rPr>
                <w:sz w:val="18"/>
                <w:szCs w:val="18"/>
              </w:rPr>
            </w:pPr>
            <w:r>
              <w:rPr>
                <w:rFonts w:hint="eastAsia"/>
                <w:sz w:val="18"/>
                <w:szCs w:val="18"/>
              </w:rPr>
              <w:t>　2129999</w:t>
            </w:r>
          </w:p>
        </w:tc>
        <w:tc>
          <w:tcPr>
            <w:tcW w:w="3527" w:type="dxa"/>
            <w:tcBorders>
              <w:top w:val="nil"/>
              <w:left w:val="nil"/>
              <w:bottom w:val="single" w:color="auto" w:sz="4" w:space="0"/>
              <w:right w:val="single" w:color="auto" w:sz="4" w:space="0"/>
            </w:tcBorders>
            <w:shd w:val="clear" w:color="auto" w:fill="auto"/>
            <w:vAlign w:val="center"/>
          </w:tcPr>
          <w:p>
            <w:pPr>
              <w:rPr>
                <w:rFonts w:ascii="宋体" w:hAnsi="宋体" w:eastAsia="宋体" w:cs="宋体"/>
                <w:sz w:val="24"/>
                <w:szCs w:val="24"/>
              </w:rPr>
            </w:pPr>
            <w:r>
              <w:rPr>
                <w:rFonts w:hint="eastAsia"/>
              </w:rPr>
              <w:t>其他城乡社区支出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lang w:val="en-US"/>
              </w:rPr>
            </w:pPr>
            <w:r>
              <w:rPr>
                <w:rFonts w:hint="eastAsia"/>
                <w:lang w:val="en-US" w:eastAsia="zh-CN"/>
              </w:rPr>
              <w:t>86.5</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86.5</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rPr>
                <w:sz w:val="18"/>
                <w:szCs w:val="18"/>
              </w:rPr>
            </w:pPr>
            <w:r>
              <w:rPr>
                <w:rFonts w:hint="eastAsia"/>
                <w:sz w:val="18"/>
                <w:szCs w:val="18"/>
              </w:rPr>
              <w:t>　2080506</w:t>
            </w:r>
          </w:p>
        </w:tc>
        <w:tc>
          <w:tcPr>
            <w:tcW w:w="3527" w:type="dxa"/>
            <w:tcBorders>
              <w:top w:val="nil"/>
              <w:left w:val="nil"/>
              <w:bottom w:val="single" w:color="auto" w:sz="8" w:space="0"/>
              <w:right w:val="single" w:color="auto" w:sz="4" w:space="0"/>
            </w:tcBorders>
            <w:shd w:val="clear" w:color="auto" w:fill="auto"/>
            <w:vAlign w:val="center"/>
          </w:tcPr>
          <w:p>
            <w:pPr>
              <w:rPr>
                <w:rFonts w:ascii="宋体" w:hAnsi="宋体" w:eastAsia="宋体" w:cs="宋体"/>
                <w:sz w:val="24"/>
                <w:szCs w:val="24"/>
              </w:rPr>
            </w:pPr>
            <w:r>
              <w:rPr>
                <w:rFonts w:hint="eastAsia"/>
              </w:rPr>
              <w:t>职业年金缴费支出</w:t>
            </w:r>
          </w:p>
        </w:tc>
        <w:tc>
          <w:tcPr>
            <w:tcW w:w="3000" w:type="dxa"/>
            <w:tcBorders>
              <w:top w:val="nil"/>
              <w:left w:val="nil"/>
              <w:bottom w:val="single" w:color="auto" w:sz="8" w:space="0"/>
              <w:right w:val="single" w:color="auto" w:sz="4" w:space="0"/>
            </w:tcBorders>
            <w:shd w:val="clear" w:color="auto" w:fill="auto"/>
            <w:vAlign w:val="center"/>
          </w:tcPr>
          <w:p>
            <w:pPr>
              <w:jc w:val="center"/>
              <w:rPr>
                <w:rFonts w:hint="default"/>
                <w:lang w:val="en-US"/>
              </w:rPr>
            </w:pPr>
            <w:r>
              <w:rPr>
                <w:rFonts w:hint="eastAsia"/>
                <w:lang w:val="en-US" w:eastAsia="zh-CN"/>
              </w:rPr>
              <w:t>18.3</w:t>
            </w:r>
          </w:p>
        </w:tc>
        <w:tc>
          <w:tcPr>
            <w:tcW w:w="3492" w:type="dxa"/>
            <w:tcBorders>
              <w:top w:val="nil"/>
              <w:left w:val="nil"/>
              <w:bottom w:val="single" w:color="auto" w:sz="8"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18.3</w:t>
            </w:r>
          </w:p>
        </w:tc>
        <w:tc>
          <w:tcPr>
            <w:tcW w:w="3000" w:type="dxa"/>
            <w:tcBorders>
              <w:top w:val="nil"/>
              <w:left w:val="nil"/>
              <w:bottom w:val="single" w:color="auto" w:sz="8"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rPr>
                <w:sz w:val="18"/>
                <w:szCs w:val="18"/>
              </w:rPr>
            </w:pPr>
          </w:p>
        </w:tc>
        <w:tc>
          <w:tcPr>
            <w:tcW w:w="3527" w:type="dxa"/>
            <w:tcBorders>
              <w:top w:val="nil"/>
              <w:left w:val="nil"/>
              <w:bottom w:val="single" w:color="auto" w:sz="8" w:space="0"/>
              <w:right w:val="single" w:color="auto" w:sz="4" w:space="0"/>
            </w:tcBorders>
            <w:shd w:val="clear" w:color="auto" w:fill="auto"/>
            <w:vAlign w:val="center"/>
          </w:tcPr>
          <w:p/>
        </w:tc>
        <w:tc>
          <w:tcPr>
            <w:tcW w:w="3000" w:type="dxa"/>
            <w:tcBorders>
              <w:top w:val="nil"/>
              <w:left w:val="nil"/>
              <w:bottom w:val="single" w:color="auto" w:sz="8" w:space="0"/>
              <w:right w:val="single" w:color="auto" w:sz="4" w:space="0"/>
            </w:tcBorders>
            <w:shd w:val="clear" w:color="auto" w:fill="auto"/>
            <w:vAlign w:val="center"/>
          </w:tcPr>
          <w:p>
            <w:pPr>
              <w:jc w:val="center"/>
            </w:pPr>
          </w:p>
        </w:tc>
        <w:tc>
          <w:tcPr>
            <w:tcW w:w="3492"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jc w:val="center"/>
              <w:rPr>
                <w:rFonts w:ascii="Times New Roman" w:hAnsi="Times New Roman" w:eastAsia="仿宋_GB2312" w:cs="Times New Roman"/>
                <w:kern w:val="0"/>
                <w:szCs w:val="21"/>
              </w:rPr>
            </w:pPr>
            <w:r>
              <w:rPr>
                <w:rFonts w:hint="eastAsia"/>
                <w:lang w:val="en-US" w:eastAsia="zh-CN"/>
              </w:rPr>
              <w:t>　</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2"/>
        <w:tblW w:w="0" w:type="auto"/>
        <w:tblInd w:w="0" w:type="dxa"/>
        <w:tblLayout w:type="fixed"/>
        <w:tblCellMar>
          <w:top w:w="0" w:type="dxa"/>
          <w:left w:w="108" w:type="dxa"/>
          <w:bottom w:w="0" w:type="dxa"/>
          <w:right w:w="108" w:type="dxa"/>
        </w:tblCellMar>
      </w:tblPr>
      <w:tblGrid>
        <w:gridCol w:w="968"/>
        <w:gridCol w:w="238"/>
        <w:gridCol w:w="216"/>
        <w:gridCol w:w="1144"/>
        <w:gridCol w:w="1979"/>
        <w:gridCol w:w="220"/>
        <w:gridCol w:w="555"/>
        <w:gridCol w:w="1179"/>
        <w:gridCol w:w="305"/>
        <w:gridCol w:w="1929"/>
        <w:gridCol w:w="220"/>
        <w:gridCol w:w="555"/>
        <w:gridCol w:w="1180"/>
        <w:gridCol w:w="452"/>
        <w:gridCol w:w="2006"/>
        <w:gridCol w:w="1699"/>
        <w:gridCol w:w="472"/>
        <w:gridCol w:w="297"/>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4" w:name="RANGE!A1:I34"/>
            <w:r>
              <w:rPr>
                <w:rFonts w:hint="eastAsia" w:ascii="华文中宋" w:hAnsi="华文中宋" w:eastAsia="华文中宋" w:cs="宋体"/>
                <w:color w:val="000000"/>
                <w:kern w:val="0"/>
                <w:szCs w:val="32"/>
              </w:rPr>
              <w:t>一般公共预算财政拨款基本支出决算明细表</w:t>
            </w:r>
            <w:bookmarkEnd w:id="4"/>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w:t>
            </w:r>
            <w:r>
              <w:rPr>
                <w:rFonts w:hint="eastAsia" w:ascii="宋体" w:hAnsi="宋体" w:eastAsia="宋体" w:cs="宋体"/>
                <w:color w:val="000000"/>
                <w:kern w:val="0"/>
                <w:sz w:val="20"/>
                <w:szCs w:val="20"/>
                <w:lang w:eastAsia="zh-CN"/>
              </w:rPr>
              <w:t>万家庄</w:t>
            </w:r>
            <w:r>
              <w:rPr>
                <w:rFonts w:hint="eastAsia" w:ascii="宋体" w:hAnsi="宋体" w:eastAsia="宋体" w:cs="宋体"/>
                <w:color w:val="000000"/>
                <w:kern w:val="0"/>
                <w:sz w:val="20"/>
                <w:szCs w:val="20"/>
              </w:rPr>
              <w:t>街道办事处</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42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12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7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7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3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75"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8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157"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76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638.9</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407.6</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300.4</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120</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26.7</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113.2</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24.3</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11.9</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52.8</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26.7</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14</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1.5</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28.5</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28</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1.6</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41.3</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77.6</w:t>
            </w: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6.1</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775" w:type="dxa"/>
            <w:gridSpan w:val="2"/>
            <w:tcBorders>
              <w:top w:val="nil"/>
              <w:left w:val="nil"/>
              <w:bottom w:val="single" w:color="auto" w:sz="4" w:space="0"/>
              <w:right w:val="single" w:color="auto" w:sz="4" w:space="0"/>
            </w:tcBorders>
            <w:shd w:val="clear" w:color="auto" w:fill="auto"/>
            <w:noWrap/>
            <w:vAlign w:val="center"/>
          </w:tcPr>
          <w:p>
            <w:pPr>
              <w:pStyle w:val="10"/>
              <w:rPr>
                <w:rFonts w:hint="default"/>
                <w:lang w:val="en-US" w:eastAsia="zh-CN"/>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42.7</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16</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39907</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19.8</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39908</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14.5</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39909</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ascii="宋体" w:hAnsi="宋体" w:eastAsia="宋体" w:cs="宋体"/>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3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pPr>
              <w:widowControl/>
              <w:jc w:val="left"/>
              <w:rPr>
                <w:rFonts w:ascii="宋体" w:hAnsi="宋体" w:eastAsia="宋体" w:cs="宋体"/>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3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pPr>
              <w:widowControl/>
              <w:jc w:val="left"/>
              <w:rPr>
                <w:rFonts w:ascii="宋体" w:hAnsi="宋体" w:eastAsia="宋体" w:cs="宋体"/>
                <w:color w:val="000000"/>
                <w:kern w:val="0"/>
                <w:szCs w:val="20"/>
              </w:rPr>
            </w:pP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4</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39910</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20.2</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39999</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1422"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123"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p>
        </w:tc>
        <w:tc>
          <w:tcPr>
            <w:tcW w:w="1179"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3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53</w:t>
            </w:r>
          </w:p>
        </w:tc>
        <w:tc>
          <w:tcPr>
            <w:tcW w:w="118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157"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16"/>
                <w:szCs w:val="16"/>
              </w:rPr>
            </w:pPr>
            <w:r>
              <w:rPr>
                <w:rFonts w:hint="eastAsia" w:ascii="宋体" w:hAnsi="宋体" w:eastAsia="宋体" w:cs="宋体"/>
                <w:color w:val="000000"/>
                <w:kern w:val="0"/>
                <w:sz w:val="16"/>
                <w:szCs w:val="16"/>
              </w:rPr>
              <w:t>　</w:t>
            </w:r>
          </w:p>
        </w:tc>
      </w:tr>
      <w:tr>
        <w:tblPrEx>
          <w:tblCellMar>
            <w:top w:w="0" w:type="dxa"/>
            <w:left w:w="108" w:type="dxa"/>
            <w:bottom w:w="0" w:type="dxa"/>
            <w:right w:w="108" w:type="dxa"/>
          </w:tblCellMar>
        </w:tblPrEx>
        <w:trPr>
          <w:trHeight w:val="284" w:hRule="exact"/>
        </w:trPr>
        <w:tc>
          <w:tcPr>
            <w:tcW w:w="4545"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775"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638.9</w:t>
            </w:r>
          </w:p>
        </w:tc>
        <w:tc>
          <w:tcPr>
            <w:tcW w:w="9525"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769"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16"/>
                <w:szCs w:val="16"/>
                <w:lang w:val="en-US" w:eastAsia="zh-CN"/>
              </w:rPr>
            </w:pPr>
            <w:r>
              <w:rPr>
                <w:rFonts w:hint="eastAsia" w:ascii="宋体" w:hAnsi="宋体" w:eastAsia="宋体" w:cs="宋体"/>
                <w:color w:val="000000"/>
                <w:kern w:val="0"/>
                <w:sz w:val="16"/>
                <w:szCs w:val="16"/>
                <w:lang w:val="en-US" w:eastAsia="zh-CN"/>
              </w:rPr>
              <w:t>407.6</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CellMar>
            <w:top w:w="0" w:type="dxa"/>
            <w:left w:w="108" w:type="dxa"/>
            <w:bottom w:w="0" w:type="dxa"/>
            <w:right w:w="108" w:type="dxa"/>
          </w:tblCellMar>
        </w:tblPrEx>
        <w:trPr>
          <w:gridAfter w:val="1"/>
          <w:wAfter w:w="297" w:type="dxa"/>
          <w:trHeight w:val="690" w:hRule="atLeast"/>
        </w:trPr>
        <w:tc>
          <w:tcPr>
            <w:tcW w:w="15317" w:type="dxa"/>
            <w:gridSpan w:val="17"/>
            <w:tcBorders>
              <w:top w:val="nil"/>
              <w:left w:val="nil"/>
              <w:bottom w:val="nil"/>
              <w:right w:val="nil"/>
            </w:tcBorders>
            <w:shd w:val="clear" w:color="auto" w:fill="FFFFFF"/>
            <w:vAlign w:val="center"/>
          </w:tcPr>
          <w:p>
            <w:pPr>
              <w:widowControl/>
              <w:jc w:val="center"/>
              <w:textAlignment w:val="center"/>
              <w:rPr>
                <w:rFonts w:ascii="华文中宋" w:hAnsi="华文中宋" w:eastAsia="华文中宋" w:cs="华文中宋"/>
                <w:color w:val="000000"/>
                <w:kern w:val="0"/>
                <w:sz w:val="32"/>
                <w:szCs w:val="32"/>
              </w:rPr>
            </w:pPr>
          </w:p>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政府性基金预算财政拨款收入支出决算表</w:t>
            </w:r>
          </w:p>
        </w:tc>
      </w:tr>
      <w:tr>
        <w:tblPrEx>
          <w:tblCellMar>
            <w:top w:w="0" w:type="dxa"/>
            <w:left w:w="108" w:type="dxa"/>
            <w:bottom w:w="0" w:type="dxa"/>
            <w:right w:w="108" w:type="dxa"/>
          </w:tblCellMar>
        </w:tblPrEx>
        <w:trPr>
          <w:gridAfter w:val="1"/>
          <w:wAfter w:w="297" w:type="dxa"/>
          <w:trHeight w:val="345" w:hRule="atLeast"/>
        </w:trPr>
        <w:tc>
          <w:tcPr>
            <w:tcW w:w="968"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38"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1360" w:type="dxa"/>
            <w:gridSpan w:val="2"/>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199" w:type="dxa"/>
            <w:gridSpan w:val="2"/>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039" w:type="dxa"/>
            <w:gridSpan w:val="3"/>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49" w:type="dxa"/>
            <w:gridSpan w:val="2"/>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87" w:type="dxa"/>
            <w:gridSpan w:val="3"/>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006"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71" w:type="dxa"/>
            <w:gridSpan w:val="2"/>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公开07表</w:t>
            </w:r>
          </w:p>
        </w:tc>
      </w:tr>
      <w:tr>
        <w:tblPrEx>
          <w:tblCellMar>
            <w:top w:w="0" w:type="dxa"/>
            <w:left w:w="108" w:type="dxa"/>
            <w:bottom w:w="0" w:type="dxa"/>
            <w:right w:w="108" w:type="dxa"/>
          </w:tblCellMar>
        </w:tblPrEx>
        <w:trPr>
          <w:gridAfter w:val="1"/>
          <w:wAfter w:w="297" w:type="dxa"/>
          <w:trHeight w:val="690" w:hRule="atLeast"/>
        </w:trPr>
        <w:tc>
          <w:tcPr>
            <w:tcW w:w="2566" w:type="dxa"/>
            <w:gridSpan w:val="4"/>
            <w:tcBorders>
              <w:top w:val="nil"/>
              <w:left w:val="nil"/>
              <w:bottom w:val="nil"/>
              <w:right w:val="nil"/>
            </w:tcBorders>
            <w:shd w:val="clear" w:color="auto" w:fill="FFFFFF"/>
            <w:noWrap/>
            <w:vAlign w:val="center"/>
          </w:tcPr>
          <w:p>
            <w:pPr>
              <w:jc w:val="center"/>
              <w:rPr>
                <w:rFonts w:ascii="宋体" w:hAnsi="宋体" w:eastAsia="宋体" w:cs="宋体"/>
                <w:color w:val="000000"/>
                <w:sz w:val="20"/>
                <w:szCs w:val="20"/>
              </w:rPr>
            </w:pPr>
            <w:r>
              <w:rPr>
                <w:rFonts w:hint="eastAsia" w:ascii="宋体" w:hAnsi="宋体" w:eastAsia="宋体" w:cs="宋体"/>
                <w:color w:val="000000"/>
                <w:kern w:val="0"/>
                <w:sz w:val="20"/>
                <w:szCs w:val="20"/>
              </w:rPr>
              <w:t>部门：道县</w:t>
            </w:r>
            <w:r>
              <w:rPr>
                <w:rFonts w:hint="eastAsia" w:ascii="宋体" w:hAnsi="宋体" w:eastAsia="宋体" w:cs="宋体"/>
                <w:color w:val="000000"/>
                <w:kern w:val="0"/>
                <w:sz w:val="20"/>
                <w:szCs w:val="20"/>
                <w:lang w:eastAsia="zh-CN"/>
              </w:rPr>
              <w:t>万家庄</w:t>
            </w:r>
            <w:r>
              <w:rPr>
                <w:rFonts w:hint="eastAsia" w:ascii="宋体" w:hAnsi="宋体" w:eastAsia="宋体" w:cs="宋体"/>
                <w:color w:val="000000"/>
                <w:kern w:val="0"/>
                <w:sz w:val="20"/>
                <w:szCs w:val="20"/>
              </w:rPr>
              <w:t>街道办事处</w:t>
            </w:r>
          </w:p>
        </w:tc>
        <w:tc>
          <w:tcPr>
            <w:tcW w:w="2199" w:type="dxa"/>
            <w:gridSpan w:val="2"/>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039" w:type="dxa"/>
            <w:gridSpan w:val="3"/>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49" w:type="dxa"/>
            <w:gridSpan w:val="2"/>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87" w:type="dxa"/>
            <w:gridSpan w:val="3"/>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006"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2171" w:type="dxa"/>
            <w:gridSpan w:val="2"/>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gridAfter w:val="1"/>
          <w:wAfter w:w="297" w:type="dxa"/>
          <w:trHeight w:val="459" w:hRule="atLeast"/>
        </w:trPr>
        <w:tc>
          <w:tcPr>
            <w:tcW w:w="25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19"/>
                <w:rFonts w:hint="default"/>
              </w:rPr>
              <w:t xml:space="preserve">   </w:t>
            </w:r>
            <w:r>
              <w:rPr>
                <w:rStyle w:val="20"/>
                <w:rFonts w:hint="default"/>
              </w:rPr>
              <w:t>目</w:t>
            </w:r>
          </w:p>
        </w:tc>
        <w:tc>
          <w:tcPr>
            <w:tcW w:w="219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年初结转和结余</w:t>
            </w:r>
          </w:p>
        </w:tc>
        <w:tc>
          <w:tcPr>
            <w:tcW w:w="203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本年收入</w:t>
            </w:r>
          </w:p>
        </w:tc>
        <w:tc>
          <w:tcPr>
            <w:tcW w:w="634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c>
          <w:tcPr>
            <w:tcW w:w="217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年末结转和结余</w:t>
            </w:r>
          </w:p>
        </w:tc>
      </w:tr>
      <w:tr>
        <w:tblPrEx>
          <w:tblCellMar>
            <w:top w:w="0" w:type="dxa"/>
            <w:left w:w="108" w:type="dxa"/>
            <w:bottom w:w="0" w:type="dxa"/>
            <w:right w:w="108" w:type="dxa"/>
          </w:tblCellMar>
        </w:tblPrEx>
        <w:trPr>
          <w:gridAfter w:val="1"/>
          <w:wAfter w:w="297" w:type="dxa"/>
          <w:trHeight w:val="609" w:hRule="atLeast"/>
        </w:trPr>
        <w:tc>
          <w:tcPr>
            <w:tcW w:w="120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13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2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3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4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小计</w:t>
            </w:r>
          </w:p>
        </w:tc>
        <w:tc>
          <w:tcPr>
            <w:tcW w:w="21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20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c>
          <w:tcPr>
            <w:tcW w:w="21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409" w:hRule="atLeast"/>
        </w:trPr>
        <w:tc>
          <w:tcPr>
            <w:tcW w:w="12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3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509" w:hRule="atLeast"/>
        </w:trPr>
        <w:tc>
          <w:tcPr>
            <w:tcW w:w="120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3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4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7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509" w:hRule="atLeast"/>
        </w:trPr>
        <w:tc>
          <w:tcPr>
            <w:tcW w:w="25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2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2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4</w:t>
            </w: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5</w:t>
            </w: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6</w:t>
            </w:r>
          </w:p>
        </w:tc>
      </w:tr>
      <w:tr>
        <w:tblPrEx>
          <w:tblCellMar>
            <w:top w:w="0" w:type="dxa"/>
            <w:left w:w="108" w:type="dxa"/>
            <w:bottom w:w="0" w:type="dxa"/>
            <w:right w:w="108" w:type="dxa"/>
          </w:tblCellMar>
        </w:tblPrEx>
        <w:trPr>
          <w:gridAfter w:val="1"/>
          <w:wAfter w:w="297" w:type="dxa"/>
          <w:trHeight w:val="509" w:hRule="atLeast"/>
        </w:trPr>
        <w:tc>
          <w:tcPr>
            <w:tcW w:w="25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509" w:hRule="atLeast"/>
        </w:trPr>
        <w:tc>
          <w:tcPr>
            <w:tcW w:w="15317"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r>
              <w:rPr>
                <w:rFonts w:hint="eastAsia" w:ascii="楷体" w:hAnsi="楷体" w:eastAsia="楷体" w:cs="楷体"/>
                <w:b/>
                <w:bCs/>
                <w:kern w:val="0"/>
                <w:sz w:val="24"/>
                <w:szCs w:val="24"/>
              </w:rPr>
              <w:t>我单位没有政府性基金收入，也没有使用政府性基金安排的支出，故本表无数据。</w:t>
            </w:r>
          </w:p>
        </w:tc>
      </w:tr>
      <w:tr>
        <w:tblPrEx>
          <w:tblCellMar>
            <w:top w:w="0" w:type="dxa"/>
            <w:left w:w="108" w:type="dxa"/>
            <w:bottom w:w="0" w:type="dxa"/>
            <w:right w:w="108" w:type="dxa"/>
          </w:tblCellMar>
        </w:tblPrEx>
        <w:trPr>
          <w:gridAfter w:val="1"/>
          <w:wAfter w:w="297" w:type="dxa"/>
          <w:trHeight w:val="509" w:hRule="atLeast"/>
        </w:trPr>
        <w:tc>
          <w:tcPr>
            <w:tcW w:w="1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509" w:hRule="atLeast"/>
        </w:trPr>
        <w:tc>
          <w:tcPr>
            <w:tcW w:w="1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509" w:hRule="atLeast"/>
        </w:trPr>
        <w:tc>
          <w:tcPr>
            <w:tcW w:w="1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509" w:hRule="atLeast"/>
        </w:trPr>
        <w:tc>
          <w:tcPr>
            <w:tcW w:w="1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509" w:hRule="atLeast"/>
        </w:trPr>
        <w:tc>
          <w:tcPr>
            <w:tcW w:w="12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13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21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gridAfter w:val="1"/>
          <w:wAfter w:w="297" w:type="dxa"/>
          <w:trHeight w:val="725" w:hRule="atLeast"/>
        </w:trPr>
        <w:tc>
          <w:tcPr>
            <w:tcW w:w="15317" w:type="dxa"/>
            <w:gridSpan w:val="17"/>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注：本表反映部门本年度政府性基金预算财政拨款收入、支出及结转和结余情况。</w:t>
            </w:r>
          </w:p>
          <w:p>
            <w:pPr>
              <w:widowControl/>
              <w:jc w:val="left"/>
              <w:textAlignment w:val="center"/>
              <w:rPr>
                <w:rFonts w:ascii="宋体" w:hAnsi="宋体" w:eastAsia="宋体" w:cs="宋体"/>
                <w:color w:val="000000"/>
                <w:kern w:val="0"/>
                <w:sz w:val="24"/>
                <w:szCs w:val="24"/>
              </w:rPr>
            </w:pPr>
          </w:p>
          <w:p>
            <w:pPr>
              <w:widowControl/>
              <w:jc w:val="left"/>
              <w:textAlignment w:val="center"/>
              <w:rPr>
                <w:rFonts w:ascii="宋体" w:hAnsi="宋体" w:eastAsia="宋体" w:cs="宋体"/>
                <w:color w:val="000000"/>
                <w:kern w:val="0"/>
                <w:sz w:val="24"/>
                <w:szCs w:val="24"/>
              </w:rPr>
            </w:pPr>
          </w:p>
        </w:tc>
      </w:tr>
    </w:tbl>
    <w:p>
      <w:pPr>
        <w:widowControl/>
        <w:jc w:val="center"/>
        <w:rPr>
          <w:rFonts w:ascii="Times New Roman" w:hAnsi="Times New Roman" w:eastAsia="方正小标宋_GBK" w:cs="Times New Roman"/>
          <w:color w:val="000000"/>
          <w:kern w:val="0"/>
          <w:sz w:val="36"/>
          <w:szCs w:val="36"/>
        </w:rPr>
      </w:pPr>
    </w:p>
    <w:p>
      <w:pPr>
        <w:widowControl/>
        <w:jc w:val="center"/>
        <w:rPr>
          <w:rFonts w:ascii="Times New Roman" w:hAnsi="Times New Roman" w:eastAsia="方正小标宋_GBK" w:cs="Times New Roman"/>
          <w:color w:val="000000"/>
          <w:kern w:val="0"/>
          <w:sz w:val="36"/>
          <w:szCs w:val="36"/>
        </w:rPr>
      </w:pPr>
    </w:p>
    <w:tbl>
      <w:tblPr>
        <w:tblStyle w:val="12"/>
        <w:tblW w:w="15120" w:type="dxa"/>
        <w:tblInd w:w="93" w:type="dxa"/>
        <w:tblLayout w:type="autofit"/>
        <w:tblCellMar>
          <w:top w:w="0" w:type="dxa"/>
          <w:left w:w="108" w:type="dxa"/>
          <w:bottom w:w="0" w:type="dxa"/>
          <w:right w:w="108" w:type="dxa"/>
        </w:tblCellMar>
      </w:tblPr>
      <w:tblGrid>
        <w:gridCol w:w="2816"/>
        <w:gridCol w:w="636"/>
        <w:gridCol w:w="2043"/>
        <w:gridCol w:w="2927"/>
        <w:gridCol w:w="2927"/>
        <w:gridCol w:w="3771"/>
      </w:tblGrid>
      <w:tr>
        <w:tblPrEx>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国有资本经营预算财政拨款支出决算表</w:t>
            </w:r>
          </w:p>
        </w:tc>
      </w:tr>
      <w:tr>
        <w:tblPrEx>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701"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公开08表</w:t>
            </w:r>
          </w:p>
        </w:tc>
      </w:tr>
      <w:tr>
        <w:tblPrEx>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部门：道县</w:t>
            </w:r>
            <w:r>
              <w:rPr>
                <w:rFonts w:hint="eastAsia" w:ascii="宋体" w:hAnsi="宋体" w:eastAsia="宋体" w:cs="宋体"/>
                <w:color w:val="000000"/>
                <w:kern w:val="0"/>
                <w:sz w:val="20"/>
                <w:szCs w:val="20"/>
                <w:lang w:eastAsia="zh-CN"/>
              </w:rPr>
              <w:t>万家庄</w:t>
            </w:r>
            <w:r>
              <w:rPr>
                <w:rFonts w:hint="eastAsia" w:ascii="宋体" w:hAnsi="宋体" w:eastAsia="宋体" w:cs="宋体"/>
                <w:color w:val="000000"/>
                <w:kern w:val="0"/>
                <w:sz w:val="20"/>
                <w:szCs w:val="20"/>
              </w:rPr>
              <w:t>街道办事处</w:t>
            </w:r>
          </w:p>
        </w:tc>
        <w:tc>
          <w:tcPr>
            <w:tcW w:w="701"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2292" w:type="dxa"/>
            <w:tcBorders>
              <w:top w:val="nil"/>
              <w:left w:val="nil"/>
              <w:bottom w:val="nil"/>
              <w:right w:val="nil"/>
            </w:tcBorders>
            <w:shd w:val="clear" w:color="auto" w:fill="FFFFFF"/>
            <w:vAlign w:val="center"/>
          </w:tcPr>
          <w:p>
            <w:pPr>
              <w:jc w:val="cente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3315"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Fonts w:hint="eastAsia" w:ascii="宋体" w:hAnsi="宋体" w:eastAsia="宋体" w:cs="宋体"/>
                <w:color w:val="000000"/>
                <w:kern w:val="0"/>
                <w:sz w:val="22"/>
              </w:rPr>
              <w:t xml:space="preserve">   </w:t>
            </w:r>
            <w:r>
              <w:rPr>
                <w:rStyle w:val="21"/>
                <w:rFonts w:hint="default"/>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r>
      <w:tr>
        <w:tblPrEx>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r>
      <w:tr>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r>
      <w:tr>
        <w:tblPrEx>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151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r>
              <w:rPr>
                <w:rFonts w:hint="eastAsia" w:ascii="楷体" w:hAnsi="楷体" w:eastAsia="楷体" w:cs="楷体"/>
                <w:b/>
                <w:bCs/>
                <w:kern w:val="0"/>
                <w:sz w:val="24"/>
                <w:szCs w:val="24"/>
              </w:rPr>
              <w:t>我单位没有使用国有资本经营预算安排的支出，故本表无数据。</w:t>
            </w: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0"/>
                <w:szCs w:val="20"/>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4"/>
                <w:szCs w:val="24"/>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4"/>
                <w:szCs w:val="24"/>
              </w:rPr>
            </w:pPr>
          </w:p>
        </w:tc>
      </w:tr>
      <w:tr>
        <w:tblPrEx>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注：本表反映部门本年度国有资本经营预算财政拨款支出情况。</w:t>
            </w:r>
          </w:p>
          <w:p>
            <w:pPr>
              <w:widowControl/>
              <w:jc w:val="left"/>
              <w:textAlignment w:val="center"/>
              <w:rPr>
                <w:rFonts w:ascii="宋体" w:hAnsi="宋体" w:eastAsia="宋体" w:cs="宋体"/>
                <w:color w:val="000000"/>
                <w:kern w:val="0"/>
                <w:sz w:val="24"/>
                <w:szCs w:val="24"/>
              </w:rPr>
            </w:pPr>
          </w:p>
          <w:p>
            <w:pPr>
              <w:widowControl/>
              <w:jc w:val="left"/>
              <w:textAlignment w:val="center"/>
              <w:rPr>
                <w:rFonts w:ascii="宋体" w:hAnsi="宋体" w:eastAsia="宋体" w:cs="宋体"/>
                <w:color w:val="000000"/>
                <w:kern w:val="0"/>
                <w:sz w:val="24"/>
                <w:szCs w:val="24"/>
              </w:rPr>
            </w:pPr>
          </w:p>
        </w:tc>
      </w:tr>
    </w:tbl>
    <w:p>
      <w:pPr>
        <w:widowControl/>
        <w:jc w:val="center"/>
        <w:rPr>
          <w:rFonts w:ascii="Times New Roman" w:hAnsi="Times New Roman" w:eastAsia="方正小标宋_GBK" w:cs="Times New Roman"/>
          <w:color w:val="000000"/>
          <w:kern w:val="0"/>
          <w:sz w:val="36"/>
          <w:szCs w:val="36"/>
        </w:rPr>
      </w:pPr>
    </w:p>
    <w:tbl>
      <w:tblPr>
        <w:tblStyle w:val="12"/>
        <w:tblW w:w="15140" w:type="dxa"/>
        <w:tblInd w:w="93" w:type="dxa"/>
        <w:tblLayout w:type="autofit"/>
        <w:tblCellMar>
          <w:top w:w="0" w:type="dxa"/>
          <w:left w:w="108" w:type="dxa"/>
          <w:bottom w:w="0" w:type="dxa"/>
          <w:right w:w="108" w:type="dxa"/>
        </w:tblCellMar>
      </w:tblPr>
      <w:tblGrid>
        <w:gridCol w:w="2816"/>
        <w:gridCol w:w="1180"/>
        <w:gridCol w:w="1088"/>
        <w:gridCol w:w="1088"/>
        <w:gridCol w:w="1088"/>
        <w:gridCol w:w="1088"/>
        <w:gridCol w:w="1088"/>
        <w:gridCol w:w="1180"/>
        <w:gridCol w:w="1088"/>
        <w:gridCol w:w="1088"/>
        <w:gridCol w:w="1088"/>
        <w:gridCol w:w="1260"/>
      </w:tblGrid>
      <w:tr>
        <w:tblPrEx>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widowControl/>
              <w:textAlignment w:val="center"/>
              <w:rPr>
                <w:rFonts w:ascii="华文中宋" w:hAnsi="华文中宋" w:eastAsia="华文中宋" w:cs="华文中宋"/>
                <w:color w:val="000000"/>
                <w:kern w:val="0"/>
                <w:sz w:val="32"/>
                <w:szCs w:val="32"/>
              </w:rPr>
            </w:pPr>
          </w:p>
          <w:p>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财政拨款“三公”经费支出决算表</w:t>
            </w:r>
          </w:p>
        </w:tc>
      </w:tr>
      <w:tr>
        <w:tblPrEx>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公开09表</w:t>
            </w:r>
          </w:p>
        </w:tc>
      </w:tr>
      <w:tr>
        <w:tblPrEx>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部门：道县</w:t>
            </w:r>
            <w:r>
              <w:rPr>
                <w:rFonts w:hint="eastAsia" w:ascii="宋体" w:hAnsi="宋体" w:eastAsia="宋体" w:cs="宋体"/>
                <w:color w:val="000000"/>
                <w:kern w:val="0"/>
                <w:sz w:val="20"/>
                <w:szCs w:val="20"/>
                <w:lang w:eastAsia="zh-CN"/>
              </w:rPr>
              <w:t>万家庄</w:t>
            </w:r>
            <w:r>
              <w:rPr>
                <w:rFonts w:hint="eastAsia" w:ascii="宋体" w:hAnsi="宋体" w:eastAsia="宋体" w:cs="宋体"/>
                <w:color w:val="000000"/>
                <w:kern w:val="0"/>
                <w:sz w:val="20"/>
                <w:szCs w:val="20"/>
              </w:rPr>
              <w:t>街道办事处</w:t>
            </w: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tblPrEx>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tblPrEx>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rPr>
            </w:pPr>
          </w:p>
        </w:tc>
      </w:tr>
      <w:tr>
        <w:tblPrEx>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r>
      <w:tr>
        <w:tblPrEx>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4.5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color w:val="000000"/>
                <w:sz w:val="22"/>
                <w:lang w:eastAsia="zh-CN"/>
              </w:rPr>
            </w:pPr>
            <w:r>
              <w:rPr>
                <w:rFonts w:hint="eastAsia" w:ascii="宋体" w:hAnsi="宋体" w:eastAsia="宋体" w:cs="宋体"/>
                <w:color w:val="000000"/>
                <w:sz w:val="22"/>
                <w:lang w:val="en-US" w:eastAsia="zh-CN"/>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color w:val="000000"/>
                <w:sz w:val="22"/>
                <w:lang w:val="en-US" w:eastAsia="zh-CN"/>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4</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r>
      <w:tr>
        <w:tblPrEx>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6"/>
        <w:rPr>
          <w:sz w:val="72"/>
          <w:szCs w:val="72"/>
        </w:rPr>
      </w:pPr>
    </w:p>
    <w:p>
      <w:pPr>
        <w:pStyle w:val="16"/>
        <w:rPr>
          <w:sz w:val="72"/>
          <w:szCs w:val="72"/>
        </w:rPr>
      </w:pPr>
    </w:p>
    <w:p>
      <w:pPr>
        <w:pStyle w:val="16"/>
        <w:rPr>
          <w:sz w:val="72"/>
          <w:szCs w:val="72"/>
        </w:rPr>
      </w:pPr>
    </w:p>
    <w:p>
      <w:pPr>
        <w:pStyle w:val="16"/>
        <w:rPr>
          <w:sz w:val="72"/>
          <w:szCs w:val="72"/>
        </w:rPr>
      </w:pPr>
    </w:p>
    <w:p>
      <w:pPr>
        <w:pStyle w:val="16"/>
        <w:jc w:val="center"/>
        <w:rPr>
          <w:sz w:val="72"/>
          <w:szCs w:val="72"/>
        </w:rPr>
      </w:pPr>
    </w:p>
    <w:p>
      <w:pPr>
        <w:pStyle w:val="16"/>
        <w:jc w:val="center"/>
        <w:rPr>
          <w:rFonts w:ascii="方正小标宋_GBK" w:hAnsi="方正小标宋_GBK" w:eastAsia="方正小标宋_GBK" w:cs="方正小标宋_GBK"/>
          <w:sz w:val="72"/>
          <w:szCs w:val="72"/>
        </w:rPr>
      </w:pPr>
    </w:p>
    <w:p>
      <w:pPr>
        <w:pStyle w:val="16"/>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6"/>
        <w:jc w:val="center"/>
        <w:rPr>
          <w:rFonts w:ascii="方正小标宋_GBK" w:hAnsi="方正小标宋_GBK" w:eastAsia="方正小标宋_GBK" w:cs="方正小标宋_GBK"/>
          <w:sz w:val="70"/>
          <w:szCs w:val="70"/>
        </w:rPr>
      </w:pPr>
    </w:p>
    <w:p>
      <w:pPr>
        <w:pStyle w:val="16"/>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sz w:val="32"/>
          <w:szCs w:val="32"/>
        </w:rPr>
      </w:pPr>
      <w:r>
        <w:rPr>
          <w:rFonts w:hint="eastAsia" w:ascii="方正小标宋_GBK" w:hAnsi="方正小标宋_GBK" w:eastAsia="方正小标宋_GBK" w:cs="方正小标宋_GBK"/>
          <w:sz w:val="70"/>
          <w:szCs w:val="70"/>
        </w:rPr>
        <w:br w:type="page"/>
      </w:r>
    </w:p>
    <w:p>
      <w:pPr>
        <w:pStyle w:val="16"/>
        <w:spacing w:line="600" w:lineRule="exact"/>
        <w:ind w:firstLine="640" w:firstLineChars="200"/>
        <w:rPr>
          <w:rFonts w:hint="eastAsia" w:hAnsi="黑体"/>
          <w:bCs/>
          <w:sz w:val="32"/>
          <w:szCs w:val="32"/>
        </w:rPr>
      </w:pPr>
      <w:r>
        <w:rPr>
          <w:rFonts w:hint="eastAsia" w:hAnsi="黑体"/>
          <w:bCs/>
          <w:sz w:val="32"/>
          <w:szCs w:val="32"/>
        </w:rPr>
        <w:t>一、决算信息来源说明</w:t>
      </w:r>
    </w:p>
    <w:p>
      <w:pPr>
        <w:pStyle w:val="16"/>
        <w:spacing w:line="600" w:lineRule="exact"/>
        <w:ind w:firstLine="640" w:firstLineChars="200"/>
        <w:rPr>
          <w:rFonts w:hint="eastAsia" w:hAnsi="黑体"/>
          <w:bCs/>
          <w:sz w:val="32"/>
          <w:szCs w:val="32"/>
        </w:rPr>
      </w:pPr>
      <w:r>
        <w:rPr>
          <w:rFonts w:hint="eastAsia" w:hAnsi="黑体"/>
          <w:bCs/>
          <w:sz w:val="32"/>
          <w:szCs w:val="32"/>
        </w:rPr>
        <w:t>本套决算依据本单位登记完整、核对无误的账簿记录和其他有关会计核算资料编制，账证相符、账实相符、账表相符、表表相符，真实、准确、完整地反映了本单位预算执行结果和财务状况。</w:t>
      </w:r>
    </w:p>
    <w:p>
      <w:pPr>
        <w:pStyle w:val="16"/>
        <w:spacing w:line="600" w:lineRule="exact"/>
        <w:ind w:firstLine="640" w:firstLineChars="200"/>
        <w:rPr>
          <w:rFonts w:hint="eastAsia" w:hAnsi="黑体"/>
          <w:bCs/>
          <w:sz w:val="32"/>
          <w:szCs w:val="32"/>
        </w:rPr>
      </w:pPr>
      <w:r>
        <w:rPr>
          <w:rFonts w:hint="eastAsia" w:hAnsi="黑体"/>
          <w:bCs/>
          <w:sz w:val="32"/>
          <w:szCs w:val="32"/>
        </w:rPr>
        <w:t>（一）本套决算主表数据主要依据</w:t>
      </w:r>
    </w:p>
    <w:p>
      <w:pPr>
        <w:pStyle w:val="16"/>
        <w:spacing w:line="600" w:lineRule="exact"/>
        <w:ind w:firstLine="640" w:firstLineChars="200"/>
        <w:rPr>
          <w:rFonts w:hint="eastAsia" w:hAnsi="黑体"/>
          <w:bCs/>
          <w:sz w:val="32"/>
          <w:szCs w:val="32"/>
        </w:rPr>
      </w:pPr>
      <w:r>
        <w:rPr>
          <w:rFonts w:hint="eastAsia" w:hAnsi="黑体"/>
          <w:bCs/>
          <w:sz w:val="32"/>
          <w:szCs w:val="32"/>
        </w:rPr>
        <w:t>本单位会计账簿总账及明细账数据填列，预算数据依据本单位预、决算批复文件及预算调整文件填列。</w:t>
      </w:r>
    </w:p>
    <w:p>
      <w:pPr>
        <w:pStyle w:val="16"/>
        <w:spacing w:line="600" w:lineRule="exact"/>
        <w:ind w:firstLine="640" w:firstLineChars="200"/>
        <w:rPr>
          <w:rFonts w:hint="eastAsia" w:hAnsi="黑体"/>
          <w:bCs/>
          <w:sz w:val="32"/>
          <w:szCs w:val="32"/>
        </w:rPr>
      </w:pPr>
      <w:r>
        <w:rPr>
          <w:rFonts w:hint="eastAsia" w:hAnsi="黑体"/>
          <w:bCs/>
          <w:sz w:val="32"/>
          <w:szCs w:val="32"/>
        </w:rPr>
        <w:t>（二）本套决算附表数据主要依据</w:t>
      </w:r>
    </w:p>
    <w:p>
      <w:pPr>
        <w:pStyle w:val="16"/>
        <w:spacing w:line="600" w:lineRule="exact"/>
        <w:ind w:firstLine="640" w:firstLineChars="200"/>
        <w:rPr>
          <w:rFonts w:hint="eastAsia" w:hAnsi="黑体"/>
          <w:bCs/>
          <w:sz w:val="32"/>
          <w:szCs w:val="32"/>
        </w:rPr>
      </w:pPr>
      <w:r>
        <w:rPr>
          <w:rFonts w:hint="eastAsia" w:hAnsi="黑体"/>
          <w:bCs/>
          <w:sz w:val="32"/>
          <w:szCs w:val="32"/>
        </w:rPr>
        <w:t>本单位会计账簿、资产、人事台账及相关资料填列。</w:t>
      </w:r>
    </w:p>
    <w:p>
      <w:pPr>
        <w:pStyle w:val="16"/>
        <w:spacing w:line="600" w:lineRule="exact"/>
        <w:ind w:firstLine="640" w:firstLineChars="200"/>
        <w:rPr>
          <w:rFonts w:hint="eastAsia" w:hAnsi="黑体"/>
          <w:bCs/>
          <w:sz w:val="32"/>
          <w:szCs w:val="32"/>
        </w:rPr>
      </w:pPr>
      <w:r>
        <w:rPr>
          <w:rFonts w:hint="eastAsia" w:hAnsi="黑体"/>
          <w:bCs/>
          <w:sz w:val="32"/>
          <w:szCs w:val="32"/>
        </w:rPr>
        <w:t>二、决算编制基本情况</w:t>
      </w:r>
    </w:p>
    <w:p>
      <w:pPr>
        <w:pStyle w:val="16"/>
        <w:spacing w:line="600" w:lineRule="exact"/>
        <w:ind w:firstLine="640" w:firstLineChars="200"/>
        <w:rPr>
          <w:rFonts w:hint="eastAsia" w:hAnsi="黑体"/>
          <w:bCs/>
          <w:sz w:val="32"/>
          <w:szCs w:val="32"/>
        </w:rPr>
      </w:pPr>
      <w:r>
        <w:rPr>
          <w:rFonts w:hint="eastAsia" w:hAnsi="黑体"/>
          <w:bCs/>
          <w:sz w:val="32"/>
          <w:szCs w:val="32"/>
        </w:rPr>
        <w:t>本单位为道县财政局所属一级（按封面"单位预算级次"填列）预算单位，单位类型为行政单位（按封面"单位类型"填列），决算编报类型为单户表（按封面"报</w:t>
      </w:r>
      <w:bookmarkStart w:id="5" w:name="_GoBack"/>
      <w:bookmarkEnd w:id="5"/>
      <w:r>
        <w:rPr>
          <w:rFonts w:hint="eastAsia" w:hAnsi="黑体"/>
          <w:bCs/>
          <w:sz w:val="32"/>
          <w:szCs w:val="32"/>
        </w:rPr>
        <w:t>表小类"填列），按照政府会计准则制度会计制度填报决算数据（按封面"执行会计制度"填列）。</w:t>
      </w:r>
    </w:p>
    <w:p>
      <w:pPr>
        <w:pStyle w:val="16"/>
        <w:spacing w:line="600" w:lineRule="exact"/>
        <w:ind w:firstLine="640" w:firstLineChars="200"/>
        <w:rPr>
          <w:rFonts w:hint="eastAsia" w:hAnsi="黑体"/>
          <w:bCs/>
          <w:sz w:val="32"/>
          <w:szCs w:val="32"/>
        </w:rPr>
      </w:pPr>
      <w:r>
        <w:rPr>
          <w:rFonts w:hint="eastAsia" w:hAnsi="黑体"/>
          <w:bCs/>
          <w:sz w:val="32"/>
          <w:szCs w:val="32"/>
        </w:rPr>
        <w:t>纳入本套决算编制范围的独立核算单位共1个，比上年增减0个。</w:t>
      </w:r>
    </w:p>
    <w:p>
      <w:pPr>
        <w:pStyle w:val="16"/>
        <w:spacing w:line="600" w:lineRule="exact"/>
        <w:ind w:firstLine="640" w:firstLineChars="200"/>
        <w:rPr>
          <w:rFonts w:hint="eastAsia" w:hAnsi="黑体"/>
          <w:bCs/>
          <w:sz w:val="32"/>
          <w:szCs w:val="32"/>
        </w:rPr>
      </w:pPr>
      <w:r>
        <w:rPr>
          <w:rFonts w:hint="eastAsia" w:hAnsi="黑体"/>
          <w:bCs/>
          <w:sz w:val="32"/>
          <w:szCs w:val="32"/>
        </w:rPr>
        <w:t>三、基础数据核对情况</w:t>
      </w:r>
    </w:p>
    <w:p>
      <w:pPr>
        <w:pStyle w:val="16"/>
        <w:spacing w:line="600" w:lineRule="exact"/>
        <w:ind w:firstLine="640" w:firstLineChars="200"/>
        <w:rPr>
          <w:rFonts w:hint="eastAsia" w:hAnsi="黑体"/>
          <w:bCs/>
          <w:sz w:val="32"/>
          <w:szCs w:val="32"/>
        </w:rPr>
      </w:pPr>
      <w:r>
        <w:rPr>
          <w:rFonts w:hint="eastAsia" w:hAnsi="黑体"/>
          <w:bCs/>
          <w:sz w:val="32"/>
          <w:szCs w:val="32"/>
        </w:rPr>
        <w:t>（一）财政资金对账情况</w:t>
      </w:r>
    </w:p>
    <w:p>
      <w:pPr>
        <w:pStyle w:val="16"/>
        <w:spacing w:line="600" w:lineRule="exact"/>
        <w:ind w:firstLine="640" w:firstLineChars="200"/>
        <w:rPr>
          <w:rFonts w:hint="eastAsia" w:hAnsi="黑体"/>
          <w:bCs/>
          <w:sz w:val="32"/>
          <w:szCs w:val="32"/>
        </w:rPr>
      </w:pPr>
      <w:r>
        <w:rPr>
          <w:rFonts w:hint="eastAsia" w:hAnsi="黑体"/>
          <w:bCs/>
          <w:sz w:val="32"/>
          <w:szCs w:val="32"/>
        </w:rPr>
        <w:t>1．财政拨款核对情况</w:t>
      </w:r>
    </w:p>
    <w:p>
      <w:pPr>
        <w:pStyle w:val="16"/>
        <w:spacing w:line="600" w:lineRule="exact"/>
        <w:ind w:firstLine="640" w:firstLineChars="200"/>
        <w:rPr>
          <w:rFonts w:hint="eastAsia" w:hAnsi="黑体"/>
          <w:bCs/>
          <w:sz w:val="32"/>
          <w:szCs w:val="32"/>
        </w:rPr>
      </w:pPr>
      <w:r>
        <w:rPr>
          <w:rFonts w:hint="eastAsia" w:hAnsi="黑体"/>
          <w:bCs/>
          <w:sz w:val="32"/>
          <w:szCs w:val="32"/>
        </w:rPr>
        <w:t>（1）单位本年度实际收到的一般公共预算财政拨款收入880.45万元，财政部门拨款对账单880.45万元，差额0万元。</w:t>
      </w:r>
    </w:p>
    <w:p>
      <w:pPr>
        <w:pStyle w:val="16"/>
        <w:spacing w:line="600" w:lineRule="exact"/>
        <w:ind w:firstLine="640" w:firstLineChars="200"/>
        <w:rPr>
          <w:rFonts w:hint="eastAsia" w:hAnsi="黑体"/>
          <w:bCs/>
          <w:sz w:val="32"/>
          <w:szCs w:val="32"/>
        </w:rPr>
      </w:pPr>
      <w:r>
        <w:rPr>
          <w:rFonts w:hint="eastAsia" w:hAnsi="黑体"/>
          <w:bCs/>
          <w:sz w:val="32"/>
          <w:szCs w:val="32"/>
        </w:rPr>
        <w:t>本单位一般公共预算财政拨款收入与财政部门拨款对账单核对一致，无差额。</w:t>
      </w:r>
    </w:p>
    <w:p>
      <w:pPr>
        <w:pStyle w:val="16"/>
        <w:spacing w:line="600" w:lineRule="exact"/>
        <w:ind w:firstLine="640" w:firstLineChars="200"/>
        <w:rPr>
          <w:rFonts w:hint="eastAsia" w:hAnsi="黑体"/>
          <w:bCs/>
          <w:sz w:val="32"/>
          <w:szCs w:val="32"/>
        </w:rPr>
      </w:pPr>
      <w:r>
        <w:rPr>
          <w:rFonts w:hint="eastAsia" w:hAnsi="黑体"/>
          <w:bCs/>
          <w:sz w:val="32"/>
          <w:szCs w:val="32"/>
        </w:rPr>
        <w:t>（2）单位本年度政府性基金预算财政拨款收入0万元，财政部门拨款对账单0万元，差额0万元。</w:t>
      </w:r>
    </w:p>
    <w:p>
      <w:pPr>
        <w:pStyle w:val="16"/>
        <w:spacing w:line="600" w:lineRule="exact"/>
        <w:ind w:firstLine="640" w:firstLineChars="200"/>
        <w:rPr>
          <w:rFonts w:hint="eastAsia" w:hAnsi="黑体"/>
          <w:bCs/>
          <w:sz w:val="32"/>
          <w:szCs w:val="32"/>
        </w:rPr>
      </w:pPr>
      <w:r>
        <w:rPr>
          <w:rFonts w:hint="eastAsia" w:hAnsi="黑体"/>
          <w:bCs/>
          <w:sz w:val="32"/>
          <w:szCs w:val="32"/>
        </w:rPr>
        <w:t>本单位无政府性基金预算财政拨款收入。</w:t>
      </w:r>
    </w:p>
    <w:p>
      <w:pPr>
        <w:pStyle w:val="16"/>
        <w:spacing w:line="600" w:lineRule="exact"/>
        <w:ind w:firstLine="640" w:firstLineChars="200"/>
        <w:rPr>
          <w:rFonts w:hint="eastAsia" w:hAnsi="黑体"/>
          <w:bCs/>
          <w:sz w:val="32"/>
          <w:szCs w:val="32"/>
        </w:rPr>
      </w:pPr>
      <w:r>
        <w:rPr>
          <w:rFonts w:hint="eastAsia" w:hAnsi="黑体"/>
          <w:bCs/>
          <w:sz w:val="32"/>
          <w:szCs w:val="32"/>
        </w:rPr>
        <w:t>（3）单位本年度国有资本经营预算财政拨款收入0万元，财政部门拨款对账单0万元，差额0万元。</w:t>
      </w:r>
    </w:p>
    <w:p>
      <w:pPr>
        <w:pStyle w:val="16"/>
        <w:spacing w:line="600" w:lineRule="exact"/>
        <w:ind w:firstLine="640" w:firstLineChars="200"/>
        <w:rPr>
          <w:rFonts w:hint="eastAsia" w:hAnsi="黑体"/>
          <w:bCs/>
          <w:sz w:val="32"/>
          <w:szCs w:val="32"/>
        </w:rPr>
      </w:pPr>
      <w:r>
        <w:rPr>
          <w:rFonts w:hint="eastAsia" w:hAnsi="黑体"/>
          <w:bCs/>
          <w:sz w:val="32"/>
          <w:szCs w:val="32"/>
        </w:rPr>
        <w:t>本单位无国有资本经营预算财政拨款收入。</w:t>
      </w:r>
    </w:p>
    <w:p>
      <w:pPr>
        <w:pStyle w:val="16"/>
        <w:spacing w:line="600" w:lineRule="exact"/>
        <w:ind w:firstLine="640" w:firstLineChars="200"/>
        <w:rPr>
          <w:rFonts w:hint="eastAsia" w:hAnsi="黑体"/>
          <w:bCs/>
          <w:sz w:val="32"/>
          <w:szCs w:val="32"/>
        </w:rPr>
      </w:pPr>
      <w:r>
        <w:rPr>
          <w:rFonts w:hint="eastAsia" w:hAnsi="黑体"/>
          <w:bCs/>
          <w:sz w:val="32"/>
          <w:szCs w:val="32"/>
        </w:rPr>
        <w:t>2．其他需要说明的情况</w:t>
      </w:r>
    </w:p>
    <w:p>
      <w:pPr>
        <w:pStyle w:val="16"/>
        <w:spacing w:line="600" w:lineRule="exact"/>
        <w:ind w:firstLine="640" w:firstLineChars="200"/>
        <w:rPr>
          <w:rFonts w:hint="eastAsia" w:hAnsi="黑体"/>
          <w:bCs/>
          <w:sz w:val="32"/>
          <w:szCs w:val="32"/>
        </w:rPr>
      </w:pPr>
      <w:r>
        <w:rPr>
          <w:rFonts w:hint="eastAsia" w:hAnsi="黑体"/>
          <w:bCs/>
          <w:sz w:val="32"/>
          <w:szCs w:val="32"/>
        </w:rPr>
        <w:t>本单位其他收入213.31万元，为非本级财政拨款，已按规定纳入决算编制，与相关资金来源单位核对一致。</w:t>
      </w:r>
    </w:p>
    <w:p>
      <w:pPr>
        <w:pStyle w:val="16"/>
        <w:spacing w:line="600" w:lineRule="exact"/>
        <w:ind w:firstLine="640" w:firstLineChars="200"/>
        <w:rPr>
          <w:rFonts w:hint="eastAsia" w:hAnsi="黑体"/>
          <w:bCs/>
          <w:sz w:val="32"/>
          <w:szCs w:val="32"/>
        </w:rPr>
      </w:pPr>
      <w:r>
        <w:rPr>
          <w:rFonts w:hint="eastAsia" w:hAnsi="黑体"/>
          <w:bCs/>
          <w:sz w:val="32"/>
          <w:szCs w:val="32"/>
        </w:rPr>
        <w:t>（二）与上年指标核对情况</w:t>
      </w:r>
    </w:p>
    <w:p>
      <w:pPr>
        <w:pStyle w:val="16"/>
        <w:spacing w:line="600" w:lineRule="exact"/>
        <w:ind w:firstLine="640" w:firstLineChars="200"/>
        <w:rPr>
          <w:rFonts w:hint="eastAsia" w:hAnsi="黑体"/>
          <w:bCs/>
          <w:sz w:val="32"/>
          <w:szCs w:val="32"/>
        </w:rPr>
      </w:pPr>
      <w:r>
        <w:rPr>
          <w:rFonts w:hint="eastAsia" w:hAnsi="黑体"/>
          <w:bCs/>
          <w:sz w:val="32"/>
          <w:szCs w:val="32"/>
        </w:rPr>
        <w:t>1．全口径、一般公共预算财政拨款和政府性基金预算财政拨款的结转和结余资金本年年初数与上年年末数核对情况</w:t>
      </w:r>
    </w:p>
    <w:p>
      <w:pPr>
        <w:pStyle w:val="16"/>
        <w:spacing w:line="600" w:lineRule="exact"/>
        <w:ind w:firstLine="640" w:firstLineChars="200"/>
        <w:rPr>
          <w:rFonts w:hint="eastAsia" w:hAnsi="黑体"/>
          <w:bCs/>
          <w:sz w:val="32"/>
          <w:szCs w:val="32"/>
        </w:rPr>
      </w:pPr>
      <w:r>
        <w:rPr>
          <w:rFonts w:hint="eastAsia" w:hAnsi="黑体"/>
          <w:bCs/>
          <w:sz w:val="32"/>
          <w:szCs w:val="32"/>
        </w:rPr>
        <w:t>（1）财政拨款结转和结余</w:t>
      </w:r>
    </w:p>
    <w:p>
      <w:pPr>
        <w:pStyle w:val="16"/>
        <w:spacing w:line="600" w:lineRule="exact"/>
        <w:ind w:firstLine="640" w:firstLineChars="200"/>
        <w:rPr>
          <w:rFonts w:hint="eastAsia" w:hAnsi="黑体"/>
          <w:bCs/>
          <w:sz w:val="32"/>
          <w:szCs w:val="32"/>
        </w:rPr>
      </w:pPr>
      <w:r>
        <w:rPr>
          <w:rFonts w:hint="eastAsia" w:hAnsi="黑体"/>
          <w:bCs/>
          <w:sz w:val="32"/>
          <w:szCs w:val="32"/>
        </w:rPr>
        <w:t>项目</w:t>
      </w:r>
    </w:p>
    <w:p>
      <w:pPr>
        <w:pStyle w:val="16"/>
        <w:spacing w:line="600" w:lineRule="exact"/>
        <w:ind w:firstLine="640" w:firstLineChars="200"/>
        <w:rPr>
          <w:rFonts w:hint="eastAsia" w:hAnsi="黑体"/>
          <w:bCs/>
          <w:sz w:val="32"/>
          <w:szCs w:val="32"/>
        </w:rPr>
      </w:pPr>
      <w:r>
        <w:rPr>
          <w:rFonts w:hint="eastAsia" w:hAnsi="黑体"/>
          <w:bCs/>
          <w:sz w:val="32"/>
          <w:szCs w:val="32"/>
        </w:rPr>
        <w:t>上年年末数（元）</w:t>
      </w:r>
    </w:p>
    <w:p>
      <w:pPr>
        <w:pStyle w:val="16"/>
        <w:spacing w:line="600" w:lineRule="exact"/>
        <w:ind w:firstLine="640" w:firstLineChars="200"/>
        <w:rPr>
          <w:rFonts w:hint="eastAsia" w:hAnsi="黑体"/>
          <w:bCs/>
          <w:sz w:val="32"/>
          <w:szCs w:val="32"/>
        </w:rPr>
      </w:pPr>
      <w:r>
        <w:rPr>
          <w:rFonts w:hint="eastAsia" w:hAnsi="黑体"/>
          <w:bCs/>
          <w:sz w:val="32"/>
          <w:szCs w:val="32"/>
        </w:rPr>
        <w:t>本年年初数（元）</w:t>
      </w:r>
    </w:p>
    <w:p>
      <w:pPr>
        <w:pStyle w:val="16"/>
        <w:spacing w:line="600" w:lineRule="exact"/>
        <w:ind w:firstLine="640" w:firstLineChars="200"/>
        <w:rPr>
          <w:rFonts w:hint="eastAsia" w:hAnsi="黑体"/>
          <w:bCs/>
          <w:sz w:val="32"/>
          <w:szCs w:val="32"/>
        </w:rPr>
      </w:pPr>
      <w:r>
        <w:rPr>
          <w:rFonts w:hint="eastAsia" w:hAnsi="黑体"/>
          <w:bCs/>
          <w:sz w:val="32"/>
          <w:szCs w:val="32"/>
        </w:rPr>
        <w:t>差额（元）</w:t>
      </w:r>
    </w:p>
    <w:p>
      <w:pPr>
        <w:pStyle w:val="16"/>
        <w:spacing w:line="600" w:lineRule="exact"/>
        <w:ind w:firstLine="640" w:firstLineChars="200"/>
        <w:rPr>
          <w:rFonts w:hint="eastAsia" w:hAnsi="黑体"/>
          <w:bCs/>
          <w:sz w:val="32"/>
          <w:szCs w:val="32"/>
        </w:rPr>
      </w:pPr>
      <w:r>
        <w:rPr>
          <w:rFonts w:hint="eastAsia" w:hAnsi="黑体"/>
          <w:bCs/>
          <w:sz w:val="32"/>
          <w:szCs w:val="32"/>
        </w:rPr>
        <w:t>变动原因</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一般公共预算财政拨款结转</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一般公共预算财政拨款结余</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政府性基金预算财政拨款结转</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政府性基金预算财政拨款结余</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国有资本经营预算财政拨款结转</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国有资本经营预算财政拨款结余</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说明： 本单位2024年末财政拨款结转结余为0元，2025年初财政拨款结转结余为0元，无变动。</w:t>
      </w:r>
    </w:p>
    <w:p>
      <w:pPr>
        <w:pStyle w:val="16"/>
        <w:spacing w:line="600" w:lineRule="exact"/>
        <w:ind w:firstLine="640" w:firstLineChars="200"/>
        <w:rPr>
          <w:rFonts w:hint="eastAsia" w:hAnsi="黑体"/>
          <w:bCs/>
          <w:sz w:val="32"/>
          <w:szCs w:val="32"/>
        </w:rPr>
      </w:pPr>
      <w:r>
        <w:rPr>
          <w:rFonts w:hint="eastAsia" w:hAnsi="黑体"/>
          <w:bCs/>
          <w:sz w:val="32"/>
          <w:szCs w:val="32"/>
        </w:rPr>
        <w:t>（2）非财政拨款结余和专用结余</w:t>
      </w:r>
    </w:p>
    <w:p>
      <w:pPr>
        <w:pStyle w:val="16"/>
        <w:spacing w:line="600" w:lineRule="exact"/>
        <w:ind w:firstLine="640" w:firstLineChars="200"/>
        <w:rPr>
          <w:rFonts w:hint="eastAsia" w:hAnsi="黑体"/>
          <w:bCs/>
          <w:sz w:val="32"/>
          <w:szCs w:val="32"/>
        </w:rPr>
      </w:pPr>
      <w:r>
        <w:rPr>
          <w:rFonts w:hint="eastAsia" w:hAnsi="黑体"/>
          <w:bCs/>
          <w:sz w:val="32"/>
          <w:szCs w:val="32"/>
        </w:rPr>
        <w:t>项目</w:t>
      </w:r>
    </w:p>
    <w:p>
      <w:pPr>
        <w:pStyle w:val="16"/>
        <w:spacing w:line="600" w:lineRule="exact"/>
        <w:ind w:firstLine="640" w:firstLineChars="200"/>
        <w:rPr>
          <w:rFonts w:hint="eastAsia" w:hAnsi="黑体"/>
          <w:bCs/>
          <w:sz w:val="32"/>
          <w:szCs w:val="32"/>
        </w:rPr>
      </w:pPr>
      <w:r>
        <w:rPr>
          <w:rFonts w:hint="eastAsia" w:hAnsi="黑体"/>
          <w:bCs/>
          <w:sz w:val="32"/>
          <w:szCs w:val="32"/>
        </w:rPr>
        <w:t>上年年末数（元）</w:t>
      </w:r>
    </w:p>
    <w:p>
      <w:pPr>
        <w:pStyle w:val="16"/>
        <w:spacing w:line="600" w:lineRule="exact"/>
        <w:ind w:firstLine="640" w:firstLineChars="200"/>
        <w:rPr>
          <w:rFonts w:hint="eastAsia" w:hAnsi="黑体"/>
          <w:bCs/>
          <w:sz w:val="32"/>
          <w:szCs w:val="32"/>
        </w:rPr>
      </w:pPr>
      <w:r>
        <w:rPr>
          <w:rFonts w:hint="eastAsia" w:hAnsi="黑体"/>
          <w:bCs/>
          <w:sz w:val="32"/>
          <w:szCs w:val="32"/>
        </w:rPr>
        <w:t>本年年初数（元）</w:t>
      </w:r>
    </w:p>
    <w:p>
      <w:pPr>
        <w:pStyle w:val="16"/>
        <w:spacing w:line="600" w:lineRule="exact"/>
        <w:ind w:firstLine="640" w:firstLineChars="200"/>
        <w:rPr>
          <w:rFonts w:hint="eastAsia" w:hAnsi="黑体"/>
          <w:bCs/>
          <w:sz w:val="32"/>
          <w:szCs w:val="32"/>
        </w:rPr>
      </w:pPr>
      <w:r>
        <w:rPr>
          <w:rFonts w:hint="eastAsia" w:hAnsi="黑体"/>
          <w:bCs/>
          <w:sz w:val="32"/>
          <w:szCs w:val="32"/>
        </w:rPr>
        <w:t>差额（元）</w:t>
      </w:r>
    </w:p>
    <w:p>
      <w:pPr>
        <w:pStyle w:val="16"/>
        <w:spacing w:line="600" w:lineRule="exact"/>
        <w:ind w:firstLine="640" w:firstLineChars="200"/>
        <w:rPr>
          <w:rFonts w:hint="eastAsia" w:hAnsi="黑体"/>
          <w:bCs/>
          <w:sz w:val="32"/>
          <w:szCs w:val="32"/>
        </w:rPr>
      </w:pPr>
      <w:r>
        <w:rPr>
          <w:rFonts w:hint="eastAsia" w:hAnsi="黑体"/>
          <w:bCs/>
          <w:sz w:val="32"/>
          <w:szCs w:val="32"/>
        </w:rPr>
        <w:t>变动原因</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非财政拨款结转</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非财政拨款结余</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专用结余</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说明： 本单位2024年末非财政拨款结转结余为0元，2025年初非财政拨款结转结余为0元，无变动。</w:t>
      </w:r>
    </w:p>
    <w:p>
      <w:pPr>
        <w:pStyle w:val="16"/>
        <w:spacing w:line="600" w:lineRule="exact"/>
        <w:ind w:firstLine="640" w:firstLineChars="200"/>
        <w:rPr>
          <w:rFonts w:hint="eastAsia" w:hAnsi="黑体"/>
          <w:bCs/>
          <w:sz w:val="32"/>
          <w:szCs w:val="32"/>
        </w:rPr>
      </w:pPr>
      <w:r>
        <w:rPr>
          <w:rFonts w:hint="eastAsia" w:hAnsi="黑体"/>
          <w:bCs/>
          <w:sz w:val="32"/>
          <w:szCs w:val="32"/>
        </w:rPr>
        <w:t>2．主要指标上下年变动幅度超过10%的情况说明</w:t>
      </w:r>
    </w:p>
    <w:p>
      <w:pPr>
        <w:pStyle w:val="16"/>
        <w:spacing w:line="600" w:lineRule="exact"/>
        <w:ind w:firstLine="640" w:firstLineChars="200"/>
        <w:rPr>
          <w:rFonts w:hint="eastAsia" w:hAnsi="黑体"/>
          <w:bCs/>
          <w:sz w:val="32"/>
          <w:szCs w:val="32"/>
        </w:rPr>
      </w:pPr>
      <w:r>
        <w:rPr>
          <w:rFonts w:hint="eastAsia" w:hAnsi="黑体"/>
          <w:bCs/>
          <w:sz w:val="32"/>
          <w:szCs w:val="32"/>
        </w:rPr>
        <w:t>根据CS02主要指标变动情况表，以下指标上下年变动幅度超过10%，具体核实及原因说明如下：</w:t>
      </w:r>
    </w:p>
    <w:p>
      <w:pPr>
        <w:pStyle w:val="16"/>
        <w:spacing w:line="600" w:lineRule="exact"/>
        <w:ind w:firstLine="640" w:firstLineChars="200"/>
        <w:rPr>
          <w:rFonts w:hint="eastAsia" w:hAnsi="黑体"/>
          <w:bCs/>
          <w:sz w:val="32"/>
          <w:szCs w:val="32"/>
        </w:rPr>
      </w:pPr>
      <w:r>
        <w:rPr>
          <w:rFonts w:hint="eastAsia" w:hAnsi="黑体"/>
          <w:bCs/>
          <w:sz w:val="32"/>
          <w:szCs w:val="32"/>
        </w:rPr>
        <w:t>指标项目</w:t>
      </w:r>
    </w:p>
    <w:p>
      <w:pPr>
        <w:pStyle w:val="16"/>
        <w:spacing w:line="600" w:lineRule="exact"/>
        <w:ind w:firstLine="640" w:firstLineChars="200"/>
        <w:rPr>
          <w:rFonts w:hint="eastAsia" w:hAnsi="黑体"/>
          <w:bCs/>
          <w:sz w:val="32"/>
          <w:szCs w:val="32"/>
        </w:rPr>
      </w:pPr>
      <w:r>
        <w:rPr>
          <w:rFonts w:hint="eastAsia" w:hAnsi="黑体"/>
          <w:bCs/>
          <w:sz w:val="32"/>
          <w:szCs w:val="32"/>
        </w:rPr>
        <w:t>本年度（元）</w:t>
      </w:r>
    </w:p>
    <w:p>
      <w:pPr>
        <w:pStyle w:val="16"/>
        <w:spacing w:line="600" w:lineRule="exact"/>
        <w:ind w:firstLine="640" w:firstLineChars="200"/>
        <w:rPr>
          <w:rFonts w:hint="eastAsia" w:hAnsi="黑体"/>
          <w:bCs/>
          <w:sz w:val="32"/>
          <w:szCs w:val="32"/>
        </w:rPr>
      </w:pPr>
      <w:r>
        <w:rPr>
          <w:rFonts w:hint="eastAsia" w:hAnsi="黑体"/>
          <w:bCs/>
          <w:sz w:val="32"/>
          <w:szCs w:val="32"/>
        </w:rPr>
        <w:t>上年度（元）</w:t>
      </w:r>
    </w:p>
    <w:p>
      <w:pPr>
        <w:pStyle w:val="16"/>
        <w:spacing w:line="600" w:lineRule="exact"/>
        <w:ind w:firstLine="640" w:firstLineChars="200"/>
        <w:rPr>
          <w:rFonts w:hint="eastAsia" w:hAnsi="黑体"/>
          <w:bCs/>
          <w:sz w:val="32"/>
          <w:szCs w:val="32"/>
        </w:rPr>
      </w:pPr>
      <w:r>
        <w:rPr>
          <w:rFonts w:hint="eastAsia" w:hAnsi="黑体"/>
          <w:bCs/>
          <w:sz w:val="32"/>
          <w:szCs w:val="32"/>
        </w:rPr>
        <w:t>增减额（元）</w:t>
      </w:r>
    </w:p>
    <w:p>
      <w:pPr>
        <w:pStyle w:val="16"/>
        <w:spacing w:line="600" w:lineRule="exact"/>
        <w:ind w:firstLine="640" w:firstLineChars="200"/>
        <w:rPr>
          <w:rFonts w:hint="eastAsia" w:hAnsi="黑体"/>
          <w:bCs/>
          <w:sz w:val="32"/>
          <w:szCs w:val="32"/>
        </w:rPr>
      </w:pPr>
      <w:r>
        <w:rPr>
          <w:rFonts w:hint="eastAsia" w:hAnsi="黑体"/>
          <w:bCs/>
          <w:sz w:val="32"/>
          <w:szCs w:val="32"/>
        </w:rPr>
        <w:t>增减幅度</w:t>
      </w:r>
    </w:p>
    <w:p>
      <w:pPr>
        <w:pStyle w:val="16"/>
        <w:spacing w:line="600" w:lineRule="exact"/>
        <w:ind w:firstLine="640" w:firstLineChars="200"/>
        <w:rPr>
          <w:rFonts w:hint="eastAsia" w:hAnsi="黑体"/>
          <w:bCs/>
          <w:sz w:val="32"/>
          <w:szCs w:val="32"/>
        </w:rPr>
      </w:pPr>
      <w:r>
        <w:rPr>
          <w:rFonts w:hint="eastAsia" w:hAnsi="黑体"/>
          <w:bCs/>
          <w:sz w:val="32"/>
          <w:szCs w:val="32"/>
        </w:rPr>
        <w:t>原因说明</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一、收入支出指标</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1.本年收入</w:t>
      </w:r>
    </w:p>
    <w:p>
      <w:pPr>
        <w:pStyle w:val="16"/>
        <w:spacing w:line="600" w:lineRule="exact"/>
        <w:ind w:firstLine="640" w:firstLineChars="200"/>
        <w:rPr>
          <w:rFonts w:hint="eastAsia" w:hAnsi="黑体"/>
          <w:bCs/>
          <w:sz w:val="32"/>
          <w:szCs w:val="32"/>
        </w:rPr>
      </w:pPr>
      <w:r>
        <w:rPr>
          <w:rFonts w:hint="eastAsia" w:hAnsi="黑体"/>
          <w:bCs/>
          <w:sz w:val="32"/>
          <w:szCs w:val="32"/>
        </w:rPr>
        <w:t>10,937,592.80</w:t>
      </w:r>
    </w:p>
    <w:p>
      <w:pPr>
        <w:pStyle w:val="16"/>
        <w:spacing w:line="600" w:lineRule="exact"/>
        <w:ind w:firstLine="640" w:firstLineChars="200"/>
        <w:rPr>
          <w:rFonts w:hint="eastAsia" w:hAnsi="黑体"/>
          <w:bCs/>
          <w:sz w:val="32"/>
          <w:szCs w:val="32"/>
        </w:rPr>
      </w:pPr>
      <w:r>
        <w:rPr>
          <w:rFonts w:hint="eastAsia" w:hAnsi="黑体"/>
          <w:bCs/>
          <w:sz w:val="32"/>
          <w:szCs w:val="32"/>
        </w:rPr>
        <w:t>12,030,967.00</w:t>
      </w:r>
    </w:p>
    <w:p>
      <w:pPr>
        <w:pStyle w:val="16"/>
        <w:spacing w:line="600" w:lineRule="exact"/>
        <w:ind w:firstLine="640" w:firstLineChars="200"/>
        <w:rPr>
          <w:rFonts w:hint="eastAsia" w:hAnsi="黑体"/>
          <w:bCs/>
          <w:sz w:val="32"/>
          <w:szCs w:val="32"/>
        </w:rPr>
      </w:pPr>
      <w:r>
        <w:rPr>
          <w:rFonts w:hint="eastAsia" w:hAnsi="黑体"/>
          <w:bCs/>
          <w:sz w:val="32"/>
          <w:szCs w:val="32"/>
        </w:rPr>
        <w:t>-1,093,374.20</w:t>
      </w:r>
    </w:p>
    <w:p>
      <w:pPr>
        <w:pStyle w:val="16"/>
        <w:spacing w:line="600" w:lineRule="exact"/>
        <w:ind w:firstLine="640" w:firstLineChars="200"/>
        <w:rPr>
          <w:rFonts w:hint="eastAsia" w:hAnsi="黑体"/>
          <w:bCs/>
          <w:sz w:val="32"/>
          <w:szCs w:val="32"/>
        </w:rPr>
      </w:pPr>
      <w:r>
        <w:rPr>
          <w:rFonts w:hint="eastAsia" w:hAnsi="黑体"/>
          <w:bCs/>
          <w:sz w:val="32"/>
          <w:szCs w:val="32"/>
        </w:rPr>
        <w:t>-9.1%</w:t>
      </w:r>
    </w:p>
    <w:p>
      <w:pPr>
        <w:pStyle w:val="16"/>
        <w:spacing w:line="600" w:lineRule="exact"/>
        <w:ind w:firstLine="640" w:firstLineChars="200"/>
        <w:rPr>
          <w:rFonts w:hint="eastAsia" w:hAnsi="黑体"/>
          <w:bCs/>
          <w:sz w:val="32"/>
          <w:szCs w:val="32"/>
        </w:rPr>
      </w:pPr>
      <w:r>
        <w:rPr>
          <w:rFonts w:hint="eastAsia" w:hAnsi="黑体"/>
          <w:bCs/>
          <w:sz w:val="32"/>
          <w:szCs w:val="32"/>
        </w:rPr>
        <w:t>年度预算调整及政策变化</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其中：一般公共预算财政拨款</w:t>
      </w:r>
    </w:p>
    <w:p>
      <w:pPr>
        <w:pStyle w:val="16"/>
        <w:spacing w:line="600" w:lineRule="exact"/>
        <w:ind w:firstLine="640" w:firstLineChars="200"/>
        <w:rPr>
          <w:rFonts w:hint="eastAsia" w:hAnsi="黑体"/>
          <w:bCs/>
          <w:sz w:val="32"/>
          <w:szCs w:val="32"/>
        </w:rPr>
      </w:pPr>
      <w:r>
        <w:rPr>
          <w:rFonts w:hint="eastAsia" w:hAnsi="黑体"/>
          <w:bCs/>
          <w:sz w:val="32"/>
          <w:szCs w:val="32"/>
        </w:rPr>
        <w:t>8,804,457.80</w:t>
      </w:r>
    </w:p>
    <w:p>
      <w:pPr>
        <w:pStyle w:val="16"/>
        <w:spacing w:line="600" w:lineRule="exact"/>
        <w:ind w:firstLine="640" w:firstLineChars="200"/>
        <w:rPr>
          <w:rFonts w:hint="eastAsia" w:hAnsi="黑体"/>
          <w:bCs/>
          <w:sz w:val="32"/>
          <w:szCs w:val="32"/>
        </w:rPr>
      </w:pPr>
      <w:r>
        <w:rPr>
          <w:rFonts w:hint="eastAsia" w:hAnsi="黑体"/>
          <w:bCs/>
          <w:sz w:val="32"/>
          <w:szCs w:val="32"/>
        </w:rPr>
        <w:t>12,030,967.00</w:t>
      </w:r>
    </w:p>
    <w:p>
      <w:pPr>
        <w:pStyle w:val="16"/>
        <w:spacing w:line="600" w:lineRule="exact"/>
        <w:ind w:firstLine="640" w:firstLineChars="200"/>
        <w:rPr>
          <w:rFonts w:hint="eastAsia" w:hAnsi="黑体"/>
          <w:bCs/>
          <w:sz w:val="32"/>
          <w:szCs w:val="32"/>
        </w:rPr>
      </w:pPr>
      <w:r>
        <w:rPr>
          <w:rFonts w:hint="eastAsia" w:hAnsi="黑体"/>
          <w:bCs/>
          <w:sz w:val="32"/>
          <w:szCs w:val="32"/>
        </w:rPr>
        <w:t>-3,226,509.20</w:t>
      </w:r>
    </w:p>
    <w:p>
      <w:pPr>
        <w:pStyle w:val="16"/>
        <w:spacing w:line="600" w:lineRule="exact"/>
        <w:ind w:firstLine="640" w:firstLineChars="200"/>
        <w:rPr>
          <w:rFonts w:hint="eastAsia" w:hAnsi="黑体"/>
          <w:bCs/>
          <w:sz w:val="32"/>
          <w:szCs w:val="32"/>
        </w:rPr>
      </w:pPr>
      <w:r>
        <w:rPr>
          <w:rFonts w:hint="eastAsia" w:hAnsi="黑体"/>
          <w:bCs/>
          <w:sz w:val="32"/>
          <w:szCs w:val="32"/>
        </w:rPr>
        <w:t>-26.8%</w:t>
      </w:r>
    </w:p>
    <w:p>
      <w:pPr>
        <w:pStyle w:val="16"/>
        <w:spacing w:line="600" w:lineRule="exact"/>
        <w:ind w:firstLine="640" w:firstLineChars="200"/>
        <w:rPr>
          <w:rFonts w:hint="eastAsia" w:hAnsi="黑体"/>
          <w:bCs/>
          <w:sz w:val="32"/>
          <w:szCs w:val="32"/>
        </w:rPr>
      </w:pPr>
      <w:r>
        <w:rPr>
          <w:rFonts w:hint="eastAsia" w:hAnsi="黑体"/>
          <w:bCs/>
          <w:sz w:val="32"/>
          <w:szCs w:val="32"/>
        </w:rPr>
        <w:t>年度预算调整及政策变化</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其他收入</w:t>
      </w:r>
    </w:p>
    <w:p>
      <w:pPr>
        <w:pStyle w:val="16"/>
        <w:spacing w:line="600" w:lineRule="exact"/>
        <w:ind w:firstLine="640" w:firstLineChars="200"/>
        <w:rPr>
          <w:rFonts w:hint="eastAsia" w:hAnsi="黑体"/>
          <w:bCs/>
          <w:sz w:val="32"/>
          <w:szCs w:val="32"/>
        </w:rPr>
      </w:pPr>
      <w:r>
        <w:rPr>
          <w:rFonts w:hint="eastAsia" w:hAnsi="黑体"/>
          <w:bCs/>
          <w:sz w:val="32"/>
          <w:szCs w:val="32"/>
        </w:rPr>
        <w:t>2,133,135.00</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2,133,135.00</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其他收入纳入统计</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2.本年支出</w:t>
      </w:r>
    </w:p>
    <w:p>
      <w:pPr>
        <w:pStyle w:val="16"/>
        <w:spacing w:line="600" w:lineRule="exact"/>
        <w:ind w:firstLine="640" w:firstLineChars="200"/>
        <w:rPr>
          <w:rFonts w:hint="eastAsia" w:hAnsi="黑体"/>
          <w:bCs/>
          <w:sz w:val="32"/>
          <w:szCs w:val="32"/>
        </w:rPr>
      </w:pPr>
      <w:r>
        <w:rPr>
          <w:rFonts w:hint="eastAsia" w:hAnsi="黑体"/>
          <w:bCs/>
          <w:sz w:val="32"/>
          <w:szCs w:val="32"/>
        </w:rPr>
        <w:t>10,937,592.80</w:t>
      </w:r>
    </w:p>
    <w:p>
      <w:pPr>
        <w:pStyle w:val="16"/>
        <w:spacing w:line="600" w:lineRule="exact"/>
        <w:ind w:firstLine="640" w:firstLineChars="200"/>
        <w:rPr>
          <w:rFonts w:hint="eastAsia" w:hAnsi="黑体"/>
          <w:bCs/>
          <w:sz w:val="32"/>
          <w:szCs w:val="32"/>
        </w:rPr>
      </w:pPr>
      <w:r>
        <w:rPr>
          <w:rFonts w:hint="eastAsia" w:hAnsi="黑体"/>
          <w:bCs/>
          <w:sz w:val="32"/>
          <w:szCs w:val="32"/>
        </w:rPr>
        <w:t>12,030,967.00</w:t>
      </w:r>
    </w:p>
    <w:p>
      <w:pPr>
        <w:pStyle w:val="16"/>
        <w:spacing w:line="600" w:lineRule="exact"/>
        <w:ind w:firstLine="640" w:firstLineChars="200"/>
        <w:rPr>
          <w:rFonts w:hint="eastAsia" w:hAnsi="黑体"/>
          <w:bCs/>
          <w:sz w:val="32"/>
          <w:szCs w:val="32"/>
        </w:rPr>
      </w:pPr>
      <w:r>
        <w:rPr>
          <w:rFonts w:hint="eastAsia" w:hAnsi="黑体"/>
          <w:bCs/>
          <w:sz w:val="32"/>
          <w:szCs w:val="32"/>
        </w:rPr>
        <w:t>-1,093,374.20</w:t>
      </w:r>
    </w:p>
    <w:p>
      <w:pPr>
        <w:pStyle w:val="16"/>
        <w:spacing w:line="600" w:lineRule="exact"/>
        <w:ind w:firstLine="640" w:firstLineChars="200"/>
        <w:rPr>
          <w:rFonts w:hint="eastAsia" w:hAnsi="黑体"/>
          <w:bCs/>
          <w:sz w:val="32"/>
          <w:szCs w:val="32"/>
        </w:rPr>
      </w:pPr>
      <w:r>
        <w:rPr>
          <w:rFonts w:hint="eastAsia" w:hAnsi="黑体"/>
          <w:bCs/>
          <w:sz w:val="32"/>
          <w:szCs w:val="32"/>
        </w:rPr>
        <w:t>-9.1%</w:t>
      </w:r>
    </w:p>
    <w:p>
      <w:pPr>
        <w:pStyle w:val="16"/>
        <w:spacing w:line="600" w:lineRule="exact"/>
        <w:ind w:firstLine="640" w:firstLineChars="200"/>
        <w:rPr>
          <w:rFonts w:hint="eastAsia" w:hAnsi="黑体"/>
          <w:bCs/>
          <w:sz w:val="32"/>
          <w:szCs w:val="32"/>
        </w:rPr>
      </w:pPr>
      <w:r>
        <w:rPr>
          <w:rFonts w:hint="eastAsia" w:hAnsi="黑体"/>
          <w:bCs/>
          <w:sz w:val="32"/>
          <w:szCs w:val="32"/>
        </w:rPr>
        <w:t>项目资金拨付及时率提升</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其中：基本支出</w:t>
      </w:r>
    </w:p>
    <w:p>
      <w:pPr>
        <w:pStyle w:val="16"/>
        <w:spacing w:line="600" w:lineRule="exact"/>
        <w:ind w:firstLine="640" w:firstLineChars="200"/>
        <w:rPr>
          <w:rFonts w:hint="eastAsia" w:hAnsi="黑体"/>
          <w:bCs/>
          <w:sz w:val="32"/>
          <w:szCs w:val="32"/>
        </w:rPr>
      </w:pPr>
      <w:r>
        <w:rPr>
          <w:rFonts w:hint="eastAsia" w:hAnsi="黑体"/>
          <w:bCs/>
          <w:sz w:val="32"/>
          <w:szCs w:val="32"/>
        </w:rPr>
        <w:t>10,526,412.80</w:t>
      </w:r>
    </w:p>
    <w:p>
      <w:pPr>
        <w:pStyle w:val="16"/>
        <w:spacing w:line="600" w:lineRule="exact"/>
        <w:ind w:firstLine="640" w:firstLineChars="200"/>
        <w:rPr>
          <w:rFonts w:hint="eastAsia" w:hAnsi="黑体"/>
          <w:bCs/>
          <w:sz w:val="32"/>
          <w:szCs w:val="32"/>
        </w:rPr>
      </w:pPr>
      <w:r>
        <w:rPr>
          <w:rFonts w:hint="eastAsia" w:hAnsi="黑体"/>
          <w:bCs/>
          <w:sz w:val="32"/>
          <w:szCs w:val="32"/>
        </w:rPr>
        <w:t>11,671,078.00</w:t>
      </w:r>
    </w:p>
    <w:p>
      <w:pPr>
        <w:pStyle w:val="16"/>
        <w:spacing w:line="600" w:lineRule="exact"/>
        <w:ind w:firstLine="640" w:firstLineChars="200"/>
        <w:rPr>
          <w:rFonts w:hint="eastAsia" w:hAnsi="黑体"/>
          <w:bCs/>
          <w:sz w:val="32"/>
          <w:szCs w:val="32"/>
        </w:rPr>
      </w:pPr>
      <w:r>
        <w:rPr>
          <w:rFonts w:hint="eastAsia" w:hAnsi="黑体"/>
          <w:bCs/>
          <w:sz w:val="32"/>
          <w:szCs w:val="32"/>
        </w:rPr>
        <w:t>-1,144,665.20</w:t>
      </w:r>
    </w:p>
    <w:p>
      <w:pPr>
        <w:pStyle w:val="16"/>
        <w:spacing w:line="600" w:lineRule="exact"/>
        <w:ind w:firstLine="640" w:firstLineChars="200"/>
        <w:rPr>
          <w:rFonts w:hint="eastAsia" w:hAnsi="黑体"/>
          <w:bCs/>
          <w:sz w:val="32"/>
          <w:szCs w:val="32"/>
        </w:rPr>
      </w:pPr>
      <w:r>
        <w:rPr>
          <w:rFonts w:hint="eastAsia" w:hAnsi="黑体"/>
          <w:bCs/>
          <w:sz w:val="32"/>
          <w:szCs w:val="32"/>
        </w:rPr>
        <w:t>-9.8%</w:t>
      </w:r>
    </w:p>
    <w:p>
      <w:pPr>
        <w:pStyle w:val="16"/>
        <w:spacing w:line="600" w:lineRule="exact"/>
        <w:ind w:firstLine="640" w:firstLineChars="200"/>
        <w:rPr>
          <w:rFonts w:hint="eastAsia" w:hAnsi="黑体"/>
          <w:bCs/>
          <w:sz w:val="32"/>
          <w:szCs w:val="32"/>
        </w:rPr>
      </w:pPr>
      <w:r>
        <w:rPr>
          <w:rFonts w:hint="eastAsia" w:hAnsi="黑体"/>
          <w:bCs/>
          <w:sz w:val="32"/>
          <w:szCs w:val="32"/>
        </w:rPr>
        <w:t>工资福利人员调整等</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（1）人员经费</w:t>
      </w:r>
    </w:p>
    <w:p>
      <w:pPr>
        <w:pStyle w:val="16"/>
        <w:spacing w:line="600" w:lineRule="exact"/>
        <w:ind w:firstLine="640" w:firstLineChars="200"/>
        <w:rPr>
          <w:rFonts w:hint="eastAsia" w:hAnsi="黑体"/>
          <w:bCs/>
          <w:sz w:val="32"/>
          <w:szCs w:val="32"/>
        </w:rPr>
      </w:pPr>
      <w:r>
        <w:rPr>
          <w:rFonts w:hint="eastAsia" w:hAnsi="黑体"/>
          <w:bCs/>
          <w:sz w:val="32"/>
          <w:szCs w:val="32"/>
        </w:rPr>
        <w:t>6,449,421.00</w:t>
      </w:r>
    </w:p>
    <w:p>
      <w:pPr>
        <w:pStyle w:val="16"/>
        <w:spacing w:line="600" w:lineRule="exact"/>
        <w:ind w:firstLine="640" w:firstLineChars="200"/>
        <w:rPr>
          <w:rFonts w:hint="eastAsia" w:hAnsi="黑体"/>
          <w:bCs/>
          <w:sz w:val="32"/>
          <w:szCs w:val="32"/>
        </w:rPr>
      </w:pPr>
      <w:r>
        <w:rPr>
          <w:rFonts w:hint="eastAsia" w:hAnsi="黑体"/>
          <w:bCs/>
          <w:sz w:val="32"/>
          <w:szCs w:val="32"/>
        </w:rPr>
        <w:t>8,566,513.00</w:t>
      </w:r>
    </w:p>
    <w:p>
      <w:pPr>
        <w:pStyle w:val="16"/>
        <w:spacing w:line="600" w:lineRule="exact"/>
        <w:ind w:firstLine="640" w:firstLineChars="200"/>
        <w:rPr>
          <w:rFonts w:hint="eastAsia" w:hAnsi="黑体"/>
          <w:bCs/>
          <w:sz w:val="32"/>
          <w:szCs w:val="32"/>
        </w:rPr>
      </w:pPr>
      <w:r>
        <w:rPr>
          <w:rFonts w:hint="eastAsia" w:hAnsi="黑体"/>
          <w:bCs/>
          <w:sz w:val="32"/>
          <w:szCs w:val="32"/>
        </w:rPr>
        <w:t>-2,117,092.00</w:t>
      </w:r>
    </w:p>
    <w:p>
      <w:pPr>
        <w:pStyle w:val="16"/>
        <w:spacing w:line="600" w:lineRule="exact"/>
        <w:ind w:firstLine="640" w:firstLineChars="200"/>
        <w:rPr>
          <w:rFonts w:hint="eastAsia" w:hAnsi="黑体"/>
          <w:bCs/>
          <w:sz w:val="32"/>
          <w:szCs w:val="32"/>
        </w:rPr>
      </w:pPr>
      <w:r>
        <w:rPr>
          <w:rFonts w:hint="eastAsia" w:hAnsi="黑体"/>
          <w:bCs/>
          <w:sz w:val="32"/>
          <w:szCs w:val="32"/>
        </w:rPr>
        <w:t>-24.7%</w:t>
      </w:r>
    </w:p>
    <w:p>
      <w:pPr>
        <w:pStyle w:val="16"/>
        <w:spacing w:line="600" w:lineRule="exact"/>
        <w:ind w:firstLine="640" w:firstLineChars="200"/>
        <w:rPr>
          <w:rFonts w:hint="eastAsia" w:hAnsi="黑体"/>
          <w:bCs/>
          <w:sz w:val="32"/>
          <w:szCs w:val="32"/>
        </w:rPr>
      </w:pPr>
      <w:r>
        <w:rPr>
          <w:rFonts w:hint="eastAsia" w:hAnsi="黑体"/>
          <w:bCs/>
          <w:sz w:val="32"/>
          <w:szCs w:val="32"/>
        </w:rPr>
        <w:t>工资福利人员调整等</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（2）公用经费</w:t>
      </w:r>
    </w:p>
    <w:p>
      <w:pPr>
        <w:pStyle w:val="16"/>
        <w:spacing w:line="600" w:lineRule="exact"/>
        <w:ind w:firstLine="640" w:firstLineChars="200"/>
        <w:rPr>
          <w:rFonts w:hint="eastAsia" w:hAnsi="黑体"/>
          <w:bCs/>
          <w:sz w:val="32"/>
          <w:szCs w:val="32"/>
        </w:rPr>
      </w:pPr>
      <w:r>
        <w:rPr>
          <w:rFonts w:hint="eastAsia" w:hAnsi="黑体"/>
          <w:bCs/>
          <w:sz w:val="32"/>
          <w:szCs w:val="32"/>
        </w:rPr>
        <w:t>4,076,991.80</w:t>
      </w:r>
    </w:p>
    <w:p>
      <w:pPr>
        <w:pStyle w:val="16"/>
        <w:spacing w:line="600" w:lineRule="exact"/>
        <w:ind w:firstLine="640" w:firstLineChars="200"/>
        <w:rPr>
          <w:rFonts w:hint="eastAsia" w:hAnsi="黑体"/>
          <w:bCs/>
          <w:sz w:val="32"/>
          <w:szCs w:val="32"/>
        </w:rPr>
      </w:pPr>
      <w:r>
        <w:rPr>
          <w:rFonts w:hint="eastAsia" w:hAnsi="黑体"/>
          <w:bCs/>
          <w:sz w:val="32"/>
          <w:szCs w:val="32"/>
        </w:rPr>
        <w:t>3,104,565.00</w:t>
      </w:r>
    </w:p>
    <w:p>
      <w:pPr>
        <w:pStyle w:val="16"/>
        <w:spacing w:line="600" w:lineRule="exact"/>
        <w:ind w:firstLine="640" w:firstLineChars="200"/>
        <w:rPr>
          <w:rFonts w:hint="eastAsia" w:hAnsi="黑体"/>
          <w:bCs/>
          <w:sz w:val="32"/>
          <w:szCs w:val="32"/>
        </w:rPr>
      </w:pPr>
      <w:r>
        <w:rPr>
          <w:rFonts w:hint="eastAsia" w:hAnsi="黑体"/>
          <w:bCs/>
          <w:sz w:val="32"/>
          <w:szCs w:val="32"/>
        </w:rPr>
        <w:t>972,426.80</w:t>
      </w:r>
    </w:p>
    <w:p>
      <w:pPr>
        <w:pStyle w:val="16"/>
        <w:spacing w:line="600" w:lineRule="exact"/>
        <w:ind w:firstLine="640" w:firstLineChars="200"/>
        <w:rPr>
          <w:rFonts w:hint="eastAsia" w:hAnsi="黑体"/>
          <w:bCs/>
          <w:sz w:val="32"/>
          <w:szCs w:val="32"/>
        </w:rPr>
      </w:pPr>
      <w:r>
        <w:rPr>
          <w:rFonts w:hint="eastAsia" w:hAnsi="黑体"/>
          <w:bCs/>
          <w:sz w:val="32"/>
          <w:szCs w:val="32"/>
        </w:rPr>
        <w:t>31.3%</w:t>
      </w:r>
    </w:p>
    <w:p>
      <w:pPr>
        <w:pStyle w:val="16"/>
        <w:spacing w:line="600" w:lineRule="exact"/>
        <w:ind w:firstLine="640" w:firstLineChars="200"/>
        <w:rPr>
          <w:rFonts w:hint="eastAsia" w:hAnsi="黑体"/>
          <w:bCs/>
          <w:sz w:val="32"/>
          <w:szCs w:val="32"/>
        </w:rPr>
      </w:pPr>
      <w:r>
        <w:rPr>
          <w:rFonts w:hint="eastAsia" w:hAnsi="黑体"/>
          <w:bCs/>
          <w:sz w:val="32"/>
          <w:szCs w:val="32"/>
        </w:rPr>
        <w:t>主要因日常开支价格波动</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项目支出</w:t>
      </w:r>
    </w:p>
    <w:p>
      <w:pPr>
        <w:pStyle w:val="16"/>
        <w:spacing w:line="600" w:lineRule="exact"/>
        <w:ind w:firstLine="640" w:firstLineChars="200"/>
        <w:rPr>
          <w:rFonts w:hint="eastAsia" w:hAnsi="黑体"/>
          <w:bCs/>
          <w:sz w:val="32"/>
          <w:szCs w:val="32"/>
        </w:rPr>
      </w:pPr>
      <w:r>
        <w:rPr>
          <w:rFonts w:hint="eastAsia" w:hAnsi="黑体"/>
          <w:bCs/>
          <w:sz w:val="32"/>
          <w:szCs w:val="32"/>
        </w:rPr>
        <w:t>411,180.00</w:t>
      </w:r>
    </w:p>
    <w:p>
      <w:pPr>
        <w:pStyle w:val="16"/>
        <w:spacing w:line="600" w:lineRule="exact"/>
        <w:ind w:firstLine="640" w:firstLineChars="200"/>
        <w:rPr>
          <w:rFonts w:hint="eastAsia" w:hAnsi="黑体"/>
          <w:bCs/>
          <w:sz w:val="32"/>
          <w:szCs w:val="32"/>
        </w:rPr>
      </w:pPr>
      <w:r>
        <w:rPr>
          <w:rFonts w:hint="eastAsia" w:hAnsi="黑体"/>
          <w:bCs/>
          <w:sz w:val="32"/>
          <w:szCs w:val="32"/>
        </w:rPr>
        <w:t>359,889.00</w:t>
      </w:r>
    </w:p>
    <w:p>
      <w:pPr>
        <w:pStyle w:val="16"/>
        <w:spacing w:line="600" w:lineRule="exact"/>
        <w:ind w:firstLine="640" w:firstLineChars="200"/>
        <w:rPr>
          <w:rFonts w:hint="eastAsia" w:hAnsi="黑体"/>
          <w:bCs/>
          <w:sz w:val="32"/>
          <w:szCs w:val="32"/>
        </w:rPr>
      </w:pPr>
      <w:r>
        <w:rPr>
          <w:rFonts w:hint="eastAsia" w:hAnsi="黑体"/>
          <w:bCs/>
          <w:sz w:val="32"/>
          <w:szCs w:val="32"/>
        </w:rPr>
        <w:t>51,291.00</w:t>
      </w:r>
    </w:p>
    <w:p>
      <w:pPr>
        <w:pStyle w:val="16"/>
        <w:spacing w:line="600" w:lineRule="exact"/>
        <w:ind w:firstLine="640" w:firstLineChars="200"/>
        <w:rPr>
          <w:rFonts w:hint="eastAsia" w:hAnsi="黑体"/>
          <w:bCs/>
          <w:sz w:val="32"/>
          <w:szCs w:val="32"/>
        </w:rPr>
      </w:pPr>
      <w:r>
        <w:rPr>
          <w:rFonts w:hint="eastAsia" w:hAnsi="黑体"/>
          <w:bCs/>
          <w:sz w:val="32"/>
          <w:szCs w:val="32"/>
        </w:rPr>
        <w:t>14.3%</w:t>
      </w:r>
    </w:p>
    <w:p>
      <w:pPr>
        <w:pStyle w:val="16"/>
        <w:spacing w:line="600" w:lineRule="exact"/>
        <w:ind w:firstLine="640" w:firstLineChars="200"/>
        <w:rPr>
          <w:rFonts w:hint="eastAsia" w:hAnsi="黑体"/>
          <w:bCs/>
          <w:sz w:val="32"/>
          <w:szCs w:val="32"/>
        </w:rPr>
      </w:pPr>
      <w:r>
        <w:rPr>
          <w:rFonts w:hint="eastAsia" w:hAnsi="黑体"/>
          <w:bCs/>
          <w:sz w:val="32"/>
          <w:szCs w:val="32"/>
        </w:rPr>
        <w:t>公益事业奖补资金拨款数额增多</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二、机构人员指标</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3.编制内实有人数</w:t>
      </w:r>
    </w:p>
    <w:p>
      <w:pPr>
        <w:pStyle w:val="16"/>
        <w:spacing w:line="600" w:lineRule="exact"/>
        <w:ind w:firstLine="640" w:firstLineChars="200"/>
        <w:rPr>
          <w:rFonts w:hint="eastAsia" w:hAnsi="黑体"/>
          <w:bCs/>
          <w:sz w:val="32"/>
          <w:szCs w:val="32"/>
        </w:rPr>
      </w:pPr>
      <w:r>
        <w:rPr>
          <w:rFonts w:hint="eastAsia" w:hAnsi="黑体"/>
          <w:bCs/>
          <w:sz w:val="32"/>
          <w:szCs w:val="32"/>
        </w:rPr>
        <w:t>67人</w:t>
      </w:r>
    </w:p>
    <w:p>
      <w:pPr>
        <w:pStyle w:val="16"/>
        <w:spacing w:line="600" w:lineRule="exact"/>
        <w:ind w:firstLine="640" w:firstLineChars="200"/>
        <w:rPr>
          <w:rFonts w:hint="eastAsia" w:hAnsi="黑体"/>
          <w:bCs/>
          <w:sz w:val="32"/>
          <w:szCs w:val="32"/>
        </w:rPr>
      </w:pPr>
      <w:r>
        <w:rPr>
          <w:rFonts w:hint="eastAsia" w:hAnsi="黑体"/>
          <w:bCs/>
          <w:sz w:val="32"/>
          <w:szCs w:val="32"/>
        </w:rPr>
        <w:t>57人</w:t>
      </w:r>
    </w:p>
    <w:p>
      <w:pPr>
        <w:pStyle w:val="16"/>
        <w:spacing w:line="600" w:lineRule="exact"/>
        <w:ind w:firstLine="640" w:firstLineChars="200"/>
        <w:rPr>
          <w:rFonts w:hint="eastAsia" w:hAnsi="黑体"/>
          <w:bCs/>
          <w:sz w:val="32"/>
          <w:szCs w:val="32"/>
        </w:rPr>
      </w:pPr>
      <w:r>
        <w:rPr>
          <w:rFonts w:hint="eastAsia" w:hAnsi="黑体"/>
          <w:bCs/>
          <w:sz w:val="32"/>
          <w:szCs w:val="32"/>
        </w:rPr>
        <w:t>+10人</w:t>
      </w:r>
    </w:p>
    <w:p>
      <w:pPr>
        <w:pStyle w:val="16"/>
        <w:spacing w:line="600" w:lineRule="exact"/>
        <w:ind w:firstLine="640" w:firstLineChars="200"/>
        <w:rPr>
          <w:rFonts w:hint="eastAsia" w:hAnsi="黑体"/>
          <w:bCs/>
          <w:sz w:val="32"/>
          <w:szCs w:val="32"/>
        </w:rPr>
      </w:pPr>
      <w:r>
        <w:rPr>
          <w:rFonts w:hint="eastAsia" w:hAnsi="黑体"/>
          <w:bCs/>
          <w:sz w:val="32"/>
          <w:szCs w:val="32"/>
        </w:rPr>
        <w:t>17.5%</w:t>
      </w:r>
    </w:p>
    <w:p>
      <w:pPr>
        <w:pStyle w:val="16"/>
        <w:spacing w:line="600" w:lineRule="exact"/>
        <w:ind w:firstLine="640" w:firstLineChars="200"/>
        <w:rPr>
          <w:rFonts w:hint="eastAsia" w:hAnsi="黑体"/>
          <w:bCs/>
          <w:sz w:val="32"/>
          <w:szCs w:val="32"/>
        </w:rPr>
      </w:pPr>
      <w:r>
        <w:rPr>
          <w:rFonts w:hint="eastAsia" w:hAnsi="黑体"/>
          <w:bCs/>
          <w:sz w:val="32"/>
          <w:szCs w:val="32"/>
        </w:rPr>
        <w:t>在职人员人数浮动</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其中：公务员</w:t>
      </w:r>
    </w:p>
    <w:p>
      <w:pPr>
        <w:pStyle w:val="16"/>
        <w:spacing w:line="600" w:lineRule="exact"/>
        <w:ind w:firstLine="640" w:firstLineChars="200"/>
        <w:rPr>
          <w:rFonts w:hint="eastAsia" w:hAnsi="黑体"/>
          <w:bCs/>
          <w:sz w:val="32"/>
          <w:szCs w:val="32"/>
        </w:rPr>
      </w:pPr>
      <w:r>
        <w:rPr>
          <w:rFonts w:hint="eastAsia" w:hAnsi="黑体"/>
          <w:bCs/>
          <w:sz w:val="32"/>
          <w:szCs w:val="32"/>
        </w:rPr>
        <w:t>29人</w:t>
      </w:r>
    </w:p>
    <w:p>
      <w:pPr>
        <w:pStyle w:val="16"/>
        <w:spacing w:line="600" w:lineRule="exact"/>
        <w:ind w:firstLine="640" w:firstLineChars="200"/>
        <w:rPr>
          <w:rFonts w:hint="eastAsia" w:hAnsi="黑体"/>
          <w:bCs/>
          <w:sz w:val="32"/>
          <w:szCs w:val="32"/>
        </w:rPr>
      </w:pPr>
      <w:r>
        <w:rPr>
          <w:rFonts w:hint="eastAsia" w:hAnsi="黑体"/>
          <w:bCs/>
          <w:sz w:val="32"/>
          <w:szCs w:val="32"/>
        </w:rPr>
        <w:t>30人</w:t>
      </w:r>
    </w:p>
    <w:p>
      <w:pPr>
        <w:pStyle w:val="16"/>
        <w:spacing w:line="600" w:lineRule="exact"/>
        <w:ind w:firstLine="640" w:firstLineChars="200"/>
        <w:rPr>
          <w:rFonts w:hint="eastAsia" w:hAnsi="黑体"/>
          <w:bCs/>
          <w:sz w:val="32"/>
          <w:szCs w:val="32"/>
        </w:rPr>
      </w:pPr>
      <w:r>
        <w:rPr>
          <w:rFonts w:hint="eastAsia" w:hAnsi="黑体"/>
          <w:bCs/>
          <w:sz w:val="32"/>
          <w:szCs w:val="32"/>
        </w:rPr>
        <w:t>-1人</w:t>
      </w:r>
    </w:p>
    <w:p>
      <w:pPr>
        <w:pStyle w:val="16"/>
        <w:spacing w:line="600" w:lineRule="exact"/>
        <w:ind w:firstLine="640" w:firstLineChars="200"/>
        <w:rPr>
          <w:rFonts w:hint="eastAsia" w:hAnsi="黑体"/>
          <w:bCs/>
          <w:sz w:val="32"/>
          <w:szCs w:val="32"/>
        </w:rPr>
      </w:pPr>
      <w:r>
        <w:rPr>
          <w:rFonts w:hint="eastAsia" w:hAnsi="黑体"/>
          <w:bCs/>
          <w:sz w:val="32"/>
          <w:szCs w:val="32"/>
        </w:rPr>
        <w:t>-3.3%</w:t>
      </w:r>
    </w:p>
    <w:p>
      <w:pPr>
        <w:pStyle w:val="16"/>
        <w:spacing w:line="600" w:lineRule="exact"/>
        <w:ind w:firstLine="640" w:firstLineChars="200"/>
        <w:rPr>
          <w:rFonts w:hint="eastAsia" w:hAnsi="黑体"/>
          <w:bCs/>
          <w:sz w:val="32"/>
          <w:szCs w:val="32"/>
        </w:rPr>
      </w:pPr>
      <w:r>
        <w:rPr>
          <w:rFonts w:hint="eastAsia" w:hAnsi="黑体"/>
          <w:bCs/>
          <w:sz w:val="32"/>
          <w:szCs w:val="32"/>
        </w:rPr>
        <w:t>在职人员人数浮动</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事业管理人员和专业技术人员</w:t>
      </w:r>
    </w:p>
    <w:p>
      <w:pPr>
        <w:pStyle w:val="16"/>
        <w:spacing w:line="600" w:lineRule="exact"/>
        <w:ind w:firstLine="640" w:firstLineChars="200"/>
        <w:rPr>
          <w:rFonts w:hint="eastAsia" w:hAnsi="黑体"/>
          <w:bCs/>
          <w:sz w:val="32"/>
          <w:szCs w:val="32"/>
        </w:rPr>
      </w:pPr>
      <w:r>
        <w:rPr>
          <w:rFonts w:hint="eastAsia" w:hAnsi="黑体"/>
          <w:bCs/>
          <w:sz w:val="32"/>
          <w:szCs w:val="32"/>
        </w:rPr>
        <w:t>38人</w:t>
      </w:r>
    </w:p>
    <w:p>
      <w:pPr>
        <w:pStyle w:val="16"/>
        <w:spacing w:line="600" w:lineRule="exact"/>
        <w:ind w:firstLine="640" w:firstLineChars="200"/>
        <w:rPr>
          <w:rFonts w:hint="eastAsia" w:hAnsi="黑体"/>
          <w:bCs/>
          <w:sz w:val="32"/>
          <w:szCs w:val="32"/>
        </w:rPr>
      </w:pPr>
      <w:r>
        <w:rPr>
          <w:rFonts w:hint="eastAsia" w:hAnsi="黑体"/>
          <w:bCs/>
          <w:sz w:val="32"/>
          <w:szCs w:val="32"/>
        </w:rPr>
        <w:t>36人</w:t>
      </w:r>
    </w:p>
    <w:p>
      <w:pPr>
        <w:pStyle w:val="16"/>
        <w:spacing w:line="600" w:lineRule="exact"/>
        <w:ind w:firstLine="640" w:firstLineChars="200"/>
        <w:rPr>
          <w:rFonts w:hint="eastAsia" w:hAnsi="黑体"/>
          <w:bCs/>
          <w:sz w:val="32"/>
          <w:szCs w:val="32"/>
        </w:rPr>
      </w:pPr>
      <w:r>
        <w:rPr>
          <w:rFonts w:hint="eastAsia" w:hAnsi="黑体"/>
          <w:bCs/>
          <w:sz w:val="32"/>
          <w:szCs w:val="32"/>
        </w:rPr>
        <w:t>+2人</w:t>
      </w:r>
    </w:p>
    <w:p>
      <w:pPr>
        <w:pStyle w:val="16"/>
        <w:spacing w:line="600" w:lineRule="exact"/>
        <w:ind w:firstLine="640" w:firstLineChars="200"/>
        <w:rPr>
          <w:rFonts w:hint="eastAsia" w:hAnsi="黑体"/>
          <w:bCs/>
          <w:sz w:val="32"/>
          <w:szCs w:val="32"/>
        </w:rPr>
      </w:pPr>
      <w:r>
        <w:rPr>
          <w:rFonts w:hint="eastAsia" w:hAnsi="黑体"/>
          <w:bCs/>
          <w:sz w:val="32"/>
          <w:szCs w:val="32"/>
        </w:rPr>
        <w:t>5.6%</w:t>
      </w:r>
    </w:p>
    <w:p>
      <w:pPr>
        <w:pStyle w:val="16"/>
        <w:spacing w:line="600" w:lineRule="exact"/>
        <w:ind w:firstLine="640" w:firstLineChars="200"/>
        <w:rPr>
          <w:rFonts w:hint="eastAsia" w:hAnsi="黑体"/>
          <w:bCs/>
          <w:sz w:val="32"/>
          <w:szCs w:val="32"/>
        </w:rPr>
      </w:pPr>
      <w:r>
        <w:rPr>
          <w:rFonts w:hint="eastAsia" w:hAnsi="黑体"/>
          <w:bCs/>
          <w:sz w:val="32"/>
          <w:szCs w:val="32"/>
        </w:rPr>
        <w:t>在职人员人数浮动</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三、"三公"经费及运行经费指标</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4."三公"经费支出</w:t>
      </w:r>
    </w:p>
    <w:p>
      <w:pPr>
        <w:pStyle w:val="16"/>
        <w:spacing w:line="600" w:lineRule="exact"/>
        <w:ind w:firstLine="640" w:firstLineChars="200"/>
        <w:rPr>
          <w:rFonts w:hint="eastAsia" w:hAnsi="黑体"/>
          <w:bCs/>
          <w:sz w:val="32"/>
          <w:szCs w:val="32"/>
        </w:rPr>
      </w:pPr>
      <w:r>
        <w:rPr>
          <w:rFonts w:hint="eastAsia" w:hAnsi="黑体"/>
          <w:bCs/>
          <w:sz w:val="32"/>
          <w:szCs w:val="32"/>
        </w:rPr>
        <w:t>40,996</w:t>
      </w:r>
    </w:p>
    <w:p>
      <w:pPr>
        <w:pStyle w:val="16"/>
        <w:spacing w:line="600" w:lineRule="exact"/>
        <w:ind w:firstLine="640" w:firstLineChars="200"/>
        <w:rPr>
          <w:rFonts w:hint="eastAsia" w:hAnsi="黑体"/>
          <w:bCs/>
          <w:sz w:val="32"/>
          <w:szCs w:val="32"/>
        </w:rPr>
      </w:pPr>
      <w:r>
        <w:rPr>
          <w:rFonts w:hint="eastAsia" w:hAnsi="黑体"/>
          <w:bCs/>
          <w:sz w:val="32"/>
          <w:szCs w:val="32"/>
        </w:rPr>
        <w:t>59,837</w:t>
      </w:r>
    </w:p>
    <w:p>
      <w:pPr>
        <w:pStyle w:val="16"/>
        <w:spacing w:line="600" w:lineRule="exact"/>
        <w:ind w:firstLine="640" w:firstLineChars="200"/>
        <w:rPr>
          <w:rFonts w:hint="eastAsia" w:hAnsi="黑体"/>
          <w:bCs/>
          <w:sz w:val="32"/>
          <w:szCs w:val="32"/>
        </w:rPr>
      </w:pPr>
      <w:r>
        <w:rPr>
          <w:rFonts w:hint="eastAsia" w:hAnsi="黑体"/>
          <w:bCs/>
          <w:sz w:val="32"/>
          <w:szCs w:val="32"/>
        </w:rPr>
        <w:t>-18,841</w:t>
      </w:r>
    </w:p>
    <w:p>
      <w:pPr>
        <w:pStyle w:val="16"/>
        <w:spacing w:line="600" w:lineRule="exact"/>
        <w:ind w:firstLine="640" w:firstLineChars="200"/>
        <w:rPr>
          <w:rFonts w:hint="eastAsia" w:hAnsi="黑体"/>
          <w:bCs/>
          <w:sz w:val="32"/>
          <w:szCs w:val="32"/>
        </w:rPr>
      </w:pPr>
      <w:r>
        <w:rPr>
          <w:rFonts w:hint="eastAsia" w:hAnsi="黑体"/>
          <w:bCs/>
          <w:sz w:val="32"/>
          <w:szCs w:val="32"/>
        </w:rPr>
        <w:t>-31.5%</w:t>
      </w:r>
    </w:p>
    <w:p>
      <w:pPr>
        <w:pStyle w:val="16"/>
        <w:spacing w:line="600" w:lineRule="exact"/>
        <w:ind w:firstLine="640" w:firstLineChars="200"/>
        <w:rPr>
          <w:rFonts w:hint="eastAsia" w:hAnsi="黑体"/>
          <w:bCs/>
          <w:sz w:val="32"/>
          <w:szCs w:val="32"/>
        </w:rPr>
      </w:pPr>
      <w:r>
        <w:rPr>
          <w:rFonts w:hint="eastAsia" w:hAnsi="黑体"/>
          <w:bCs/>
          <w:sz w:val="32"/>
          <w:szCs w:val="32"/>
        </w:rPr>
        <w:t>公务出现频次减少、推行工作餐试点</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其中：公务用车运行维护费</w:t>
      </w:r>
    </w:p>
    <w:p>
      <w:pPr>
        <w:pStyle w:val="16"/>
        <w:spacing w:line="600" w:lineRule="exact"/>
        <w:ind w:firstLine="640" w:firstLineChars="200"/>
        <w:rPr>
          <w:rFonts w:hint="eastAsia" w:hAnsi="黑体"/>
          <w:bCs/>
          <w:sz w:val="32"/>
          <w:szCs w:val="32"/>
        </w:rPr>
      </w:pPr>
      <w:r>
        <w:rPr>
          <w:rFonts w:hint="eastAsia" w:hAnsi="黑体"/>
          <w:bCs/>
          <w:sz w:val="32"/>
          <w:szCs w:val="32"/>
        </w:rPr>
        <w:t>40,996</w:t>
      </w:r>
    </w:p>
    <w:p>
      <w:pPr>
        <w:pStyle w:val="16"/>
        <w:spacing w:line="600" w:lineRule="exact"/>
        <w:ind w:firstLine="640" w:firstLineChars="200"/>
        <w:rPr>
          <w:rFonts w:hint="eastAsia" w:hAnsi="黑体"/>
          <w:bCs/>
          <w:sz w:val="32"/>
          <w:szCs w:val="32"/>
        </w:rPr>
      </w:pPr>
      <w:r>
        <w:rPr>
          <w:rFonts w:hint="eastAsia" w:hAnsi="黑体"/>
          <w:bCs/>
          <w:sz w:val="32"/>
          <w:szCs w:val="32"/>
        </w:rPr>
        <w:t>51,800</w:t>
      </w:r>
    </w:p>
    <w:p>
      <w:pPr>
        <w:pStyle w:val="16"/>
        <w:spacing w:line="600" w:lineRule="exact"/>
        <w:ind w:firstLine="640" w:firstLineChars="200"/>
        <w:rPr>
          <w:rFonts w:hint="eastAsia" w:hAnsi="黑体"/>
          <w:bCs/>
          <w:sz w:val="32"/>
          <w:szCs w:val="32"/>
        </w:rPr>
      </w:pPr>
      <w:r>
        <w:rPr>
          <w:rFonts w:hint="eastAsia" w:hAnsi="黑体"/>
          <w:bCs/>
          <w:sz w:val="32"/>
          <w:szCs w:val="32"/>
        </w:rPr>
        <w:t>-10,804</w:t>
      </w:r>
    </w:p>
    <w:p>
      <w:pPr>
        <w:pStyle w:val="16"/>
        <w:spacing w:line="600" w:lineRule="exact"/>
        <w:ind w:firstLine="640" w:firstLineChars="200"/>
        <w:rPr>
          <w:rFonts w:hint="eastAsia" w:hAnsi="黑体"/>
          <w:bCs/>
          <w:sz w:val="32"/>
          <w:szCs w:val="32"/>
        </w:rPr>
      </w:pPr>
      <w:r>
        <w:rPr>
          <w:rFonts w:hint="eastAsia" w:hAnsi="黑体"/>
          <w:bCs/>
          <w:sz w:val="32"/>
          <w:szCs w:val="32"/>
        </w:rPr>
        <w:t>-20.9%</w:t>
      </w:r>
    </w:p>
    <w:p>
      <w:pPr>
        <w:pStyle w:val="16"/>
        <w:spacing w:line="600" w:lineRule="exact"/>
        <w:ind w:firstLine="640" w:firstLineChars="200"/>
        <w:rPr>
          <w:rFonts w:hint="eastAsia" w:hAnsi="黑体"/>
          <w:bCs/>
          <w:sz w:val="32"/>
          <w:szCs w:val="32"/>
        </w:rPr>
      </w:pPr>
      <w:r>
        <w:rPr>
          <w:rFonts w:hint="eastAsia" w:hAnsi="黑体"/>
          <w:bCs/>
          <w:sz w:val="32"/>
          <w:szCs w:val="32"/>
        </w:rPr>
        <w:t>公务出现频次减少</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公务接待费</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8,037</w:t>
      </w:r>
    </w:p>
    <w:p>
      <w:pPr>
        <w:pStyle w:val="16"/>
        <w:spacing w:line="600" w:lineRule="exact"/>
        <w:ind w:firstLine="640" w:firstLineChars="200"/>
        <w:rPr>
          <w:rFonts w:hint="eastAsia" w:hAnsi="黑体"/>
          <w:bCs/>
          <w:sz w:val="32"/>
          <w:szCs w:val="32"/>
        </w:rPr>
      </w:pPr>
      <w:r>
        <w:rPr>
          <w:rFonts w:hint="eastAsia" w:hAnsi="黑体"/>
          <w:bCs/>
          <w:sz w:val="32"/>
          <w:szCs w:val="32"/>
        </w:rPr>
        <w:t>-8,037</w:t>
      </w:r>
    </w:p>
    <w:p>
      <w:pPr>
        <w:pStyle w:val="16"/>
        <w:spacing w:line="600" w:lineRule="exact"/>
        <w:ind w:firstLine="640" w:firstLineChars="200"/>
        <w:rPr>
          <w:rFonts w:hint="eastAsia" w:hAnsi="黑体"/>
          <w:bCs/>
          <w:sz w:val="32"/>
          <w:szCs w:val="32"/>
        </w:rPr>
      </w:pPr>
      <w:r>
        <w:rPr>
          <w:rFonts w:hint="eastAsia" w:hAnsi="黑体"/>
          <w:bCs/>
          <w:sz w:val="32"/>
          <w:szCs w:val="32"/>
        </w:rPr>
        <w:t>-100%</w:t>
      </w:r>
    </w:p>
    <w:p>
      <w:pPr>
        <w:pStyle w:val="16"/>
        <w:spacing w:line="600" w:lineRule="exact"/>
        <w:ind w:firstLine="640" w:firstLineChars="200"/>
        <w:rPr>
          <w:rFonts w:hint="eastAsia" w:hAnsi="黑体"/>
          <w:bCs/>
          <w:sz w:val="32"/>
          <w:szCs w:val="32"/>
        </w:rPr>
      </w:pPr>
      <w:r>
        <w:rPr>
          <w:rFonts w:hint="eastAsia" w:hAnsi="黑体"/>
          <w:bCs/>
          <w:sz w:val="32"/>
          <w:szCs w:val="32"/>
        </w:rPr>
        <w:t>推行工作餐试点</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5.培训费</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33,800</w:t>
      </w:r>
    </w:p>
    <w:p>
      <w:pPr>
        <w:pStyle w:val="16"/>
        <w:spacing w:line="600" w:lineRule="exact"/>
        <w:ind w:firstLine="640" w:firstLineChars="200"/>
        <w:rPr>
          <w:rFonts w:hint="eastAsia" w:hAnsi="黑体"/>
          <w:bCs/>
          <w:sz w:val="32"/>
          <w:szCs w:val="32"/>
        </w:rPr>
      </w:pPr>
      <w:r>
        <w:rPr>
          <w:rFonts w:hint="eastAsia" w:hAnsi="黑体"/>
          <w:bCs/>
          <w:sz w:val="32"/>
          <w:szCs w:val="32"/>
        </w:rPr>
        <w:t>-33,800</w:t>
      </w:r>
    </w:p>
    <w:p>
      <w:pPr>
        <w:pStyle w:val="16"/>
        <w:spacing w:line="600" w:lineRule="exact"/>
        <w:ind w:firstLine="640" w:firstLineChars="200"/>
        <w:rPr>
          <w:rFonts w:hint="eastAsia" w:hAnsi="黑体"/>
          <w:bCs/>
          <w:sz w:val="32"/>
          <w:szCs w:val="32"/>
        </w:rPr>
      </w:pPr>
      <w:r>
        <w:rPr>
          <w:rFonts w:hint="eastAsia" w:hAnsi="黑体"/>
          <w:bCs/>
          <w:sz w:val="32"/>
          <w:szCs w:val="32"/>
        </w:rPr>
        <w:t>-100%</w:t>
      </w:r>
    </w:p>
    <w:p>
      <w:pPr>
        <w:pStyle w:val="16"/>
        <w:spacing w:line="600" w:lineRule="exact"/>
        <w:ind w:firstLine="640" w:firstLineChars="200"/>
        <w:rPr>
          <w:rFonts w:hint="eastAsia" w:hAnsi="黑体"/>
          <w:bCs/>
          <w:sz w:val="32"/>
          <w:szCs w:val="32"/>
        </w:rPr>
      </w:pPr>
      <w:r>
        <w:rPr>
          <w:rFonts w:hint="eastAsia" w:hAnsi="黑体"/>
          <w:bCs/>
          <w:sz w:val="32"/>
          <w:szCs w:val="32"/>
        </w:rPr>
        <w:t>培训次数减少</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6.会议费</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23,000</w:t>
      </w:r>
    </w:p>
    <w:p>
      <w:pPr>
        <w:pStyle w:val="16"/>
        <w:spacing w:line="600" w:lineRule="exact"/>
        <w:ind w:firstLine="640" w:firstLineChars="200"/>
        <w:rPr>
          <w:rFonts w:hint="eastAsia" w:hAnsi="黑体"/>
          <w:bCs/>
          <w:sz w:val="32"/>
          <w:szCs w:val="32"/>
        </w:rPr>
      </w:pPr>
      <w:r>
        <w:rPr>
          <w:rFonts w:hint="eastAsia" w:hAnsi="黑体"/>
          <w:bCs/>
          <w:sz w:val="32"/>
          <w:szCs w:val="32"/>
        </w:rPr>
        <w:t>-23,000</w:t>
      </w:r>
    </w:p>
    <w:p>
      <w:pPr>
        <w:pStyle w:val="16"/>
        <w:spacing w:line="600" w:lineRule="exact"/>
        <w:ind w:firstLine="640" w:firstLineChars="200"/>
        <w:rPr>
          <w:rFonts w:hint="eastAsia" w:hAnsi="黑体"/>
          <w:bCs/>
          <w:sz w:val="32"/>
          <w:szCs w:val="32"/>
        </w:rPr>
      </w:pPr>
      <w:r>
        <w:rPr>
          <w:rFonts w:hint="eastAsia" w:hAnsi="黑体"/>
          <w:bCs/>
          <w:sz w:val="32"/>
          <w:szCs w:val="32"/>
        </w:rPr>
        <w:t>-100%</w:t>
      </w:r>
    </w:p>
    <w:p>
      <w:pPr>
        <w:pStyle w:val="16"/>
        <w:spacing w:line="600" w:lineRule="exact"/>
        <w:ind w:firstLine="640" w:firstLineChars="200"/>
        <w:rPr>
          <w:rFonts w:hint="eastAsia" w:hAnsi="黑体"/>
          <w:bCs/>
          <w:sz w:val="32"/>
          <w:szCs w:val="32"/>
        </w:rPr>
      </w:pPr>
      <w:r>
        <w:rPr>
          <w:rFonts w:hint="eastAsia" w:hAnsi="黑体"/>
          <w:bCs/>
          <w:sz w:val="32"/>
          <w:szCs w:val="32"/>
        </w:rPr>
        <w:t>会议次数减少</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7.机关运行经费</w:t>
      </w:r>
    </w:p>
    <w:p>
      <w:pPr>
        <w:pStyle w:val="16"/>
        <w:spacing w:line="600" w:lineRule="exact"/>
        <w:ind w:firstLine="640" w:firstLineChars="200"/>
        <w:rPr>
          <w:rFonts w:hint="eastAsia" w:hAnsi="黑体"/>
          <w:bCs/>
          <w:sz w:val="32"/>
          <w:szCs w:val="32"/>
        </w:rPr>
      </w:pPr>
      <w:r>
        <w:rPr>
          <w:rFonts w:hint="eastAsia" w:hAnsi="黑体"/>
          <w:bCs/>
          <w:sz w:val="32"/>
          <w:szCs w:val="32"/>
        </w:rPr>
        <w:t>1,943,856.80</w:t>
      </w:r>
    </w:p>
    <w:p>
      <w:pPr>
        <w:pStyle w:val="16"/>
        <w:spacing w:line="600" w:lineRule="exact"/>
        <w:ind w:firstLine="640" w:firstLineChars="200"/>
        <w:rPr>
          <w:rFonts w:hint="eastAsia" w:hAnsi="黑体"/>
          <w:bCs/>
          <w:sz w:val="32"/>
          <w:szCs w:val="32"/>
        </w:rPr>
      </w:pPr>
      <w:r>
        <w:rPr>
          <w:rFonts w:hint="eastAsia" w:hAnsi="黑体"/>
          <w:bCs/>
          <w:sz w:val="32"/>
          <w:szCs w:val="32"/>
        </w:rPr>
        <w:t>3,104,565.00</w:t>
      </w:r>
    </w:p>
    <w:p>
      <w:pPr>
        <w:pStyle w:val="16"/>
        <w:spacing w:line="600" w:lineRule="exact"/>
        <w:ind w:firstLine="640" w:firstLineChars="200"/>
        <w:rPr>
          <w:rFonts w:hint="eastAsia" w:hAnsi="黑体"/>
          <w:bCs/>
          <w:sz w:val="32"/>
          <w:szCs w:val="32"/>
        </w:rPr>
      </w:pPr>
      <w:r>
        <w:rPr>
          <w:rFonts w:hint="eastAsia" w:hAnsi="黑体"/>
          <w:bCs/>
          <w:sz w:val="32"/>
          <w:szCs w:val="32"/>
        </w:rPr>
        <w:t>-1,160,708.20</w:t>
      </w:r>
    </w:p>
    <w:p>
      <w:pPr>
        <w:pStyle w:val="16"/>
        <w:spacing w:line="600" w:lineRule="exact"/>
        <w:ind w:firstLine="640" w:firstLineChars="200"/>
        <w:rPr>
          <w:rFonts w:hint="eastAsia" w:hAnsi="黑体"/>
          <w:bCs/>
          <w:sz w:val="32"/>
          <w:szCs w:val="32"/>
        </w:rPr>
      </w:pPr>
      <w:r>
        <w:rPr>
          <w:rFonts w:hint="eastAsia" w:hAnsi="黑体"/>
          <w:bCs/>
          <w:sz w:val="32"/>
          <w:szCs w:val="32"/>
        </w:rPr>
        <w:t>-37.4%</w:t>
      </w:r>
    </w:p>
    <w:p>
      <w:pPr>
        <w:pStyle w:val="16"/>
        <w:spacing w:line="600" w:lineRule="exact"/>
        <w:ind w:firstLine="640" w:firstLineChars="200"/>
        <w:rPr>
          <w:rFonts w:hint="eastAsia" w:hAnsi="黑体"/>
          <w:bCs/>
          <w:sz w:val="32"/>
          <w:szCs w:val="32"/>
        </w:rPr>
      </w:pPr>
      <w:r>
        <w:rPr>
          <w:rFonts w:hint="eastAsia" w:hAnsi="黑体"/>
          <w:bCs/>
          <w:sz w:val="32"/>
          <w:szCs w:val="32"/>
        </w:rPr>
        <w:t>主要因预算调整及日常开支价格波动</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重点变动指标核实说明：</w:t>
      </w:r>
    </w:p>
    <w:p>
      <w:pPr>
        <w:pStyle w:val="16"/>
        <w:spacing w:line="600" w:lineRule="exact"/>
        <w:ind w:firstLine="640" w:firstLineChars="200"/>
        <w:rPr>
          <w:rFonts w:hint="eastAsia" w:hAnsi="黑体"/>
          <w:bCs/>
          <w:sz w:val="32"/>
          <w:szCs w:val="32"/>
        </w:rPr>
      </w:pPr>
      <w:r>
        <w:rPr>
          <w:rFonts w:hint="eastAsia" w:hAnsi="黑体"/>
          <w:bCs/>
          <w:sz w:val="32"/>
          <w:szCs w:val="32"/>
        </w:rPr>
        <w:t>（1）一般公共预算财政拨款收入下降26.8%</w:t>
      </w:r>
    </w:p>
    <w:p>
      <w:pPr>
        <w:pStyle w:val="16"/>
        <w:spacing w:line="600" w:lineRule="exact"/>
        <w:ind w:firstLine="640" w:firstLineChars="200"/>
        <w:rPr>
          <w:rFonts w:hint="eastAsia" w:hAnsi="黑体"/>
          <w:bCs/>
          <w:sz w:val="32"/>
          <w:szCs w:val="32"/>
        </w:rPr>
      </w:pPr>
      <w:r>
        <w:rPr>
          <w:rFonts w:hint="eastAsia" w:hAnsi="黑体"/>
          <w:bCs/>
          <w:sz w:val="32"/>
          <w:szCs w:val="32"/>
        </w:rPr>
        <w:t>核实情况： 经核对，本年度一般公共预算财政拨款收入880.45万元，较上年1,203.10万元减少322.65万元。</w:t>
      </w:r>
    </w:p>
    <w:p>
      <w:pPr>
        <w:pStyle w:val="16"/>
        <w:spacing w:line="600" w:lineRule="exact"/>
        <w:ind w:firstLine="640" w:firstLineChars="200"/>
        <w:rPr>
          <w:rFonts w:hint="eastAsia" w:hAnsi="黑体"/>
          <w:bCs/>
          <w:sz w:val="32"/>
          <w:szCs w:val="32"/>
        </w:rPr>
      </w:pPr>
      <w:r>
        <w:rPr>
          <w:rFonts w:hint="eastAsia" w:hAnsi="黑体"/>
          <w:bCs/>
          <w:sz w:val="32"/>
          <w:szCs w:val="32"/>
        </w:rPr>
        <w:t>变动原因： 主要是年度预算调整及政策变化，上级财政转移支付结构调整，压减一般性支出。</w:t>
      </w:r>
    </w:p>
    <w:p>
      <w:pPr>
        <w:pStyle w:val="16"/>
        <w:spacing w:line="600" w:lineRule="exact"/>
        <w:ind w:firstLine="640" w:firstLineChars="200"/>
        <w:rPr>
          <w:rFonts w:hint="eastAsia" w:hAnsi="黑体"/>
          <w:bCs/>
          <w:sz w:val="32"/>
          <w:szCs w:val="32"/>
        </w:rPr>
      </w:pPr>
      <w:r>
        <w:rPr>
          <w:rFonts w:hint="eastAsia" w:hAnsi="黑体"/>
          <w:bCs/>
          <w:sz w:val="32"/>
          <w:szCs w:val="32"/>
        </w:rPr>
        <w:t>（2）人员经费下降24.7%</w:t>
      </w:r>
    </w:p>
    <w:p>
      <w:pPr>
        <w:pStyle w:val="16"/>
        <w:spacing w:line="600" w:lineRule="exact"/>
        <w:ind w:firstLine="640" w:firstLineChars="200"/>
        <w:rPr>
          <w:rFonts w:hint="eastAsia" w:hAnsi="黑体"/>
          <w:bCs/>
          <w:sz w:val="32"/>
          <w:szCs w:val="32"/>
        </w:rPr>
      </w:pPr>
      <w:r>
        <w:rPr>
          <w:rFonts w:hint="eastAsia" w:hAnsi="黑体"/>
          <w:bCs/>
          <w:sz w:val="32"/>
          <w:szCs w:val="32"/>
        </w:rPr>
        <w:t>核实情况： 经核对，本年度人员经费644.94万元，较上年856.65万元减少211.71万元。</w:t>
      </w:r>
    </w:p>
    <w:p>
      <w:pPr>
        <w:pStyle w:val="16"/>
        <w:spacing w:line="600" w:lineRule="exact"/>
        <w:ind w:firstLine="640" w:firstLineChars="200"/>
        <w:rPr>
          <w:rFonts w:hint="eastAsia" w:hAnsi="黑体"/>
          <w:bCs/>
          <w:sz w:val="32"/>
          <w:szCs w:val="32"/>
        </w:rPr>
      </w:pPr>
      <w:r>
        <w:rPr>
          <w:rFonts w:hint="eastAsia" w:hAnsi="黑体"/>
          <w:bCs/>
          <w:sz w:val="32"/>
          <w:szCs w:val="32"/>
        </w:rPr>
        <w:t>变动原因： 主要是工资福利人员调整，部分人员经费通过其他资金渠道保障。</w:t>
      </w:r>
    </w:p>
    <w:p>
      <w:pPr>
        <w:pStyle w:val="16"/>
        <w:spacing w:line="600" w:lineRule="exact"/>
        <w:ind w:firstLine="640" w:firstLineChars="200"/>
        <w:rPr>
          <w:rFonts w:hint="eastAsia" w:hAnsi="黑体"/>
          <w:bCs/>
          <w:sz w:val="32"/>
          <w:szCs w:val="32"/>
        </w:rPr>
      </w:pPr>
      <w:r>
        <w:rPr>
          <w:rFonts w:hint="eastAsia" w:hAnsi="黑体"/>
          <w:bCs/>
          <w:sz w:val="32"/>
          <w:szCs w:val="32"/>
        </w:rPr>
        <w:t>（3）公用经费增长31.3%</w:t>
      </w:r>
    </w:p>
    <w:p>
      <w:pPr>
        <w:pStyle w:val="16"/>
        <w:spacing w:line="600" w:lineRule="exact"/>
        <w:ind w:firstLine="640" w:firstLineChars="200"/>
        <w:rPr>
          <w:rFonts w:hint="eastAsia" w:hAnsi="黑体"/>
          <w:bCs/>
          <w:sz w:val="32"/>
          <w:szCs w:val="32"/>
        </w:rPr>
      </w:pPr>
      <w:r>
        <w:rPr>
          <w:rFonts w:hint="eastAsia" w:hAnsi="黑体"/>
          <w:bCs/>
          <w:sz w:val="32"/>
          <w:szCs w:val="32"/>
        </w:rPr>
        <w:t>核实情况： 经核对，本年度公用经费407.70万元，较上年310.46万元增加97.24万元。</w:t>
      </w:r>
    </w:p>
    <w:p>
      <w:pPr>
        <w:pStyle w:val="16"/>
        <w:spacing w:line="600" w:lineRule="exact"/>
        <w:ind w:firstLine="640" w:firstLineChars="200"/>
        <w:rPr>
          <w:rFonts w:hint="eastAsia" w:hAnsi="黑体"/>
          <w:bCs/>
          <w:sz w:val="32"/>
          <w:szCs w:val="32"/>
        </w:rPr>
      </w:pPr>
      <w:r>
        <w:rPr>
          <w:rFonts w:hint="eastAsia" w:hAnsi="黑体"/>
          <w:bCs/>
          <w:sz w:val="32"/>
          <w:szCs w:val="32"/>
        </w:rPr>
        <w:t>变动原因： 主要因日常开支价格波动，以及为保障机构正常运转增加的必要的公用经费支出。</w:t>
      </w:r>
    </w:p>
    <w:p>
      <w:pPr>
        <w:pStyle w:val="16"/>
        <w:spacing w:line="600" w:lineRule="exact"/>
        <w:ind w:firstLine="640" w:firstLineChars="200"/>
        <w:rPr>
          <w:rFonts w:hint="eastAsia" w:hAnsi="黑体"/>
          <w:bCs/>
          <w:sz w:val="32"/>
          <w:szCs w:val="32"/>
        </w:rPr>
      </w:pPr>
      <w:r>
        <w:rPr>
          <w:rFonts w:hint="eastAsia" w:hAnsi="黑体"/>
          <w:bCs/>
          <w:sz w:val="32"/>
          <w:szCs w:val="32"/>
        </w:rPr>
        <w:t>（4）编制内实有人数增长17.5%</w:t>
      </w:r>
    </w:p>
    <w:p>
      <w:pPr>
        <w:pStyle w:val="16"/>
        <w:spacing w:line="600" w:lineRule="exact"/>
        <w:ind w:firstLine="640" w:firstLineChars="200"/>
        <w:rPr>
          <w:rFonts w:hint="eastAsia" w:hAnsi="黑体"/>
          <w:bCs/>
          <w:sz w:val="32"/>
          <w:szCs w:val="32"/>
        </w:rPr>
      </w:pPr>
      <w:r>
        <w:rPr>
          <w:rFonts w:hint="eastAsia" w:hAnsi="黑体"/>
          <w:bCs/>
          <w:sz w:val="32"/>
          <w:szCs w:val="32"/>
        </w:rPr>
        <w:t>核实情况： 经核对，本年度编制内实有人数67人，较上年57人增加10人。</w:t>
      </w:r>
    </w:p>
    <w:p>
      <w:pPr>
        <w:pStyle w:val="16"/>
        <w:spacing w:line="600" w:lineRule="exact"/>
        <w:ind w:firstLine="640" w:firstLineChars="200"/>
        <w:rPr>
          <w:rFonts w:hint="eastAsia" w:hAnsi="黑体"/>
          <w:bCs/>
          <w:sz w:val="32"/>
          <w:szCs w:val="32"/>
        </w:rPr>
      </w:pPr>
      <w:r>
        <w:rPr>
          <w:rFonts w:hint="eastAsia" w:hAnsi="黑体"/>
          <w:bCs/>
          <w:sz w:val="32"/>
          <w:szCs w:val="32"/>
        </w:rPr>
        <w:t>变动原因： 主要是在职人员正常流动及岗位调整，根据工作需要充实基层财政工作力量。</w:t>
      </w:r>
    </w:p>
    <w:p>
      <w:pPr>
        <w:pStyle w:val="16"/>
        <w:spacing w:line="600" w:lineRule="exact"/>
        <w:ind w:firstLine="640" w:firstLineChars="200"/>
        <w:rPr>
          <w:rFonts w:hint="eastAsia" w:hAnsi="黑体"/>
          <w:bCs/>
          <w:sz w:val="32"/>
          <w:szCs w:val="32"/>
        </w:rPr>
      </w:pPr>
      <w:r>
        <w:rPr>
          <w:rFonts w:hint="eastAsia" w:hAnsi="黑体"/>
          <w:bCs/>
          <w:sz w:val="32"/>
          <w:szCs w:val="32"/>
        </w:rPr>
        <w:t>四、报表审核情况</w:t>
      </w:r>
    </w:p>
    <w:p>
      <w:pPr>
        <w:pStyle w:val="16"/>
        <w:spacing w:line="600" w:lineRule="exact"/>
        <w:ind w:firstLine="640" w:firstLineChars="200"/>
        <w:rPr>
          <w:rFonts w:hint="eastAsia" w:hAnsi="黑体"/>
          <w:bCs/>
          <w:sz w:val="32"/>
          <w:szCs w:val="32"/>
        </w:rPr>
      </w:pPr>
      <w:r>
        <w:rPr>
          <w:rFonts w:hint="eastAsia" w:hAnsi="黑体"/>
          <w:bCs/>
          <w:sz w:val="32"/>
          <w:szCs w:val="32"/>
        </w:rPr>
        <w:t>1．审核公式</w:t>
      </w:r>
    </w:p>
    <w:p>
      <w:pPr>
        <w:pStyle w:val="16"/>
        <w:spacing w:line="600" w:lineRule="exact"/>
        <w:ind w:firstLine="640" w:firstLineChars="200"/>
        <w:rPr>
          <w:rFonts w:hint="eastAsia" w:hAnsi="黑体"/>
          <w:bCs/>
          <w:sz w:val="32"/>
          <w:szCs w:val="32"/>
        </w:rPr>
      </w:pPr>
      <w:r>
        <w:rPr>
          <w:rFonts w:hint="eastAsia" w:hAnsi="黑体"/>
          <w:bCs/>
          <w:sz w:val="32"/>
          <w:szCs w:val="32"/>
        </w:rPr>
        <w:t>审核公式共提示0条。其中：</w:t>
      </w:r>
    </w:p>
    <w:p>
      <w:pPr>
        <w:pStyle w:val="16"/>
        <w:spacing w:line="600" w:lineRule="exact"/>
        <w:ind w:firstLine="640" w:firstLineChars="200"/>
        <w:rPr>
          <w:rFonts w:hint="eastAsia" w:hAnsi="黑体"/>
          <w:bCs/>
          <w:sz w:val="32"/>
          <w:szCs w:val="32"/>
        </w:rPr>
      </w:pPr>
      <w:r>
        <w:rPr>
          <w:rFonts w:hint="eastAsia" w:hAnsi="黑体"/>
          <w:bCs/>
          <w:sz w:val="32"/>
          <w:szCs w:val="32"/>
        </w:rPr>
        <w:t>（1）表间公式共0条。</w:t>
      </w:r>
    </w:p>
    <w:p>
      <w:pPr>
        <w:pStyle w:val="16"/>
        <w:spacing w:line="600" w:lineRule="exact"/>
        <w:ind w:firstLine="640" w:firstLineChars="200"/>
        <w:rPr>
          <w:rFonts w:hint="eastAsia" w:hAnsi="黑体"/>
          <w:bCs/>
          <w:sz w:val="32"/>
          <w:szCs w:val="32"/>
        </w:rPr>
      </w:pPr>
      <w:r>
        <w:rPr>
          <w:rFonts w:hint="eastAsia" w:hAnsi="黑体"/>
          <w:bCs/>
          <w:sz w:val="32"/>
          <w:szCs w:val="32"/>
        </w:rPr>
        <w:t>本单位决算数据通过财政统一审核公式校验，无表间公式提示。</w:t>
      </w:r>
    </w:p>
    <w:p>
      <w:pPr>
        <w:pStyle w:val="16"/>
        <w:spacing w:line="600" w:lineRule="exact"/>
        <w:ind w:firstLine="640" w:firstLineChars="200"/>
        <w:rPr>
          <w:rFonts w:hint="eastAsia" w:hAnsi="黑体"/>
          <w:bCs/>
          <w:sz w:val="32"/>
          <w:szCs w:val="32"/>
        </w:rPr>
      </w:pPr>
      <w:r>
        <w:rPr>
          <w:rFonts w:hint="eastAsia" w:hAnsi="黑体"/>
          <w:bCs/>
          <w:sz w:val="32"/>
          <w:szCs w:val="32"/>
        </w:rPr>
        <w:t>（2）表内公式共0条。</w:t>
      </w:r>
    </w:p>
    <w:p>
      <w:pPr>
        <w:pStyle w:val="16"/>
        <w:spacing w:line="600" w:lineRule="exact"/>
        <w:ind w:firstLine="640" w:firstLineChars="200"/>
        <w:rPr>
          <w:rFonts w:hint="eastAsia" w:hAnsi="黑体"/>
          <w:bCs/>
          <w:sz w:val="32"/>
          <w:szCs w:val="32"/>
        </w:rPr>
      </w:pPr>
      <w:r>
        <w:rPr>
          <w:rFonts w:hint="eastAsia" w:hAnsi="黑体"/>
          <w:bCs/>
          <w:sz w:val="32"/>
          <w:szCs w:val="32"/>
        </w:rPr>
        <w:t>本单位决算数据通过财政统一审核公式校验，无表内公式提示。</w:t>
      </w:r>
    </w:p>
    <w:p>
      <w:pPr>
        <w:pStyle w:val="16"/>
        <w:spacing w:line="600" w:lineRule="exact"/>
        <w:ind w:firstLine="640" w:firstLineChars="200"/>
        <w:rPr>
          <w:rFonts w:hint="eastAsia" w:hAnsi="黑体"/>
          <w:bCs/>
          <w:sz w:val="32"/>
          <w:szCs w:val="32"/>
        </w:rPr>
      </w:pPr>
      <w:r>
        <w:rPr>
          <w:rFonts w:hint="eastAsia" w:hAnsi="黑体"/>
          <w:bCs/>
          <w:sz w:val="32"/>
          <w:szCs w:val="32"/>
        </w:rPr>
        <w:t>2．审核模板</w:t>
      </w:r>
    </w:p>
    <w:p>
      <w:pPr>
        <w:pStyle w:val="16"/>
        <w:spacing w:line="600" w:lineRule="exact"/>
        <w:ind w:firstLine="640" w:firstLineChars="200"/>
        <w:rPr>
          <w:rFonts w:hint="eastAsia" w:hAnsi="黑体"/>
          <w:bCs/>
          <w:sz w:val="32"/>
          <w:szCs w:val="32"/>
        </w:rPr>
      </w:pPr>
      <w:r>
        <w:rPr>
          <w:rFonts w:hint="eastAsia" w:hAnsi="黑体"/>
          <w:bCs/>
          <w:sz w:val="32"/>
          <w:szCs w:val="32"/>
        </w:rPr>
        <w:t>本单位决算数据通过财政统一审核模板校验，无审核模板提示需说明事项。</w:t>
      </w:r>
    </w:p>
    <w:p>
      <w:pPr>
        <w:pStyle w:val="16"/>
        <w:spacing w:line="600" w:lineRule="exact"/>
        <w:ind w:firstLine="640" w:firstLineChars="200"/>
        <w:rPr>
          <w:rFonts w:hint="eastAsia" w:hAnsi="黑体"/>
          <w:bCs/>
          <w:sz w:val="32"/>
          <w:szCs w:val="32"/>
        </w:rPr>
      </w:pPr>
      <w:r>
        <w:rPr>
          <w:rFonts w:hint="eastAsia" w:hAnsi="黑体"/>
          <w:bCs/>
          <w:sz w:val="32"/>
          <w:szCs w:val="32"/>
        </w:rPr>
        <w:t>五、决算数据其他需要说明的情况</w:t>
      </w:r>
    </w:p>
    <w:p>
      <w:pPr>
        <w:pStyle w:val="16"/>
        <w:spacing w:line="600" w:lineRule="exact"/>
        <w:ind w:firstLine="640" w:firstLineChars="200"/>
        <w:rPr>
          <w:rFonts w:hint="eastAsia" w:hAnsi="黑体"/>
          <w:bCs/>
          <w:sz w:val="32"/>
          <w:szCs w:val="32"/>
        </w:rPr>
      </w:pPr>
      <w:r>
        <w:rPr>
          <w:rFonts w:hint="eastAsia" w:hAnsi="黑体"/>
          <w:bCs/>
          <w:sz w:val="32"/>
          <w:szCs w:val="32"/>
        </w:rPr>
        <w:t>1．"收入决算表"中其他收入的具体构成情况</w:t>
      </w:r>
    </w:p>
    <w:p>
      <w:pPr>
        <w:pStyle w:val="16"/>
        <w:spacing w:line="600" w:lineRule="exact"/>
        <w:ind w:firstLine="640" w:firstLineChars="200"/>
        <w:rPr>
          <w:rFonts w:hint="eastAsia" w:hAnsi="黑体"/>
          <w:bCs/>
          <w:sz w:val="32"/>
          <w:szCs w:val="32"/>
        </w:rPr>
      </w:pPr>
      <w:r>
        <w:rPr>
          <w:rFonts w:hint="eastAsia" w:hAnsi="黑体"/>
          <w:bCs/>
          <w:sz w:val="32"/>
          <w:szCs w:val="32"/>
        </w:rPr>
        <w:t>根据CS03其他收入明细情况表，本单位其他收入具体构成如下：</w:t>
      </w:r>
    </w:p>
    <w:p>
      <w:pPr>
        <w:pStyle w:val="16"/>
        <w:spacing w:line="600" w:lineRule="exact"/>
        <w:ind w:firstLine="640" w:firstLineChars="200"/>
        <w:rPr>
          <w:rFonts w:hint="eastAsia" w:hAnsi="黑体"/>
          <w:bCs/>
          <w:sz w:val="32"/>
          <w:szCs w:val="32"/>
        </w:rPr>
      </w:pPr>
      <w:r>
        <w:rPr>
          <w:rFonts w:hint="eastAsia" w:hAnsi="黑体"/>
          <w:bCs/>
          <w:sz w:val="32"/>
          <w:szCs w:val="32"/>
        </w:rPr>
        <w:t>项目</w:t>
      </w:r>
    </w:p>
    <w:p>
      <w:pPr>
        <w:pStyle w:val="16"/>
        <w:spacing w:line="600" w:lineRule="exact"/>
        <w:ind w:firstLine="640" w:firstLineChars="200"/>
        <w:rPr>
          <w:rFonts w:hint="eastAsia" w:hAnsi="黑体"/>
          <w:bCs/>
          <w:sz w:val="32"/>
          <w:szCs w:val="32"/>
        </w:rPr>
      </w:pPr>
      <w:r>
        <w:rPr>
          <w:rFonts w:hint="eastAsia" w:hAnsi="黑体"/>
          <w:bCs/>
          <w:sz w:val="32"/>
          <w:szCs w:val="32"/>
        </w:rPr>
        <w:t>金额（元）</w:t>
      </w:r>
    </w:p>
    <w:p>
      <w:pPr>
        <w:pStyle w:val="16"/>
        <w:spacing w:line="600" w:lineRule="exact"/>
        <w:ind w:firstLine="640" w:firstLineChars="200"/>
        <w:rPr>
          <w:rFonts w:hint="eastAsia" w:hAnsi="黑体"/>
          <w:bCs/>
          <w:sz w:val="32"/>
          <w:szCs w:val="32"/>
        </w:rPr>
      </w:pPr>
      <w:r>
        <w:rPr>
          <w:rFonts w:hint="eastAsia" w:hAnsi="黑体"/>
          <w:bCs/>
          <w:sz w:val="32"/>
          <w:szCs w:val="32"/>
        </w:rPr>
        <w:t>备注</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一、其他收入合计</w:t>
      </w:r>
    </w:p>
    <w:p>
      <w:pPr>
        <w:pStyle w:val="16"/>
        <w:spacing w:line="600" w:lineRule="exact"/>
        <w:ind w:firstLine="640" w:firstLineChars="200"/>
        <w:rPr>
          <w:rFonts w:hint="eastAsia" w:hAnsi="黑体"/>
          <w:bCs/>
          <w:sz w:val="32"/>
          <w:szCs w:val="32"/>
        </w:rPr>
      </w:pPr>
      <w:r>
        <w:rPr>
          <w:rFonts w:hint="eastAsia" w:hAnsi="黑体"/>
          <w:bCs/>
          <w:sz w:val="32"/>
          <w:szCs w:val="32"/>
        </w:rPr>
        <w:t>2,133,135</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（一）非同级财政拨款收入</w:t>
      </w:r>
    </w:p>
    <w:p>
      <w:pPr>
        <w:pStyle w:val="16"/>
        <w:spacing w:line="600" w:lineRule="exact"/>
        <w:ind w:firstLine="640" w:firstLineChars="200"/>
        <w:rPr>
          <w:rFonts w:hint="eastAsia" w:hAnsi="黑体"/>
          <w:bCs/>
          <w:sz w:val="32"/>
          <w:szCs w:val="32"/>
        </w:rPr>
      </w:pPr>
      <w:r>
        <w:rPr>
          <w:rFonts w:hint="eastAsia" w:hAnsi="黑体"/>
          <w:bCs/>
          <w:sz w:val="32"/>
          <w:szCs w:val="32"/>
        </w:rPr>
        <w:t>2,133,135</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其中：本级横向转拨财政款</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非本级财政拨款</w:t>
      </w:r>
    </w:p>
    <w:p>
      <w:pPr>
        <w:pStyle w:val="16"/>
        <w:spacing w:line="600" w:lineRule="exact"/>
        <w:ind w:firstLine="640" w:firstLineChars="200"/>
        <w:rPr>
          <w:rFonts w:hint="eastAsia" w:hAnsi="黑体"/>
          <w:bCs/>
          <w:sz w:val="32"/>
          <w:szCs w:val="32"/>
        </w:rPr>
      </w:pPr>
      <w:r>
        <w:rPr>
          <w:rFonts w:hint="eastAsia" w:hAnsi="黑体"/>
          <w:bCs/>
          <w:sz w:val="32"/>
          <w:szCs w:val="32"/>
        </w:rPr>
        <w:t>2,133,135</w:t>
      </w:r>
    </w:p>
    <w:p>
      <w:pPr>
        <w:pStyle w:val="16"/>
        <w:spacing w:line="600" w:lineRule="exact"/>
        <w:ind w:firstLine="640" w:firstLineChars="200"/>
        <w:rPr>
          <w:rFonts w:hint="eastAsia" w:hAnsi="黑体"/>
          <w:bCs/>
          <w:sz w:val="32"/>
          <w:szCs w:val="32"/>
        </w:rPr>
      </w:pPr>
      <w:r>
        <w:rPr>
          <w:rFonts w:hint="eastAsia" w:hAnsi="黑体"/>
          <w:bCs/>
          <w:sz w:val="32"/>
          <w:szCs w:val="32"/>
        </w:rPr>
        <w:t>非本级财政拨款</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（二）投资收益</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（三）利息收入</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（四）捐赠收入</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（五）事业单位固定资产出租收入</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（六）盘盈收入</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（七）其他</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r>
        <w:rPr>
          <w:rFonts w:hint="eastAsia" w:hAnsi="黑体"/>
          <w:bCs/>
          <w:sz w:val="32"/>
          <w:szCs w:val="32"/>
        </w:rPr>
        <w:t>—</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说明： 本单位其他收入213.31万元全部为非本级财政拨款，主要是从上级或下级政府（包括政府财政和政府部门）取得的各类财政款，用于保障机构运转和特定工作事项。具体来源已在决算编报时按财政部门要求列明。</w:t>
      </w:r>
    </w:p>
    <w:p>
      <w:pPr>
        <w:pStyle w:val="16"/>
        <w:spacing w:line="600" w:lineRule="exact"/>
        <w:ind w:firstLine="640" w:firstLineChars="200"/>
        <w:rPr>
          <w:rFonts w:hint="eastAsia" w:hAnsi="黑体"/>
          <w:bCs/>
          <w:sz w:val="32"/>
          <w:szCs w:val="32"/>
        </w:rPr>
      </w:pPr>
      <w:r>
        <w:rPr>
          <w:rFonts w:hint="eastAsia" w:hAnsi="黑体"/>
          <w:bCs/>
          <w:sz w:val="32"/>
          <w:szCs w:val="32"/>
        </w:rPr>
        <w:t>2．年末结转结余扣除经营亏损后如为负数的情况说明</w:t>
      </w:r>
    </w:p>
    <w:p>
      <w:pPr>
        <w:pStyle w:val="16"/>
        <w:spacing w:line="600" w:lineRule="exact"/>
        <w:ind w:firstLine="640" w:firstLineChars="200"/>
        <w:rPr>
          <w:rFonts w:hint="eastAsia" w:hAnsi="黑体"/>
          <w:bCs/>
          <w:sz w:val="32"/>
          <w:szCs w:val="32"/>
        </w:rPr>
      </w:pPr>
      <w:r>
        <w:rPr>
          <w:rFonts w:hint="eastAsia" w:hAnsi="黑体"/>
          <w:bCs/>
          <w:sz w:val="32"/>
          <w:szCs w:val="32"/>
        </w:rPr>
        <w:t>本单位2025年末结转和结余为0元，不存在负数情况。</w:t>
      </w:r>
    </w:p>
    <w:p>
      <w:pPr>
        <w:pStyle w:val="16"/>
        <w:spacing w:line="600" w:lineRule="exact"/>
        <w:ind w:firstLine="640" w:firstLineChars="200"/>
        <w:rPr>
          <w:rFonts w:hint="eastAsia" w:hAnsi="黑体"/>
          <w:bCs/>
          <w:sz w:val="32"/>
          <w:szCs w:val="32"/>
        </w:rPr>
      </w:pPr>
      <w:r>
        <w:rPr>
          <w:rFonts w:hint="eastAsia" w:hAnsi="黑体"/>
          <w:bCs/>
          <w:sz w:val="32"/>
          <w:szCs w:val="32"/>
        </w:rPr>
        <w:t>财政拨款结转和结余： 0元</w:t>
      </w:r>
    </w:p>
    <w:p>
      <w:pPr>
        <w:pStyle w:val="16"/>
        <w:spacing w:line="600" w:lineRule="exact"/>
        <w:ind w:firstLine="640" w:firstLineChars="200"/>
        <w:rPr>
          <w:rFonts w:hint="eastAsia" w:hAnsi="黑体"/>
          <w:bCs/>
          <w:sz w:val="32"/>
          <w:szCs w:val="32"/>
        </w:rPr>
      </w:pPr>
      <w:r>
        <w:rPr>
          <w:rFonts w:hint="eastAsia" w:hAnsi="黑体"/>
          <w:bCs/>
          <w:sz w:val="32"/>
          <w:szCs w:val="32"/>
        </w:rPr>
        <w:t>非财政拨款结转和结余： 0元</w:t>
      </w:r>
    </w:p>
    <w:p>
      <w:pPr>
        <w:pStyle w:val="16"/>
        <w:spacing w:line="600" w:lineRule="exact"/>
        <w:ind w:firstLine="640" w:firstLineChars="200"/>
        <w:rPr>
          <w:rFonts w:hint="eastAsia" w:hAnsi="黑体"/>
          <w:bCs/>
          <w:sz w:val="32"/>
          <w:szCs w:val="32"/>
        </w:rPr>
      </w:pPr>
      <w:r>
        <w:rPr>
          <w:rFonts w:hint="eastAsia" w:hAnsi="黑体"/>
          <w:bCs/>
          <w:sz w:val="32"/>
          <w:szCs w:val="32"/>
        </w:rPr>
        <w:t>本单位严格执行预算管理，做到收支平衡，无结转结余资金。</w:t>
      </w:r>
    </w:p>
    <w:p>
      <w:pPr>
        <w:pStyle w:val="16"/>
        <w:spacing w:line="600" w:lineRule="exact"/>
        <w:ind w:firstLine="640" w:firstLineChars="200"/>
        <w:rPr>
          <w:rFonts w:hint="eastAsia" w:hAnsi="黑体"/>
          <w:bCs/>
          <w:sz w:val="32"/>
          <w:szCs w:val="32"/>
        </w:rPr>
      </w:pPr>
      <w:r>
        <w:rPr>
          <w:rFonts w:hint="eastAsia" w:hAnsi="黑体"/>
          <w:bCs/>
          <w:sz w:val="32"/>
          <w:szCs w:val="32"/>
        </w:rPr>
        <w:t>3．"项目支出决算明细表"中列支"工资福利支出"和"对个人和家庭的补助"的情况说明</w:t>
      </w:r>
    </w:p>
    <w:p>
      <w:pPr>
        <w:pStyle w:val="16"/>
        <w:spacing w:line="600" w:lineRule="exact"/>
        <w:ind w:firstLine="640" w:firstLineChars="200"/>
        <w:rPr>
          <w:rFonts w:hint="eastAsia" w:hAnsi="黑体"/>
          <w:bCs/>
          <w:sz w:val="32"/>
          <w:szCs w:val="32"/>
        </w:rPr>
      </w:pPr>
      <w:r>
        <w:rPr>
          <w:rFonts w:hint="eastAsia" w:hAnsi="黑体"/>
          <w:bCs/>
          <w:sz w:val="32"/>
          <w:szCs w:val="32"/>
        </w:rPr>
        <w:t>根据Z05_2项目支出决算明细表，本单位项目支出中：</w:t>
      </w:r>
    </w:p>
    <w:p>
      <w:pPr>
        <w:pStyle w:val="16"/>
        <w:spacing w:line="600" w:lineRule="exact"/>
        <w:ind w:firstLine="640" w:firstLineChars="200"/>
        <w:rPr>
          <w:rFonts w:hint="eastAsia" w:hAnsi="黑体"/>
          <w:bCs/>
          <w:sz w:val="32"/>
          <w:szCs w:val="32"/>
        </w:rPr>
      </w:pPr>
      <w:r>
        <w:rPr>
          <w:rFonts w:hint="eastAsia" w:hAnsi="黑体"/>
          <w:bCs/>
          <w:sz w:val="32"/>
          <w:szCs w:val="32"/>
        </w:rPr>
        <w:t>经济分类科目</w:t>
      </w:r>
    </w:p>
    <w:p>
      <w:pPr>
        <w:pStyle w:val="16"/>
        <w:spacing w:line="600" w:lineRule="exact"/>
        <w:ind w:firstLine="640" w:firstLineChars="200"/>
        <w:rPr>
          <w:rFonts w:hint="eastAsia" w:hAnsi="黑体"/>
          <w:bCs/>
          <w:sz w:val="32"/>
          <w:szCs w:val="32"/>
        </w:rPr>
      </w:pPr>
      <w:r>
        <w:rPr>
          <w:rFonts w:hint="eastAsia" w:hAnsi="黑体"/>
          <w:bCs/>
          <w:sz w:val="32"/>
          <w:szCs w:val="32"/>
        </w:rPr>
        <w:t>金额（元）</w:t>
      </w:r>
    </w:p>
    <w:p>
      <w:pPr>
        <w:pStyle w:val="16"/>
        <w:spacing w:line="600" w:lineRule="exact"/>
        <w:ind w:firstLine="640" w:firstLineChars="200"/>
        <w:rPr>
          <w:rFonts w:hint="eastAsia" w:hAnsi="黑体"/>
          <w:bCs/>
          <w:sz w:val="32"/>
          <w:szCs w:val="32"/>
        </w:rPr>
      </w:pPr>
      <w:r>
        <w:rPr>
          <w:rFonts w:hint="eastAsia" w:hAnsi="黑体"/>
          <w:bCs/>
          <w:sz w:val="32"/>
          <w:szCs w:val="32"/>
        </w:rPr>
        <w:t>说明</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工资福利支出</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项目支出中未列支工资福利支出</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对个人和家庭的补助</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项目支出中未列支对个人和家庭的补助</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商品和服务支出</w:t>
      </w:r>
    </w:p>
    <w:p>
      <w:pPr>
        <w:pStyle w:val="16"/>
        <w:spacing w:line="600" w:lineRule="exact"/>
        <w:ind w:firstLine="640" w:firstLineChars="200"/>
        <w:rPr>
          <w:rFonts w:hint="eastAsia" w:hAnsi="黑体"/>
          <w:bCs/>
          <w:sz w:val="32"/>
          <w:szCs w:val="32"/>
        </w:rPr>
      </w:pPr>
      <w:r>
        <w:rPr>
          <w:rFonts w:hint="eastAsia" w:hAnsi="黑体"/>
          <w:bCs/>
          <w:sz w:val="32"/>
          <w:szCs w:val="32"/>
        </w:rPr>
        <w:t>0</w:t>
      </w:r>
    </w:p>
    <w:p>
      <w:pPr>
        <w:pStyle w:val="16"/>
        <w:spacing w:line="600" w:lineRule="exact"/>
        <w:ind w:firstLine="640" w:firstLineChars="200"/>
        <w:rPr>
          <w:rFonts w:hint="eastAsia" w:hAnsi="黑体"/>
          <w:bCs/>
          <w:sz w:val="32"/>
          <w:szCs w:val="32"/>
        </w:rPr>
      </w:pPr>
      <w:r>
        <w:rPr>
          <w:rFonts w:hint="eastAsia" w:hAnsi="黑体"/>
          <w:bCs/>
          <w:sz w:val="32"/>
          <w:szCs w:val="32"/>
        </w:rPr>
        <w:t>项目支出中未列支商品和服务支出</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资本性支出（基本建设）</w:t>
      </w:r>
    </w:p>
    <w:p>
      <w:pPr>
        <w:pStyle w:val="16"/>
        <w:spacing w:line="600" w:lineRule="exact"/>
        <w:ind w:firstLine="640" w:firstLineChars="200"/>
        <w:rPr>
          <w:rFonts w:hint="eastAsia" w:hAnsi="黑体"/>
          <w:bCs/>
          <w:sz w:val="32"/>
          <w:szCs w:val="32"/>
        </w:rPr>
      </w:pPr>
      <w:r>
        <w:rPr>
          <w:rFonts w:hint="eastAsia" w:hAnsi="黑体"/>
          <w:bCs/>
          <w:sz w:val="32"/>
          <w:szCs w:val="32"/>
        </w:rPr>
        <w:t>381,180</w:t>
      </w:r>
    </w:p>
    <w:p>
      <w:pPr>
        <w:pStyle w:val="16"/>
        <w:spacing w:line="600" w:lineRule="exact"/>
        <w:ind w:firstLine="640" w:firstLineChars="200"/>
        <w:rPr>
          <w:rFonts w:hint="eastAsia" w:hAnsi="黑体"/>
          <w:bCs/>
          <w:sz w:val="32"/>
          <w:szCs w:val="32"/>
        </w:rPr>
      </w:pPr>
      <w:r>
        <w:rPr>
          <w:rFonts w:hint="eastAsia" w:hAnsi="黑体"/>
          <w:bCs/>
          <w:sz w:val="32"/>
          <w:szCs w:val="32"/>
        </w:rPr>
        <w:t>农村公益事业建设支出</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资本性支出</w:t>
      </w:r>
    </w:p>
    <w:p>
      <w:pPr>
        <w:pStyle w:val="16"/>
        <w:spacing w:line="600" w:lineRule="exact"/>
        <w:ind w:firstLine="640" w:firstLineChars="200"/>
        <w:rPr>
          <w:rFonts w:hint="eastAsia" w:hAnsi="黑体"/>
          <w:bCs/>
          <w:sz w:val="32"/>
          <w:szCs w:val="32"/>
        </w:rPr>
      </w:pPr>
      <w:r>
        <w:rPr>
          <w:rFonts w:hint="eastAsia" w:hAnsi="黑体"/>
          <w:bCs/>
          <w:sz w:val="32"/>
          <w:szCs w:val="32"/>
        </w:rPr>
        <w:t>30,000</w:t>
      </w:r>
    </w:p>
    <w:p>
      <w:pPr>
        <w:pStyle w:val="16"/>
        <w:spacing w:line="600" w:lineRule="exact"/>
        <w:ind w:firstLine="640" w:firstLineChars="200"/>
        <w:rPr>
          <w:rFonts w:hint="eastAsia" w:hAnsi="黑体"/>
          <w:bCs/>
          <w:sz w:val="32"/>
          <w:szCs w:val="32"/>
        </w:rPr>
      </w:pPr>
      <w:r>
        <w:rPr>
          <w:rFonts w:hint="eastAsia" w:hAnsi="黑体"/>
          <w:bCs/>
          <w:sz w:val="32"/>
          <w:szCs w:val="32"/>
        </w:rPr>
        <w:t>创业担保贷款贴息及奖补</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r>
        <w:rPr>
          <w:rFonts w:hint="eastAsia" w:hAnsi="黑体"/>
          <w:bCs/>
          <w:sz w:val="32"/>
          <w:szCs w:val="32"/>
        </w:rPr>
        <w:t>说明： 本单位项目支出411,180元全部用于：</w:t>
      </w:r>
    </w:p>
    <w:p>
      <w:pPr>
        <w:pStyle w:val="16"/>
        <w:spacing w:line="600" w:lineRule="exact"/>
        <w:ind w:firstLine="640" w:firstLineChars="200"/>
        <w:rPr>
          <w:rFonts w:hint="eastAsia" w:hAnsi="黑体"/>
          <w:bCs/>
          <w:sz w:val="32"/>
          <w:szCs w:val="32"/>
        </w:rPr>
      </w:pPr>
      <w:r>
        <w:rPr>
          <w:rFonts w:hint="eastAsia" w:hAnsi="黑体"/>
          <w:bCs/>
          <w:sz w:val="32"/>
          <w:szCs w:val="32"/>
        </w:rPr>
        <w:t>对村级公益事业建设的补助（2130701）：381,180元，为发展改革委安排的基建项目支出，全部形成资本性支出（基本建设）；</w:t>
      </w:r>
    </w:p>
    <w:p>
      <w:pPr>
        <w:pStyle w:val="16"/>
        <w:spacing w:line="600" w:lineRule="exact"/>
        <w:ind w:firstLine="640" w:firstLineChars="200"/>
        <w:rPr>
          <w:rFonts w:hint="eastAsia" w:hAnsi="黑体"/>
          <w:bCs/>
          <w:sz w:val="32"/>
          <w:szCs w:val="32"/>
        </w:rPr>
      </w:pPr>
      <w:r>
        <w:rPr>
          <w:rFonts w:hint="eastAsia" w:hAnsi="黑体"/>
          <w:bCs/>
          <w:sz w:val="32"/>
          <w:szCs w:val="32"/>
        </w:rPr>
        <w:t>创业担保贷款贴息及奖补（2130804）：30,000元，为普惠金融发展专项资金支出，形成资本性支出。</w:t>
      </w:r>
    </w:p>
    <w:p>
      <w:pPr>
        <w:pStyle w:val="16"/>
        <w:spacing w:line="600" w:lineRule="exact"/>
        <w:ind w:firstLine="640" w:firstLineChars="200"/>
        <w:rPr>
          <w:rFonts w:hint="eastAsia" w:hAnsi="黑体"/>
          <w:bCs/>
          <w:sz w:val="32"/>
          <w:szCs w:val="32"/>
        </w:rPr>
      </w:pPr>
      <w:r>
        <w:rPr>
          <w:rFonts w:hint="eastAsia" w:hAnsi="黑体"/>
          <w:bCs/>
          <w:sz w:val="32"/>
          <w:szCs w:val="32"/>
        </w:rPr>
        <w:t>项目支出中未列支工资福利支出和对个人和家庭的补助，符合项目支出管理规定。</w:t>
      </w:r>
    </w:p>
    <w:p>
      <w:pPr>
        <w:pStyle w:val="16"/>
        <w:spacing w:line="600" w:lineRule="exact"/>
        <w:ind w:firstLine="640" w:firstLineChars="200"/>
        <w:rPr>
          <w:rFonts w:hint="eastAsia" w:hAnsi="黑体"/>
          <w:bCs/>
          <w:sz w:val="32"/>
          <w:szCs w:val="32"/>
        </w:rPr>
      </w:pPr>
      <w:r>
        <w:rPr>
          <w:rFonts w:hint="eastAsia" w:hAnsi="黑体"/>
          <w:bCs/>
          <w:sz w:val="32"/>
          <w:szCs w:val="32"/>
        </w:rPr>
        <w:t>4．"三公"经费统计数的特殊情况说明</w:t>
      </w:r>
    </w:p>
    <w:p>
      <w:pPr>
        <w:pStyle w:val="16"/>
        <w:spacing w:line="600" w:lineRule="exact"/>
        <w:ind w:firstLine="640" w:firstLineChars="200"/>
        <w:rPr>
          <w:rFonts w:hint="eastAsia" w:hAnsi="黑体"/>
          <w:bCs/>
          <w:sz w:val="32"/>
          <w:szCs w:val="32"/>
        </w:rPr>
      </w:pPr>
      <w:r>
        <w:rPr>
          <w:rFonts w:hint="eastAsia" w:hAnsi="黑体"/>
          <w:bCs/>
          <w:sz w:val="32"/>
          <w:szCs w:val="32"/>
        </w:rPr>
        <w:t>根据F03机构运行信息表，本单位"三公"经费支出情况如下：</w:t>
      </w:r>
    </w:p>
    <w:p>
      <w:pPr>
        <w:pStyle w:val="16"/>
        <w:spacing w:line="600" w:lineRule="exact"/>
        <w:ind w:firstLine="640" w:firstLineChars="200"/>
        <w:rPr>
          <w:rFonts w:hint="eastAsia" w:hAnsi="黑体"/>
          <w:bCs/>
          <w:sz w:val="32"/>
          <w:szCs w:val="32"/>
        </w:rPr>
      </w:pPr>
      <w:r>
        <w:rPr>
          <w:rFonts w:hint="eastAsia" w:hAnsi="黑体"/>
          <w:bCs/>
          <w:sz w:val="32"/>
          <w:szCs w:val="32"/>
        </w:rPr>
        <w:t>项目</w:t>
      </w:r>
    </w:p>
    <w:p>
      <w:pPr>
        <w:pStyle w:val="16"/>
        <w:spacing w:line="600" w:lineRule="exact"/>
        <w:ind w:firstLine="640" w:firstLineChars="200"/>
        <w:rPr>
          <w:rFonts w:hint="eastAsia" w:hAnsi="黑体"/>
          <w:bCs/>
          <w:sz w:val="32"/>
          <w:szCs w:val="32"/>
        </w:rPr>
      </w:pPr>
      <w:r>
        <w:rPr>
          <w:rFonts w:hint="eastAsia" w:hAnsi="黑体"/>
          <w:bCs/>
          <w:sz w:val="32"/>
          <w:szCs w:val="32"/>
        </w:rPr>
        <w:t>年初预算数（元）</w:t>
      </w:r>
    </w:p>
    <w:p>
      <w:pPr>
        <w:pStyle w:val="16"/>
        <w:spacing w:line="600" w:lineRule="exact"/>
        <w:ind w:firstLine="640" w:firstLineChars="200"/>
        <w:rPr>
          <w:rFonts w:hint="eastAsia" w:hAnsi="黑体"/>
          <w:bCs/>
          <w:sz w:val="32"/>
          <w:szCs w:val="32"/>
        </w:rPr>
      </w:pPr>
      <w:r>
        <w:rPr>
          <w:rFonts w:hint="eastAsia" w:hAnsi="黑体"/>
          <w:bCs/>
          <w:sz w:val="32"/>
          <w:szCs w:val="32"/>
        </w:rPr>
        <w:t>全年预算数（元）</w:t>
      </w:r>
    </w:p>
    <w:p>
      <w:pPr>
        <w:pStyle w:val="16"/>
        <w:spacing w:line="600" w:lineRule="exact"/>
        <w:ind w:firstLine="640" w:firstLineChars="200"/>
        <w:rPr>
          <w:rFonts w:hint="eastAsia" w:hAnsi="黑体"/>
          <w:bCs/>
          <w:sz w:val="32"/>
          <w:szCs w:val="32"/>
        </w:rPr>
      </w:pPr>
      <w:r>
        <w:rPr>
          <w:rFonts w:hint="eastAsia" w:hAnsi="黑体"/>
          <w:bCs/>
          <w:sz w:val="32"/>
          <w:szCs w:val="32"/>
        </w:rPr>
        <w:t>决算数（元）</w:t>
      </w: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int="eastAsia" w:hAnsi="黑体"/>
          <w:bCs/>
          <w:sz w:val="32"/>
          <w:szCs w:val="32"/>
        </w:rPr>
      </w:pPr>
    </w:p>
    <w:p>
      <w:pPr>
        <w:pStyle w:val="16"/>
        <w:spacing w:line="600" w:lineRule="exact"/>
        <w:ind w:firstLine="640" w:firstLineChars="200"/>
        <w:rPr>
          <w:rFonts w:hAnsi="黑体"/>
          <w:bCs/>
          <w:sz w:val="32"/>
          <w:szCs w:val="32"/>
        </w:rPr>
      </w:pPr>
      <w:r>
        <w:rPr>
          <w:rFonts w:hint="eastAsia" w:hAnsi="黑体"/>
          <w:bCs/>
          <w:sz w:val="32"/>
          <w:szCs w:val="32"/>
        </w:rPr>
        <w:t>八、政府性基金预算收入支出决算情况</w:t>
      </w:r>
    </w:p>
    <w:p>
      <w:pPr>
        <w:pStyle w:val="16"/>
        <w:spacing w:line="600" w:lineRule="exact"/>
        <w:rPr>
          <w:rFonts w:ascii="Times New Roman" w:hAnsi="Times New Roman" w:eastAsia="仿宋_GB2312"/>
          <w:sz w:val="32"/>
          <w:szCs w:val="32"/>
        </w:rPr>
      </w:pPr>
      <w:r>
        <w:rPr>
          <w:rFonts w:hint="eastAsia" w:ascii="Times New Roman" w:hAnsi="Times New Roman" w:eastAsia="仿宋_GB2312"/>
          <w:sz w:val="32"/>
          <w:szCs w:val="32"/>
        </w:rPr>
        <w:t xml:space="preserve">     我单位没有政府性基金收入，也没有使用政府性基金安排的支出，故本表无数据。</w:t>
      </w:r>
    </w:p>
    <w:p>
      <w:pPr>
        <w:pStyle w:val="16"/>
        <w:spacing w:line="600" w:lineRule="exact"/>
        <w:ind w:firstLine="640" w:firstLineChars="200"/>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6"/>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183.5</w:t>
      </w:r>
      <w:r>
        <w:rPr>
          <w:rFonts w:hint="eastAsia" w:ascii="Times New Roman" w:hAnsi="Times New Roman" w:eastAsia="仿宋_GB2312"/>
          <w:sz w:val="32"/>
          <w:szCs w:val="32"/>
        </w:rPr>
        <w:t>万元，比年初预算数</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3.5</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，和上年基本持平</w:t>
      </w:r>
      <w:r>
        <w:rPr>
          <w:rFonts w:hint="eastAsia" w:ascii="Times New Roman" w:hAnsi="Times New Roman" w:eastAsia="仿宋_GB2312"/>
          <w:sz w:val="32"/>
          <w:szCs w:val="32"/>
        </w:rPr>
        <w:t>。</w:t>
      </w:r>
    </w:p>
    <w:p>
      <w:pPr>
        <w:pStyle w:val="16"/>
        <w:spacing w:line="600" w:lineRule="exact"/>
        <w:ind w:firstLine="640" w:firstLineChars="200"/>
        <w:rPr>
          <w:rFonts w:hAnsi="黑体"/>
          <w:bCs/>
          <w:sz w:val="32"/>
          <w:szCs w:val="32"/>
        </w:rPr>
      </w:pPr>
      <w:r>
        <w:rPr>
          <w:rFonts w:hint="eastAsia" w:hAnsi="黑体"/>
          <w:bCs/>
          <w:sz w:val="32"/>
          <w:szCs w:val="32"/>
        </w:rPr>
        <w:t>十、一般性支出情况说明</w:t>
      </w:r>
    </w:p>
    <w:p>
      <w:pPr>
        <w:pStyle w:val="16"/>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6"/>
        <w:spacing w:line="600" w:lineRule="exact"/>
        <w:ind w:firstLine="640" w:firstLineChars="200"/>
        <w:rPr>
          <w:rFonts w:hAnsi="黑体"/>
          <w:bCs/>
          <w:sz w:val="32"/>
          <w:szCs w:val="32"/>
        </w:rPr>
      </w:pPr>
      <w:r>
        <w:rPr>
          <w:rFonts w:hint="eastAsia" w:hAnsi="黑体"/>
          <w:bCs/>
          <w:sz w:val="32"/>
          <w:szCs w:val="32"/>
        </w:rPr>
        <w:t>十一、关于政府采购支出说明</w:t>
      </w:r>
    </w:p>
    <w:p>
      <w:pPr>
        <w:pStyle w:val="16"/>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5万元、政府采购工程支出0万元、政府采购服务支出0万元。</w:t>
      </w:r>
    </w:p>
    <w:p>
      <w:pPr>
        <w:pStyle w:val="16"/>
        <w:spacing w:line="580" w:lineRule="exact"/>
        <w:ind w:firstLine="640" w:firstLineChars="200"/>
        <w:rPr>
          <w:rFonts w:hAnsi="黑体"/>
          <w:bCs/>
          <w:color w:val="auto"/>
          <w:sz w:val="32"/>
          <w:szCs w:val="32"/>
        </w:rPr>
      </w:pPr>
      <w:r>
        <w:rPr>
          <w:rFonts w:hint="eastAsia" w:hAnsi="黑体"/>
          <w:bCs/>
          <w:color w:val="auto"/>
          <w:sz w:val="32"/>
          <w:szCs w:val="32"/>
        </w:rPr>
        <w:t>十二、关于国有资产占用情况说明</w:t>
      </w:r>
    </w:p>
    <w:p>
      <w:pPr>
        <w:pStyle w:val="16"/>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2025</w:t>
      </w:r>
      <w:r>
        <w:rPr>
          <w:rFonts w:hint="eastAsia" w:ascii="Times New Roman" w:hAnsi="Times New Roman" w:eastAsia="仿宋_GB2312"/>
          <w:color w:val="auto"/>
          <w:sz w:val="32"/>
          <w:szCs w:val="32"/>
        </w:rPr>
        <w:t>年12月31日，部门（单位）共有车辆1辆，其中，副部（省）级及以上领导用车0辆、主要负责人用车0辆、机要通信用车0辆、应急保障用车0辆、执法执勤用车1辆、特种专业技术用车0辆、离退休干部服务用车0辆、其他用车0辆；单位价值100万元以上设备（不含车辆）0台（套）。</w:t>
      </w:r>
    </w:p>
    <w:p>
      <w:pPr>
        <w:pStyle w:val="16"/>
        <w:spacing w:line="580" w:lineRule="exact"/>
        <w:ind w:firstLine="640" w:firstLineChars="200"/>
        <w:rPr>
          <w:rFonts w:hAnsi="黑体"/>
          <w:bCs/>
          <w:color w:val="auto"/>
          <w:sz w:val="32"/>
          <w:szCs w:val="32"/>
        </w:rPr>
      </w:pPr>
      <w:r>
        <w:rPr>
          <w:rFonts w:hint="eastAsia" w:hAnsi="黑体"/>
          <w:bCs/>
          <w:color w:val="auto"/>
          <w:sz w:val="32"/>
          <w:szCs w:val="32"/>
        </w:rPr>
        <w:t>十三、关于</w:t>
      </w:r>
      <w:r>
        <w:rPr>
          <w:rFonts w:hint="eastAsia" w:ascii="Times New Roman" w:hAnsi="Times New Roman" w:eastAsia="仿宋_GB2312"/>
          <w:color w:val="auto"/>
          <w:sz w:val="32"/>
          <w:szCs w:val="32"/>
          <w:lang w:eastAsia="zh-CN"/>
        </w:rPr>
        <w:t>2025</w:t>
      </w:r>
      <w:r>
        <w:rPr>
          <w:rFonts w:hint="eastAsia" w:hAnsi="黑体"/>
          <w:bCs/>
          <w:color w:val="auto"/>
          <w:sz w:val="32"/>
          <w:szCs w:val="32"/>
        </w:rPr>
        <w:t>年度预算绩效情况的说明</w:t>
      </w:r>
    </w:p>
    <w:p>
      <w:pPr>
        <w:pStyle w:val="16"/>
        <w:numPr>
          <w:ilvl w:val="0"/>
          <w:numId w:val="1"/>
        </w:numPr>
        <w:spacing w:line="580" w:lineRule="exact"/>
        <w:rPr>
          <w:rFonts w:hint="eastAsia" w:ascii="楷体" w:hAnsi="楷体" w:eastAsia="楷体" w:cs="楷体"/>
          <w:b/>
          <w:bCs/>
          <w:sz w:val="32"/>
          <w:szCs w:val="32"/>
        </w:rPr>
      </w:pPr>
      <w:r>
        <w:rPr>
          <w:rFonts w:hint="eastAsia" w:ascii="楷体" w:hAnsi="楷体" w:eastAsia="楷体" w:cs="楷体"/>
          <w:b/>
          <w:bCs/>
          <w:sz w:val="32"/>
          <w:szCs w:val="32"/>
        </w:rPr>
        <w:t>绩效管理工作开展情况</w:t>
      </w:r>
    </w:p>
    <w:p>
      <w:pPr>
        <w:pStyle w:val="16"/>
        <w:spacing w:line="580" w:lineRule="exact"/>
        <w:ind w:left="643"/>
        <w:rPr>
          <w:rFonts w:ascii="楷体" w:hAnsi="楷体" w:eastAsia="楷体" w:cs="楷体"/>
          <w:bCs/>
          <w:sz w:val="32"/>
          <w:szCs w:val="32"/>
        </w:rPr>
      </w:pPr>
      <w:r>
        <w:rPr>
          <w:rFonts w:hint="eastAsia" w:ascii="楷体" w:hAnsi="楷体" w:eastAsia="楷体" w:cs="楷体"/>
          <w:bCs/>
          <w:sz w:val="32"/>
          <w:szCs w:val="32"/>
        </w:rPr>
        <w:t>道县</w:t>
      </w:r>
      <w:r>
        <w:rPr>
          <w:rFonts w:hint="eastAsia" w:ascii="楷体" w:hAnsi="楷体" w:eastAsia="楷体" w:cs="楷体"/>
          <w:bCs/>
          <w:sz w:val="32"/>
          <w:szCs w:val="32"/>
          <w:lang w:eastAsia="zh-CN"/>
        </w:rPr>
        <w:t>万家庄</w:t>
      </w:r>
      <w:r>
        <w:rPr>
          <w:rFonts w:hint="eastAsia" w:ascii="楷体" w:hAnsi="楷体" w:eastAsia="楷体" w:cs="楷体"/>
          <w:bCs/>
          <w:sz w:val="32"/>
          <w:szCs w:val="32"/>
        </w:rPr>
        <w:t>街道办事处</w:t>
      </w:r>
      <w:r>
        <w:rPr>
          <w:rFonts w:hint="eastAsia" w:ascii="楷体" w:hAnsi="楷体" w:eastAsia="楷体" w:cs="楷体"/>
          <w:bCs/>
          <w:sz w:val="32"/>
          <w:szCs w:val="32"/>
          <w:lang w:eastAsia="zh-CN"/>
        </w:rPr>
        <w:t>2025</w:t>
      </w:r>
      <w:r>
        <w:rPr>
          <w:rFonts w:hint="eastAsia" w:ascii="楷体" w:hAnsi="楷体" w:eastAsia="楷体" w:cs="楷体"/>
          <w:bCs/>
          <w:sz w:val="32"/>
          <w:szCs w:val="32"/>
        </w:rPr>
        <w:t>年度严格按照上级要求进行了绩效管理，并严格进行内部控制及内部审核工作。</w:t>
      </w:r>
    </w:p>
    <w:p>
      <w:pPr>
        <w:pStyle w:val="16"/>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（二）部门（单位）整体支出绩效情况</w:t>
      </w:r>
    </w:p>
    <w:p>
      <w:pPr>
        <w:pStyle w:val="16"/>
        <w:spacing w:line="58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根据《会计法》、《预算法》、《行政单位会计制度》等法律和财政部及省财政厅有关财务规章的规定，乡政府先后制订了《财务管理制度》、《</w:t>
      </w:r>
      <w:r>
        <w:rPr>
          <w:rFonts w:hint="eastAsia" w:ascii="Times New Roman" w:hAnsi="Times New Roman" w:eastAsia="仿宋_GB2312"/>
          <w:sz w:val="32"/>
          <w:szCs w:val="32"/>
          <w:lang w:eastAsia="zh-CN"/>
        </w:rPr>
        <w:t>万家庄街道办事处</w:t>
      </w:r>
      <w:r>
        <w:rPr>
          <w:rFonts w:hint="eastAsia" w:ascii="Times New Roman" w:hAnsi="Times New Roman" w:eastAsia="仿宋_GB2312"/>
          <w:sz w:val="32"/>
          <w:szCs w:val="32"/>
        </w:rPr>
        <w:t>公务接待管理办法》、《</w:t>
      </w:r>
      <w:r>
        <w:rPr>
          <w:rFonts w:hint="eastAsia" w:ascii="Times New Roman" w:hAnsi="Times New Roman" w:eastAsia="仿宋_GB2312"/>
          <w:sz w:val="32"/>
          <w:szCs w:val="32"/>
          <w:lang w:eastAsia="zh-CN"/>
        </w:rPr>
        <w:t>万家庄街道办事处</w:t>
      </w:r>
      <w:r>
        <w:rPr>
          <w:rFonts w:hint="eastAsia" w:ascii="Times New Roman" w:hAnsi="Times New Roman" w:eastAsia="仿宋_GB2312"/>
          <w:sz w:val="32"/>
          <w:szCs w:val="32"/>
        </w:rPr>
        <w:t>差旅费管理办法》等制度，制度明确了经费审批权限及程序，经费预算、核算管理、资产购置与处置、财务监督等，针对“三公”经费建立公用经费标准定额体系，开展公用经费使用监督和绩效评估，领导重视，干部参与，制度建立完善。</w:t>
      </w:r>
    </w:p>
    <w:p>
      <w:pPr>
        <w:pStyle w:val="16"/>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（三）存在的问题及原因分析</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ascii="仿宋_GB2312" w:hAnsi="仿宋_GB2312" w:eastAsia="仿宋_GB2312" w:cs="仿宋_GB2312"/>
          <w:sz w:val="28"/>
          <w:szCs w:val="28"/>
        </w:rPr>
        <w:t>预算绩效管理机制有待进一步完善</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需进一步结合工作实际完善资金管理文件办法等</w:t>
      </w:r>
      <w:r>
        <w:rPr>
          <w:rFonts w:hint="eastAsia" w:ascii="仿宋_GB2312" w:hAnsi="仿宋_GB2312" w:eastAsia="仿宋_GB2312" w:cs="仿宋_GB2312"/>
          <w:sz w:val="28"/>
          <w:szCs w:val="28"/>
        </w:rPr>
        <w:t>。</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绩效目标设定不够细化</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绩效目标的科学性、合理性以及量化可考核性有待进一步加强</w:t>
      </w:r>
      <w:r>
        <w:rPr>
          <w:rFonts w:hint="eastAsia" w:ascii="仿宋_GB2312" w:hAnsi="仿宋_GB2312" w:eastAsia="仿宋_GB2312" w:cs="仿宋_GB2312"/>
          <w:sz w:val="28"/>
          <w:szCs w:val="28"/>
        </w:rPr>
        <w:t>。</w:t>
      </w:r>
    </w:p>
    <w:p>
      <w:pPr>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ascii="仿宋_GB2312" w:hAnsi="仿宋_GB2312" w:eastAsia="仿宋_GB2312" w:cs="仿宋_GB2312"/>
          <w:sz w:val="28"/>
          <w:szCs w:val="28"/>
        </w:rPr>
        <w:t>内控制度执行有待进一步规范</w:t>
      </w:r>
      <w:r>
        <w:rPr>
          <w:rFonts w:hint="eastAsia" w:ascii="仿宋_GB2312" w:hAnsi="仿宋_GB2312" w:eastAsia="仿宋_GB2312" w:cs="仿宋_GB2312"/>
          <w:sz w:val="28"/>
          <w:szCs w:val="28"/>
        </w:rPr>
        <w:t>。</w:t>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4、存在预算资金不够细</w:t>
      </w:r>
      <w:r>
        <w:rPr>
          <w:rFonts w:hint="eastAsia" w:ascii="仿宋_GB2312" w:hAnsi="仿宋_GB2312" w:eastAsia="仿宋_GB2312" w:cs="仿宋_GB2312"/>
          <w:sz w:val="28"/>
          <w:szCs w:val="28"/>
          <w:lang w:eastAsia="zh-CN"/>
        </w:rPr>
        <w:t>分</w:t>
      </w:r>
      <w:r>
        <w:rPr>
          <w:rFonts w:hint="eastAsia" w:ascii="仿宋_GB2312" w:hAnsi="仿宋_GB2312" w:eastAsia="仿宋_GB2312" w:cs="仿宋_GB2312"/>
          <w:sz w:val="28"/>
          <w:szCs w:val="28"/>
        </w:rPr>
        <w:t>，支出与预算</w:t>
      </w:r>
      <w:r>
        <w:rPr>
          <w:rFonts w:hint="eastAsia" w:ascii="仿宋_GB2312" w:hAnsi="仿宋_GB2312" w:eastAsia="仿宋_GB2312" w:cs="仿宋_GB2312"/>
          <w:sz w:val="28"/>
          <w:szCs w:val="28"/>
          <w:lang w:eastAsia="zh-CN"/>
        </w:rPr>
        <w:t>匹配度</w:t>
      </w:r>
      <w:r>
        <w:rPr>
          <w:rFonts w:hint="eastAsia" w:ascii="仿宋_GB2312" w:hAnsi="仿宋_GB2312" w:eastAsia="仿宋_GB2312" w:cs="仿宋_GB2312"/>
          <w:sz w:val="28"/>
          <w:szCs w:val="28"/>
        </w:rPr>
        <w:t>不够</w:t>
      </w:r>
      <w:r>
        <w:rPr>
          <w:rFonts w:hint="eastAsia" w:ascii="仿宋_GB2312" w:hAnsi="仿宋_GB2312" w:eastAsia="仿宋_GB2312" w:cs="仿宋_GB2312"/>
          <w:sz w:val="28"/>
          <w:szCs w:val="28"/>
          <w:lang w:eastAsia="zh-CN"/>
        </w:rPr>
        <w:t>等</w:t>
      </w:r>
      <w:r>
        <w:rPr>
          <w:rFonts w:hint="eastAsia" w:ascii="仿宋_GB2312" w:hAnsi="仿宋_GB2312" w:eastAsia="仿宋_GB2312" w:cs="仿宋_GB2312"/>
          <w:sz w:val="28"/>
          <w:szCs w:val="28"/>
        </w:rPr>
        <w:t>问题。</w:t>
      </w:r>
    </w:p>
    <w:p>
      <w:pPr>
        <w:ind w:firstLine="640" w:firstLineChars="200"/>
        <w:rPr>
          <w:rFonts w:hint="eastAsia"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改进方法：</w:t>
      </w:r>
    </w:p>
    <w:p>
      <w:pPr>
        <w:ind w:firstLine="640" w:firstLineChars="20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规范账务处理，提高财务信息质量 。</w:t>
      </w:r>
    </w:p>
    <w:p>
      <w:pPr>
        <w:ind w:firstLine="640" w:firstLineChars="20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严格按照《会计法》、《行政单位会计制度》、《行政单位财务规则》等规定执行财务核算，并结合实际情况，完整、准确地披露相关信息，做到决算与预算相衔接。</w:t>
      </w:r>
    </w:p>
    <w:p>
      <w:pPr>
        <w:ind w:firstLine="640" w:firstLineChars="200"/>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rPr>
        <w:t>。</w:t>
      </w:r>
    </w:p>
    <w:p>
      <w:pPr>
        <w:pStyle w:val="16"/>
        <w:jc w:val="center"/>
        <w:rPr>
          <w:sz w:val="72"/>
          <w:szCs w:val="72"/>
        </w:rPr>
      </w:pPr>
    </w:p>
    <w:p>
      <w:pPr>
        <w:pStyle w:val="16"/>
        <w:jc w:val="center"/>
        <w:rPr>
          <w:sz w:val="72"/>
          <w:szCs w:val="72"/>
        </w:rPr>
      </w:pPr>
    </w:p>
    <w:p>
      <w:pPr>
        <w:pStyle w:val="16"/>
        <w:jc w:val="both"/>
        <w:rPr>
          <w:rFonts w:ascii="方正小标宋_GBK" w:hAnsi="方正小标宋_GBK" w:eastAsia="方正小标宋_GBK" w:cs="方正小标宋_GBK"/>
          <w:sz w:val="72"/>
          <w:szCs w:val="72"/>
        </w:rPr>
      </w:pPr>
    </w:p>
    <w:p>
      <w:pPr>
        <w:pStyle w:val="16"/>
        <w:jc w:val="center"/>
        <w:rPr>
          <w:rFonts w:ascii="方正小标宋_GBK" w:hAnsi="方正小标宋_GBK" w:eastAsia="方正小标宋_GBK" w:cs="方正小标宋_GBK"/>
          <w:sz w:val="72"/>
          <w:szCs w:val="72"/>
        </w:rPr>
      </w:pPr>
    </w:p>
    <w:p>
      <w:pPr>
        <w:pStyle w:val="16"/>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ascii="方正小标宋_GBK" w:hAnsi="方正小标宋_GBK" w:eastAsia="方正小标宋_GBK" w:cs="方正小标宋_GBK"/>
          <w:color w:val="000000"/>
          <w:kern w:val="0"/>
          <w:sz w:val="70"/>
          <w:szCs w:val="70"/>
        </w:rPr>
      </w:pPr>
    </w:p>
    <w:p>
      <w:pPr>
        <w:jc w:val="center"/>
        <w:rPr>
          <w:rFonts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pStyle w:val="16"/>
        <w:ind w:firstLine="640"/>
        <w:rPr>
          <w:rFonts w:asciiTheme="minorEastAsia" w:hAnsiTheme="minorEastAsia"/>
          <w:sz w:val="32"/>
          <w:szCs w:val="32"/>
        </w:rPr>
      </w:pPr>
      <w:r>
        <w:rPr>
          <w:rFonts w:hint="eastAsia" w:asciiTheme="minorEastAsia" w:hAnsiTheme="minorEastAsia"/>
          <w:sz w:val="32"/>
          <w:szCs w:val="32"/>
        </w:rPr>
        <w:t>1．财政拨款收入：指单位本年度从同级财政部门取得的各类财政拨款。</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2．上级补助收入：指事业单位从主管部门和上级单位取得的非财政补助收入。</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5．对附属单位补助支出：指事业单位用财政拨款收入之外的收入对附属单位补助发生的支出。</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6．经营支出：指事业单位在专业业务活动及其辅助活动之外开展非独立核算经营活动发生的支出。</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7．上缴上级支出：指事业单位按照财政部门和主管部门的规定上缴上级单位的支出。</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8．项目支出：指在为完成特定的工作任务和事业发展目标所发生的支出。</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9．基本支出：指为保障机构正常运转、完成日常工作任务而发生的支出，包括人员经费和公用经费。</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10．年末结转和结余资金：指本年度或以前年度预算安排、因客观条件发生变化无法按原计划实施，需要延迟到以后年度按有关规定继续使用的资金。</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11．结余分配：指事业单位按规定对非财政拨款结余资金提取的专用基金、缴纳的所得税和转入非财政拨款结余等。</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12．年初结转和结余：指单位上年结转本年使用的基本支出结转、项目支出结转和结余和经营结余。</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13．使用非财政拨款结余：指事业单位使用非财政拨款结余（原事业基金）弥补当年收支差额的数额。</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14．其他收入：指单位取得的除上述“财政拨款收入”、“事业收入”、“经营收入”等以外的各项收入。</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15．事业收入：指事业单位开展专业业务活动及其辅助活动取得的收入，事业单位收到的财政专户实际核拨的教育收费等资金在此反映。</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16．经营收入：指事业单位在专业业务活动及其辅助活动之外开展非独立核算经营活动取得的收入。</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17．附属单位上缴收入：指事业单位附属独立核算单位按照有关规定上缴的收入。</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18．一般公共服务支出（类）人大事务（款）其他人大事务支出（项）：反映除上述项目以外的其他人大事务支出。</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19．一般公共服务支出（类）政府办公厅（室）及相关机构事务（款）行政运行（项）：反映行政单位（包括实行公务员管理的事业单位）的基本 支出。</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20．一般公共服务支出（类）政府办公厅（室）及相关机构事务（款）其他政府办公厅（室）及相关机构事务支出（项）：反映除上述项目以外的其他政府办公厅（室）及相关机构事 务支出。</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21．一般公共服务支出（类）纪检监察事务（款）其他纪检监察事务支出（项）：反映除上述项目以外其他纪检监察事务方面的支出。</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22．一般公共服务支出（类）群众团体事务（款）其他群众团体事务支出（项）：反映除上述项目以外其他用于群众团体事务方面的支出。</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23．一般公共服务支出（类）其他一般公共服务支出（款）其他一般公共服务支出（项）：反映除上述项目以外的其他一般公共服务支出O</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24．社会保障和就业支出（类）行政事业单位养老支出（款）机关事业单位基本养老保险缴费支出（项）：反映机关事业单位实施养老保险制度由单位缴纳的基本养老保险费支出。</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25．社会保障和就业支出（类）抚恤（款）死亡抚恤（项）：反映按规定用于烈士和牺牲、病故人员家属的一次性和定期 抚恤金、丧葬补助费以及烈士褒扬金。</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26．卫生健康支出（类）行政事业单位医疗（款）行政单位医疗（项）：反映财政部门安排的行政单位（包括实行公务员管理的事业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27．农林水支出（类）巩固脱贫衔接乡村振兴（款）其他巩固脱贫衔接乡村振兴支出（项）：反映除上述项目以外其他用于巩固拓展脱贫攻坚成果同乡村</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28．农林水支出（类）农村综合改革（款）对村级公益事业建设的补助（项）：反映农村综合改革方面的支出。</w:t>
      </w:r>
    </w:p>
    <w:p>
      <w:pPr>
        <w:pStyle w:val="16"/>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29．农林水支出（类）农村综合改革（款）对村民委员会和村党支部的补助（项）：反映各级财政对村民委员会和村党支部的补助支出，以及支持建立县级基本财力保障机制安排的村级组织运转奖补资金。</w:t>
      </w:r>
    </w:p>
    <w:p>
      <w:pPr>
        <w:pStyle w:val="16"/>
        <w:ind w:firstLine="640"/>
        <w:rPr>
          <w:rFonts w:asciiTheme="minorEastAsia" w:hAnsiTheme="minorEastAsia"/>
          <w:sz w:val="32"/>
          <w:szCs w:val="32"/>
        </w:rPr>
      </w:pPr>
      <w:r>
        <w:rPr>
          <w:rFonts w:hint="eastAsia" w:asciiTheme="minorEastAsia" w:hAnsiTheme="minorEastAsia"/>
          <w:sz w:val="32"/>
          <w:szCs w:val="32"/>
        </w:rPr>
        <w:tab/>
      </w:r>
      <w:r>
        <w:rPr>
          <w:rFonts w:hint="eastAsia" w:asciiTheme="minorEastAsia" w:hAnsiTheme="minorEastAsia"/>
          <w:sz w:val="32"/>
          <w:szCs w:val="32"/>
        </w:rPr>
        <w:tab/>
      </w:r>
      <w:r>
        <w:rPr>
          <w:rFonts w:hint="eastAsia" w:asciiTheme="minorEastAsia" w:hAnsiTheme="minorEastAsia"/>
          <w:sz w:val="32"/>
          <w:szCs w:val="32"/>
        </w:rPr>
        <w:t>30．灾害防治及应急管理支出（类）自然灾害防治（款）森林草原防灾减灾（项）：反映防治森林草原火灾、自然水呈灾害等发生的支出。</w:t>
      </w:r>
    </w:p>
    <w:p>
      <w:pPr>
        <w:ind w:firstLine="1440" w:firstLineChars="200"/>
        <w:jc w:val="left"/>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pStyle w:val="16"/>
        <w:jc w:val="center"/>
        <w:rPr>
          <w:sz w:val="72"/>
          <w:szCs w:val="72"/>
        </w:rPr>
      </w:pPr>
    </w:p>
    <w:p>
      <w:pPr>
        <w:rPr>
          <w:sz w:val="72"/>
          <w:szCs w:val="72"/>
        </w:rPr>
      </w:pPr>
      <w:r>
        <w:rPr>
          <w:sz w:val="72"/>
          <w:szCs w:val="72"/>
        </w:rPr>
        <w:br w:type="page"/>
      </w:r>
    </w:p>
    <w:p>
      <w:pPr>
        <w:pStyle w:val="16"/>
        <w:jc w:val="center"/>
        <w:rPr>
          <w:rFonts w:ascii="方正小标宋_GBK" w:hAnsi="方正小标宋_GBK" w:eastAsia="方正小标宋_GBK" w:cs="方正小标宋_GBK"/>
          <w:sz w:val="72"/>
          <w:szCs w:val="72"/>
        </w:rPr>
      </w:pPr>
    </w:p>
    <w:p>
      <w:pPr>
        <w:pStyle w:val="16"/>
        <w:jc w:val="center"/>
        <w:rPr>
          <w:rFonts w:ascii="方正小标宋_GBK" w:hAnsi="方正小标宋_GBK" w:eastAsia="方正小标宋_GBK" w:cs="方正小标宋_GBK"/>
          <w:sz w:val="72"/>
          <w:szCs w:val="72"/>
        </w:rPr>
      </w:pPr>
    </w:p>
    <w:p>
      <w:pPr>
        <w:pStyle w:val="16"/>
        <w:jc w:val="center"/>
        <w:rPr>
          <w:rFonts w:ascii="方正小标宋_GBK" w:hAnsi="方正小标宋_GBK" w:eastAsia="方正小标宋_GBK" w:cs="方正小标宋_GBK"/>
          <w:sz w:val="72"/>
          <w:szCs w:val="72"/>
        </w:rPr>
      </w:pPr>
    </w:p>
    <w:p>
      <w:pPr>
        <w:pStyle w:val="16"/>
        <w:jc w:val="center"/>
        <w:rPr>
          <w:rFonts w:ascii="方正小标宋_GBK" w:hAnsi="方正小标宋_GBK" w:eastAsia="方正小标宋_GBK" w:cs="方正小标宋_GBK"/>
          <w:sz w:val="72"/>
          <w:szCs w:val="72"/>
        </w:rPr>
      </w:pPr>
    </w:p>
    <w:p>
      <w:pPr>
        <w:pStyle w:val="16"/>
        <w:jc w:val="center"/>
        <w:rPr>
          <w:rFonts w:ascii="方正小标宋_GBK" w:hAnsi="方正小标宋_GBK" w:eastAsia="方正小标宋_GBK" w:cs="方正小标宋_GBK"/>
          <w:sz w:val="72"/>
          <w:szCs w:val="72"/>
        </w:rPr>
      </w:pPr>
    </w:p>
    <w:p>
      <w:pPr>
        <w:pStyle w:val="16"/>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第五部分</w:t>
      </w:r>
    </w:p>
    <w:p>
      <w:pPr>
        <w:pStyle w:val="16"/>
        <w:jc w:val="center"/>
        <w:rPr>
          <w:rFonts w:ascii="方正小标宋_GBK" w:hAnsi="方正小标宋_GBK" w:eastAsia="方正小标宋_GBK" w:cs="方正小标宋_GBK"/>
          <w:sz w:val="70"/>
          <w:szCs w:val="70"/>
        </w:rPr>
      </w:pPr>
    </w:p>
    <w:p>
      <w:pPr>
        <w:pStyle w:val="16"/>
        <w:jc w:val="center"/>
        <w:rPr>
          <w:sz w:val="72"/>
          <w:szCs w:val="72"/>
        </w:rPr>
      </w:pPr>
      <w:r>
        <w:rPr>
          <w:rFonts w:hint="eastAsia" w:ascii="方正小标宋_GBK" w:hAnsi="方正小标宋_GBK" w:eastAsia="方正小标宋_GBK" w:cs="方正小标宋_GBK"/>
          <w:sz w:val="70"/>
          <w:szCs w:val="70"/>
        </w:rPr>
        <w:t>附 件</w:t>
      </w:r>
    </w:p>
    <w:p>
      <w:pPr>
        <w:rPr>
          <w:sz w:val="72"/>
          <w:szCs w:val="72"/>
        </w:rPr>
      </w:pPr>
      <w:r>
        <w:rPr>
          <w:sz w:val="72"/>
          <w:szCs w:val="72"/>
        </w:rPr>
        <w:br w:type="page"/>
      </w:r>
    </w:p>
    <w:p>
      <w:pPr>
        <w:pStyle w:val="16"/>
        <w:spacing w:line="600" w:lineRule="exact"/>
        <w:ind w:firstLine="640" w:firstLineChars="200"/>
        <w:rPr>
          <w:rFonts w:ascii="Times New Roman" w:hAnsi="Times New Roman" w:eastAsia="仿宋_GB2312"/>
          <w:sz w:val="32"/>
          <w:szCs w:val="32"/>
        </w:rPr>
      </w:pPr>
      <w:r>
        <w:rPr>
          <w:rFonts w:hint="eastAsia" w:ascii="楷体" w:hAnsi="楷体" w:eastAsia="楷体" w:cs="楷体"/>
          <w:b/>
          <w:bCs/>
          <w:sz w:val="32"/>
          <w:szCs w:val="32"/>
        </w:rPr>
        <w:t>一、</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年度部门(单位)整体支出绩效自评报告。</w:t>
      </w:r>
    </w:p>
    <w:p>
      <w:pPr>
        <w:adjustRightInd w:val="0"/>
        <w:spacing w:line="600" w:lineRule="exact"/>
        <w:jc w:val="center"/>
        <w:rPr>
          <w:rFonts w:ascii="宋体" w:cs="宋体"/>
          <w:sz w:val="48"/>
          <w:szCs w:val="48"/>
        </w:rPr>
      </w:pPr>
      <w:r>
        <w:rPr>
          <w:rFonts w:hint="eastAsia" w:ascii="宋体" w:hAnsi="宋体" w:cs="宋体"/>
          <w:b/>
          <w:bCs/>
          <w:sz w:val="48"/>
          <w:szCs w:val="48"/>
          <w:lang w:eastAsia="zh-CN"/>
        </w:rPr>
        <w:t>2025</w:t>
      </w:r>
      <w:r>
        <w:rPr>
          <w:rFonts w:hint="eastAsia" w:ascii="宋体" w:hAnsi="宋体" w:cs="宋体"/>
          <w:b/>
          <w:bCs/>
          <w:sz w:val="48"/>
          <w:szCs w:val="48"/>
        </w:rPr>
        <w:t>年度</w:t>
      </w:r>
      <w:r>
        <w:rPr>
          <w:rFonts w:hint="eastAsia" w:ascii="宋体" w:hAnsi="宋体" w:cs="宋体"/>
          <w:b/>
          <w:bCs/>
          <w:sz w:val="48"/>
          <w:szCs w:val="48"/>
          <w:lang w:eastAsia="zh-CN"/>
        </w:rPr>
        <w:t>万家庄</w:t>
      </w:r>
      <w:r>
        <w:rPr>
          <w:rFonts w:hint="eastAsia" w:ascii="宋体" w:hAnsi="宋体" w:cs="宋体"/>
          <w:b/>
          <w:bCs/>
          <w:sz w:val="48"/>
          <w:szCs w:val="48"/>
        </w:rPr>
        <w:t>街道办事处</w:t>
      </w:r>
    </w:p>
    <w:p>
      <w:pPr>
        <w:adjustRightInd w:val="0"/>
        <w:spacing w:line="600" w:lineRule="exact"/>
        <w:jc w:val="center"/>
        <w:rPr>
          <w:rFonts w:ascii="宋体" w:cs="宋体"/>
          <w:b/>
          <w:bCs/>
          <w:sz w:val="48"/>
          <w:szCs w:val="48"/>
        </w:rPr>
      </w:pPr>
      <w:r>
        <w:rPr>
          <w:rFonts w:hint="eastAsia" w:ascii="宋体" w:hAnsi="宋体" w:cs="宋体"/>
          <w:b/>
          <w:bCs/>
          <w:sz w:val="48"/>
          <w:szCs w:val="48"/>
        </w:rPr>
        <w:t>部门整体支出绩效评价报告</w:t>
      </w:r>
    </w:p>
    <w:p>
      <w:pPr>
        <w:adjustRightInd w:val="0"/>
        <w:spacing w:line="600" w:lineRule="exact"/>
        <w:rPr>
          <w:rFonts w:eastAsia="仿宋_GB2312"/>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一、单位情况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（一）基本情况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1．主要职能</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道县万家庄街道财政所是道县财政局下属的基层财政管理机构，主要负责万家庄街道范围内的财政收支管理、预算编制与执行、财政资金监管、村级财务指导、惠农资金发放、非税收入征管以及财政信息化建设等工作。作为乡级预算单位，承担着贯彻落实国家财政政策、服务基层经济社会发展的重要职责。</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2．机构情况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本单位为独立编制机构和独立核算机构，机构性质为行政单位，执行政府会计准则制度。2025年度机构设置保持稳定，无新增、撤销或合并等情况。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当年变动情况及原因： 本年度机构数量与上年度保持一致，均为1个独立编制机构和1个独立核算机构，无变动。</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3．人员情况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2025年末，本单位编制内实有人员67人，其中：公务员29人，事业管理人员和专业技术人员38人。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当年变动情况及原因： 与上年度相比，编制内实有人员增加10人，增长17.5%。其中：公务员减少1人（减少3.3%），事业管理人员和专业技术人员增加2人（增长5.6%）。人员变动主要原因为在职人员正常流动及岗位调整。</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（二）当年取得的主要事业成效</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2025年，道县万家庄街道财政所在县财政局和街道党工委、办事处的正确领导下，紧紧围绕财政中心工作，积极履行职能，取得了以下主要成效：</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预算管理规范有序：严格执行预算法及相关规定，全年预算执行率达到99.99%，财政拨款结转结余为零，实现了收支平衡。</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惠农政策落实到位：及时足额发放森林生态效益补偿、农村公益事业建设补助、对村民委员会和村党支部的补助等涉农资金，有力支持了乡村振兴和农村基层治理。</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"三公"经费管控有力：认真贯彻落实中央八项规定精神，大力压减"三公"经费支出，全年公务用车运行维护费40,996元，较上年下降20.9%，公务接待费实现零支出。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财政监管持续加强：加强对村级财务的指导和监督，规范村级公益事业建设资金管理，确保财政资金安全高效使用。</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基础工作扎实推进：完成财政供养人员信息维护、资产清查、决算编报等基础性工作，财政管理信息化水平不断提升。</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二、收入支出预算执行情况分析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（一）收入支出预算安排情况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 年初预算安排情况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2025年度，本单位年初预算安排情况如下：</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年初收入预算：10,937,596.80元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一般公共预算财政拨款收入：8,804,459.80元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其他收入：2,133,137.00元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年初支出预算：10,937,596.80元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基本支出：10,526,416.80元（人员经费6,449,423.00元，公用经费4,076,993.80元）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项目支出：411,180.00元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 与上年对比情况及增减变动原因</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与2024年度年初预算（14,140,001.00元）相比，2025年度年初预算减少3,202,404.20元，下降22.6%。主要原因：年度预算调整及政策变化，压减一般性支出，优化支出结构。</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（二）收入支出预算执行情况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 当年收入支出预算执行基本情况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2025年度，本单位决算执行情况如下：</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指标项目</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决算数（元）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全年预算数（元）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预算执行率</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一、本年收入合计</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10,937,592.80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10,937,594.80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99.99%</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（一）财政拨款收入</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8,804,457.80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8,804,458.80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99.99%</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其中：一般公共预算财政拨款</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8,804,457.80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8,804,458.80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99.99%</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（二）其他收入</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2,133,135.00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2,133,136.00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99.99%</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二、本年支出合计</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10,937,592.80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10,937,594.80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99.99%</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（一）基本支出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10,526,412.80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10,526,414.80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99.99%</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 人员经费</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6,449,421.00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6,449,422.00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99.99%</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 公用经费</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4,076,991.80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4,076,992.80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99.99%</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（二）项目支出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411,180.00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411,180.00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100.00%</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 与上年度对比情况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与2024年度决算数据（12,030,967.00元）对比：</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指标项目</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2025年度（元）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2024年度（元）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增减额（元）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增减幅度</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本年收入合计</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10,937,592.80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12,030,967.00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-1,093,374.20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-9.1%</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其中：一般公共预算财政拨款</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8,804,457.80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12,030,967.00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-3,226,509.20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-26.8%</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其他收入</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2,133,135.00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2,133,135.00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本年支出合计</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10,937,592.80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12,030,967.00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-1,093,374.20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-9.1%</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基本支出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10,526,412.80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11,671,078.00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-1,144,665.20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-9.8%</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项目支出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411,180.00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359,889.00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51,291.00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14.3%</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增减变动主要原因：</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本年收入支出总体下降9.1%，主要是年度预算调整及政策变化，财政拨款收入减少。</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一般公共预算财政拨款收入下降26.8%，主要是上级财政转移支付结构调整及压减一般性支出。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其他收入增加2,133,135.00元，主要是本年度将非本级财政拨款纳入统计。</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项目支出增长14.3%，主要是农村公益事业建设补助资金增加。</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 收入支出与预算对比分析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（1）预、决算差异情况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项目</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年初预算数（元）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全年预算数（元）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决算数（元）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预决算差异（元）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差异率</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收入总计</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10,937,596.80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10,937,594.80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10,937,592.80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0.00%</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一般公共预算财政拨款收入</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8,804,459.80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8,804,458.80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8,804,457.80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0.00%</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其他收入</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2,133,137.00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2,133,136.00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2,133,135.00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0.00%</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支出总计</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10,937,596.80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10,937,594.80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10,937,592.80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0.00%</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基本支出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10,526,416.80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10,526,414.80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10,526,412.80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0.00%</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项目支出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411,180.00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411,180.00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411,180.00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0.00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0.00%</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（2）差异原因分析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本年度预决算差异极小，预算执行率达到99.99%，差异主要系金额单位转换时尾数误差所致。总体看，本单位预算编制较为准确，预算执行严格规范。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 收入支出结构分析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（1）各项收入占总收入的比重</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收入项目</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金额（元）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占比</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一般公共预算财政拨款收入</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8,804,457.80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80.5%</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其他收入（非本级财政拨款）</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2,133,135.00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19.5%</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合计</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10,937,592.80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100%</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收入结构特点： 本单位收入以财政拨款为主，占比80.5%；其他收入为19.5%，主要是非本级财政拨款资金。</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（2）各项支出占总支出的比重（按功能分类）</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支出功能分类</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金额（元）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占比</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一般公共服务支出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9,185,834.80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83.99%</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社会保障和就业支出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564,216.00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5.16%</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卫生健康支出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322,523.00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2.95%</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农林水支出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865,019.00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7.91%</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合计</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10,937,592.80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100%</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支出结构特点： 一般公共服务支出占比最高（83.99%），主要用于保障机构正常运转和人员经费；农林水支出占比7.91%，主要用于农村公益事业建设和村级组织运转保障。</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 支出按经济分类科目分析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（1）"三公"经费支出情况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项目</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2025年度（元）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2024年度（元）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增减额（元）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增减幅度</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年初预算（元）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预决算差异</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"三公"经费支出合计</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40,996</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59,837</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-18,841</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-31.5%</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45,000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-4,004</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 因公出国（境）费用</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 公务用车购置及运行维护费</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40,996</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51,800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-10,804</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-20.9%</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45,000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-4,004</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其中：公务用车购置费</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公务用车运行维护费</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40,996</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51,800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-10,804</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-20.9%</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45,000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-4,004</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 公务接待费</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8,037</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-8,037</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"三公"经费实物量情况：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公务用车保有量：1辆（应急保障用车）</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公务用车购置数：0辆</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因公出国（境）团组数：0个，人次数：0人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国内公务接待批次：0批，人次：0人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分析： 本年度"三公"经费大幅下降31.5%，主要得益于：一是严格执行中央八项规定，压缩公务用车使用频次；二是推行工作餐试点，公务接待费实现零支出。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（2）会议费支出情况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2025年度会议费支出0元，较上年减少23,000元，下降100%。主要原因是会议次数减少，多采用视频会议或合并开会方式。</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（3）培训费支出情况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2025年度培训费支出0元，较上年减少33,800元，下降100%。主要原因是培训次数减少，多采用线上培训方式。</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（4）差旅费支出情况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2025年度差旅费支出16,189元，全部为财政拨款基本支出。人均差旅费支出约242元（按67人计算）。差旅费主要用于必要的公务出差，支出规模合理。</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（5）其他对单位影响较大的支出情况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重点分析——商品和服务支出：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经济分类科目</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2025年度（元）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占比</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较上年变动</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办公费</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1,200,869</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29.4%</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增加</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劳务费</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427,441</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10.5%</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增加</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其他交通费用</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530,000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13.0%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增加</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委托业务费</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145,971</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3.6%</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增加</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维修（护）费</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413,230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10.1%</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增加</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变动原因： 公用经费较上年增加972,426.80元，增长31.3%，主要因日常开支价格波动及业务工作量增加。</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（6）重点经济分类支出中存在的问题及改进措施</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存在问题：</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办公费、劳务费等支出占比较高，支出结构有待进一步优化。</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维修（护）费支出较大，反映部分办公设施老化，维护成本上升。</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改进措施：</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加强办公费管理，推行无纸化办公，降低耗材消耗。</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规范劳务费支出，严格审批程序，优先使用在编人员。</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制定办公设施更新计划，逐步淘汰老旧设备，降低维修成本。</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6. 支出按功能分类科目分析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（1）各功能分类科目支出占比</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功能分类科目</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支出金额（元）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占总支出比重</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同比变动</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201 一般公共服务支出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9,185,834.80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83.99%</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-14.2%</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208 社会保障和就业支出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564,216.00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5.16%</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持平</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210 卫生健康支出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322,523.00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2.95%</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持平</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213 农林水支出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865,019.00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7.91%</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+5.1%</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（2）重点科目分析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① 一般公共服务支出（201类）</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行政运行（2010301）：8,845,397元，主要用于人员经费和日常运转</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其他政府办公厅（室）及相关机构事务支出（2010399）：215,238元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其他纪检监察事务支出（2011199）：63,000元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其他党委办公厅（室）及相关机构事务支出（2013199）：44,999.80元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变动原因： 较上年下降14.2%，主要是人员经费调整和压减一般性支出。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② 农林水支出（213类）</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农村社会事业（2130126）：20,400元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森林生态效益补偿（2130209）：14,539元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对村级公益事业建设的补助（2130701）：381,180元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对村民委员会和村党支部的补助（2130705）：418,900元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创业担保贷款贴息及奖补（2130804）：30,000元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变动原因： 较上年增长5.1%，主要是农村公益事业建设奖补资金增加。</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7. 财政拨款收入、支出分析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（1）总体情况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2025年度财政拨款收入8,804,457.80元，全部为一般公共预算财政拨款；财政拨款支出8,804,457.80元，收支平衡，年末无结转结余。</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（2）分预算级次分析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全部为乡级预算，无中央、省级、市级转移支付资金单独列示。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（3）分支出性质分析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支出性质</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金额（元）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占比</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基本支出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8,393,277.80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95.33%</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项目支出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411,180.00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4.67%</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合计</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8,804,457.80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100%</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（4）分功能分类分析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财政拨款支出中，一般公共服务支出7,052,699.80元（80.1%），社会保障和就业支出564,216元（6.4%），卫生健康支出322,523元（3.7%），农林水支出865,019元（9.8%）。</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（5）上下年对比</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财政拨款收入较上年减少3,226,509.20元，下降26.8%，主要是年度预算调整及政策变化，上级转移支付减少。</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8. 非财政拨款收入、支出分析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（1）总体情况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2025年度非财政拨款收入2,133,135.00元，全部为其他收入（非本级财政拨款）；非财政拨款支出2,133,135.00元，收支平衡，年末无结转结余。</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（2）资金来源分析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非本级财政拨款：2,133,135.00元，占比100%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（3）支出结构分析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非财政拨款支出全部用于基本支出中的商品和服务支出，具体包括：</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办公费：590,000元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印刷费：180,000元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邮电费：10,000元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维修（护）费：210,000元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培训费：61,655元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公务接待费：10,480元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劳务费：360,000元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委托业务费：160,000元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工会经费：60,000元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福利费：11,000元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其他交通费用：480,000元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（4）上下年对比</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上年度无非财政拨款收入，本年度增加2,133,135元，主要是统计口径调整，将非本级财政拨款纳入其他收入统计。</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（三）年末结转和结余情况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 财政拨款结转和结余</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（1）总体情况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2025年末，财政拨款结转和结余为0元，其中：一般公共预算财政拨款结转0元，一般公共预算财政拨款结余0元。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（2）上下年对比</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2024年末财政拨款结转结余为0元，本年度继续保持零结转结余，实现财政拨款资金当年清零。</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（3）分资金性质分析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基本支出结转：0元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项目支出结转和结余：0元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（4）消化结转和结余的对策</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本单位连续两年实现财政拨款零结转结余，主要措施：</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加强预算执行监控，按月分析预算执行进度；</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优化资金拨付流程，提高资金使用效率；</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对项目支出实行台账管理，确保资金及时支付。</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 非财政拨款结转和结余</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（1）总体情况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2025年末，非财政拨款结转和结余为0元。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（2）上下年对比</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2024年末非财政拨款结转结余为0元，本年度继续保持零结转结余。</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（3）分资金性质分析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非财政拨款基本支出结转：0元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非财政拨款项目支出结转和结余：0元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（4）消化非财政拨款结转和结余的对策</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加强非财政拨款资金与财政拨款的统筹使用，避免资金闲置；</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合理安排支出计划，优先使用非财政拨款资金；</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建立非财政拨款资金动态监控机制，及时清理沉淀资金。</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（四）与预算支出相关的其他指标分析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 资产信息分析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资产项目</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2025年末情况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2024年末情况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变动情况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变动原因</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车辆（台、辆）</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1辆，原值80,000元</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无</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增加1辆</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上年度未统计或新增车辆</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房屋（平方米）</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银行存款</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分析： 本单位车辆保有量为1辆，为应急保障用车，资产状况良好。</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 机构人员信息分析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指标项目</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2025年度</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2024年度</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变动情况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变动原因</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独立编制机构数（个）</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独立核算机构数（个）</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编制内实有人数（人）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67</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57</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在职人员人数浮动</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其中：公务员（人）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29</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30</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在职人员人数浮动</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事业管理人员和专业技术人员（人）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38</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36</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在职人员人数浮动</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年末遗属人员（人）</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4</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w:t>
      </w:r>
    </w:p>
    <w:p>
      <w:pPr>
        <w:jc w:val="left"/>
        <w:rPr>
          <w:rFonts w:hint="eastAsia" w:cs="黑体" w:asciiTheme="minorEastAsia" w:hAnsiTheme="minorEastAsia"/>
          <w:color w:val="000000"/>
          <w:kern w:val="0"/>
          <w:sz w:val="32"/>
          <w:szCs w:val="32"/>
        </w:rPr>
      </w:pP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分析： 人员增加10人，增长17.5%，主要是根据工作需要调整人员编制，充实基层财政工作力量。</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3. 非税收入征缴信息分析</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2025年度本单位无非税收入征缴情况。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（五）绩效目标完成情况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 项目绩效目标完成情况</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（1）农村公益事业建设补助项目</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绩效目标：完成农村公益事业建设，改善农村基础设施条件。</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完成情况：完成2024年第3批公益事业奖补（华岩、七一、上洞社区、长兴社区）和2025年第1批农村公益事业奖补（长兴居委会），资金执行率100%，项目进展顺利，有效改善了农村生产生活条件。</w:t>
      </w:r>
    </w:p>
    <w:p>
      <w:pPr>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（2）创业担保贷款贴息及奖补</w:t>
      </w:r>
    </w:p>
    <w:p>
      <w:pPr>
        <w:jc w:val="left"/>
        <w:rPr>
          <w:rFonts w:hint="eastAsia" w:cs="黑体" w:asciiTheme="minorEastAsia" w:hAnsiTheme="minorEastAsia"/>
          <w:color w:val="000000"/>
          <w:kern w:val="0"/>
          <w:sz w:val="32"/>
          <w:szCs w:val="32"/>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3C23B6"/>
    <w:multiLevelType w:val="multilevel"/>
    <w:tmpl w:val="303C23B6"/>
    <w:lvl w:ilvl="0" w:tentative="0">
      <w:start w:val="1"/>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7D33"/>
    <w:rsid w:val="0002229B"/>
    <w:rsid w:val="000273BD"/>
    <w:rsid w:val="00040CBC"/>
    <w:rsid w:val="000415B7"/>
    <w:rsid w:val="00041E3F"/>
    <w:rsid w:val="00055DAA"/>
    <w:rsid w:val="00061F7B"/>
    <w:rsid w:val="000658A3"/>
    <w:rsid w:val="00074155"/>
    <w:rsid w:val="000A0108"/>
    <w:rsid w:val="000A3F69"/>
    <w:rsid w:val="000E2142"/>
    <w:rsid w:val="00103957"/>
    <w:rsid w:val="00152C6D"/>
    <w:rsid w:val="00162D39"/>
    <w:rsid w:val="001678BD"/>
    <w:rsid w:val="00182373"/>
    <w:rsid w:val="001A67DB"/>
    <w:rsid w:val="001C3C29"/>
    <w:rsid w:val="001D51E5"/>
    <w:rsid w:val="001D5737"/>
    <w:rsid w:val="001E080D"/>
    <w:rsid w:val="001E53D0"/>
    <w:rsid w:val="001F0C3B"/>
    <w:rsid w:val="00202C82"/>
    <w:rsid w:val="0020543B"/>
    <w:rsid w:val="00214427"/>
    <w:rsid w:val="00226CB7"/>
    <w:rsid w:val="00264552"/>
    <w:rsid w:val="00264EF9"/>
    <w:rsid w:val="00265724"/>
    <w:rsid w:val="0027426B"/>
    <w:rsid w:val="002E0A30"/>
    <w:rsid w:val="003130C4"/>
    <w:rsid w:val="00316C4B"/>
    <w:rsid w:val="0032192B"/>
    <w:rsid w:val="003458EE"/>
    <w:rsid w:val="003479BD"/>
    <w:rsid w:val="0037197D"/>
    <w:rsid w:val="003768D5"/>
    <w:rsid w:val="003926B9"/>
    <w:rsid w:val="003C47E6"/>
    <w:rsid w:val="003C4FC2"/>
    <w:rsid w:val="00416E61"/>
    <w:rsid w:val="0042790C"/>
    <w:rsid w:val="004506F9"/>
    <w:rsid w:val="004717A2"/>
    <w:rsid w:val="00473DF3"/>
    <w:rsid w:val="00487911"/>
    <w:rsid w:val="00491741"/>
    <w:rsid w:val="004A705E"/>
    <w:rsid w:val="004B0CEE"/>
    <w:rsid w:val="004E3468"/>
    <w:rsid w:val="00500E5F"/>
    <w:rsid w:val="005122EF"/>
    <w:rsid w:val="0051441A"/>
    <w:rsid w:val="00517C33"/>
    <w:rsid w:val="00517D5F"/>
    <w:rsid w:val="00523644"/>
    <w:rsid w:val="0054069E"/>
    <w:rsid w:val="00544866"/>
    <w:rsid w:val="00554F20"/>
    <w:rsid w:val="005711FE"/>
    <w:rsid w:val="005767CC"/>
    <w:rsid w:val="00587BFA"/>
    <w:rsid w:val="00590D9F"/>
    <w:rsid w:val="00592F3C"/>
    <w:rsid w:val="00595D26"/>
    <w:rsid w:val="005A5FF8"/>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951EA"/>
    <w:rsid w:val="0079747B"/>
    <w:rsid w:val="007C4539"/>
    <w:rsid w:val="007F0184"/>
    <w:rsid w:val="007F3657"/>
    <w:rsid w:val="00812ED5"/>
    <w:rsid w:val="008277D9"/>
    <w:rsid w:val="0084478C"/>
    <w:rsid w:val="0086638C"/>
    <w:rsid w:val="008A3E8D"/>
    <w:rsid w:val="008B3741"/>
    <w:rsid w:val="008F7371"/>
    <w:rsid w:val="008F7532"/>
    <w:rsid w:val="009237C4"/>
    <w:rsid w:val="009266BC"/>
    <w:rsid w:val="00944C48"/>
    <w:rsid w:val="00950252"/>
    <w:rsid w:val="00967F5D"/>
    <w:rsid w:val="009A0F95"/>
    <w:rsid w:val="009B3ADF"/>
    <w:rsid w:val="009C3B52"/>
    <w:rsid w:val="009D2DE5"/>
    <w:rsid w:val="009E6817"/>
    <w:rsid w:val="009E6E9A"/>
    <w:rsid w:val="00A01D2B"/>
    <w:rsid w:val="00A42218"/>
    <w:rsid w:val="00A70249"/>
    <w:rsid w:val="00A70B02"/>
    <w:rsid w:val="00A71D9F"/>
    <w:rsid w:val="00A92E9F"/>
    <w:rsid w:val="00AB18FF"/>
    <w:rsid w:val="00AD16F3"/>
    <w:rsid w:val="00B0414C"/>
    <w:rsid w:val="00B201EA"/>
    <w:rsid w:val="00B33BEA"/>
    <w:rsid w:val="00B57C9F"/>
    <w:rsid w:val="00B63572"/>
    <w:rsid w:val="00B845B3"/>
    <w:rsid w:val="00B85D8B"/>
    <w:rsid w:val="00B956BC"/>
    <w:rsid w:val="00BA51F7"/>
    <w:rsid w:val="00BB4A40"/>
    <w:rsid w:val="00BD6C3E"/>
    <w:rsid w:val="00BE3674"/>
    <w:rsid w:val="00C10681"/>
    <w:rsid w:val="00C111AC"/>
    <w:rsid w:val="00C3049A"/>
    <w:rsid w:val="00C31B1E"/>
    <w:rsid w:val="00C77645"/>
    <w:rsid w:val="00CE04C3"/>
    <w:rsid w:val="00CE76A0"/>
    <w:rsid w:val="00D148C6"/>
    <w:rsid w:val="00D17A8A"/>
    <w:rsid w:val="00D35FD2"/>
    <w:rsid w:val="00D415BA"/>
    <w:rsid w:val="00D63780"/>
    <w:rsid w:val="00D644EE"/>
    <w:rsid w:val="00DA615A"/>
    <w:rsid w:val="00DD06FF"/>
    <w:rsid w:val="00DD5FE9"/>
    <w:rsid w:val="00DF76D7"/>
    <w:rsid w:val="00E00C7A"/>
    <w:rsid w:val="00E257A8"/>
    <w:rsid w:val="00E37D6C"/>
    <w:rsid w:val="00E55B68"/>
    <w:rsid w:val="00E561AE"/>
    <w:rsid w:val="00E67BE6"/>
    <w:rsid w:val="00E8683C"/>
    <w:rsid w:val="00EA2B72"/>
    <w:rsid w:val="00EC2574"/>
    <w:rsid w:val="00EC5055"/>
    <w:rsid w:val="00EF1752"/>
    <w:rsid w:val="00F74360"/>
    <w:rsid w:val="00FB2D6F"/>
    <w:rsid w:val="00FB462F"/>
    <w:rsid w:val="00FE16FA"/>
    <w:rsid w:val="00FE328A"/>
    <w:rsid w:val="00FE6269"/>
    <w:rsid w:val="00FF5CD6"/>
    <w:rsid w:val="1748566D"/>
    <w:rsid w:val="1B8258F5"/>
    <w:rsid w:val="1D97DEFF"/>
    <w:rsid w:val="1DFF72E5"/>
    <w:rsid w:val="1EFC6F07"/>
    <w:rsid w:val="1FE9135B"/>
    <w:rsid w:val="20AE6BA0"/>
    <w:rsid w:val="26336E94"/>
    <w:rsid w:val="2FDF85B8"/>
    <w:rsid w:val="2FFFEE04"/>
    <w:rsid w:val="34DF85B0"/>
    <w:rsid w:val="392E5524"/>
    <w:rsid w:val="3B8F36BC"/>
    <w:rsid w:val="491FF225"/>
    <w:rsid w:val="4FFD214C"/>
    <w:rsid w:val="5777D4F5"/>
    <w:rsid w:val="578832D5"/>
    <w:rsid w:val="59DD8326"/>
    <w:rsid w:val="5C530E64"/>
    <w:rsid w:val="5DEF592A"/>
    <w:rsid w:val="5FC6BB1E"/>
    <w:rsid w:val="5FF720F1"/>
    <w:rsid w:val="67FF5C0B"/>
    <w:rsid w:val="6DBE5AB7"/>
    <w:rsid w:val="6EFC0924"/>
    <w:rsid w:val="6FB74722"/>
    <w:rsid w:val="6FEF8B7E"/>
    <w:rsid w:val="71A6591B"/>
    <w:rsid w:val="737D59BA"/>
    <w:rsid w:val="77C37683"/>
    <w:rsid w:val="79FF515B"/>
    <w:rsid w:val="7D326117"/>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unhideWhenUsed/>
    <w:qFormat/>
    <w:uiPriority w:val="0"/>
    <w:pPr>
      <w:keepNext/>
      <w:keepLines/>
      <w:spacing w:line="600" w:lineRule="exact"/>
      <w:outlineLvl w:val="1"/>
    </w:pPr>
    <w:rPr>
      <w:rFonts w:ascii="黑体" w:hAnsi="黑体" w:eastAsia="黑体"/>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4">
    <w:name w:val="Body Text"/>
    <w:basedOn w:val="1"/>
    <w:next w:val="1"/>
    <w:link w:val="22"/>
    <w:semiHidden/>
    <w:unhideWhenUsed/>
    <w:qFormat/>
    <w:uiPriority w:val="99"/>
    <w:pPr>
      <w:spacing w:after="120"/>
    </w:p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8"/>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4">
    <w:name w:val="页眉 Char"/>
    <w:basedOn w:val="13"/>
    <w:link w:val="9"/>
    <w:qFormat/>
    <w:uiPriority w:val="99"/>
    <w:rPr>
      <w:sz w:val="18"/>
      <w:szCs w:val="18"/>
    </w:rPr>
  </w:style>
  <w:style w:type="character" w:customStyle="1" w:styleId="15">
    <w:name w:val="页脚 Char"/>
    <w:basedOn w:val="13"/>
    <w:link w:val="8"/>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7"/>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 w:type="character" w:customStyle="1" w:styleId="22">
    <w:name w:val="正文文本 Char"/>
    <w:basedOn w:val="13"/>
    <w:link w:val="4"/>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DEAEDE-B160-4920-9E29-776F92C0FDE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63</Pages>
  <Words>13376</Words>
  <Characters>16634</Characters>
  <Lines>117</Lines>
  <Paragraphs>33</Paragraphs>
  <TotalTime>71</TotalTime>
  <ScaleCrop>false</ScaleCrop>
  <LinksUpToDate>false</LinksUpToDate>
  <CharactersWithSpaces>17655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2026-09-14T08:08:42Z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KSOTemplateDocerSaveRecord">
    <vt:lpwstr>eyJoZGlkIjoiMzEwNTM5NzYwMDRjMzkwZTVkZjY2ODkwMGIxNGU0OTUiLCJ1c2VySWQiOiIyNjM0NzY4MDYifQ==</vt:lpwstr>
  </property>
  <property fmtid="{D5CDD505-2E9C-101B-9397-08002B2CF9AE}" pid="4" name="ICV">
    <vt:lpwstr>CCEA24EF47CD47D592ED15FD32246D65_13</vt:lpwstr>
  </property>
</Properties>
</file>