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道县军队离休退休干部</w:t>
      </w:r>
    </w:p>
    <w:p>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休养所</w:t>
      </w:r>
      <w:r>
        <w:rPr>
          <w:rFonts w:ascii="Times New Roman" w:hAnsi="Times New Roman" w:eastAsia="方正小标宋简体" w:cs="Times New Roman"/>
          <w:sz w:val="72"/>
          <w:szCs w:val="72"/>
        </w:rPr>
        <w:t>部门决算</w:t>
      </w:r>
    </w:p>
    <w:p>
      <w:pPr>
        <w:pStyle w:val="14"/>
        <w:jc w:val="center"/>
        <w:rPr>
          <w:rFonts w:ascii="Times New Roman" w:hAnsi="Times New Roman" w:eastAsia="方正小标宋_GBK" w:cs="Times New Roman"/>
          <w:sz w:val="56"/>
          <w:szCs w:val="56"/>
        </w:rPr>
      </w:pPr>
    </w:p>
    <w:p>
      <w:pPr>
        <w:pStyle w:val="14"/>
        <w:jc w:val="center"/>
        <w:rPr>
          <w:rFonts w:ascii="Times New Roman" w:hAnsi="Times New Roman" w:cs="Times New Roman"/>
          <w:sz w:val="56"/>
          <w:szCs w:val="56"/>
        </w:rPr>
      </w:pPr>
    </w:p>
    <w:p>
      <w:pPr>
        <w:pStyle w:val="14"/>
        <w:rPr>
          <w:rFonts w:ascii="Times New Roman" w:hAnsi="Times New Roman" w:cs="Times New Roman"/>
          <w:sz w:val="56"/>
          <w:szCs w:val="56"/>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4"/>
        <w:spacing w:line="600" w:lineRule="exact"/>
        <w:jc w:val="both"/>
        <w:rPr>
          <w:rFonts w:ascii="Times New Roman" w:hAnsi="Times New Roman" w:cs="Times New Roman"/>
          <w:b/>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道县军队离休退休干部休养所</w:t>
      </w:r>
      <w:r>
        <w:rPr>
          <w:rFonts w:ascii="Times New Roman" w:hAnsi="Times New Roman" w:cs="Times New Roman"/>
          <w:bCs/>
          <w:sz w:val="32"/>
          <w:szCs w:val="32"/>
        </w:rPr>
        <w:t>部门（单位）概况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道县军队离休退休干部休养所</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单位</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numPr>
          <w:ilvl w:val="0"/>
          <w:numId w:val="0"/>
        </w:numPr>
        <w:ind w:firstLine="640" w:firstLineChars="200"/>
        <w:jc w:val="left"/>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根据退役军人事务部、总政治部、总后勤部文件规定，本单位主要职责是：为军休干部提供休养住所与管理军休干部服务。</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numPr>
          <w:ilvl w:val="0"/>
          <w:numId w:val="0"/>
        </w:numPr>
        <w:ind w:firstLine="640" w:firstLineChars="20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pPr>
        <w:widowControl/>
        <w:numPr>
          <w:ilvl w:val="0"/>
          <w:numId w:val="0"/>
        </w:numPr>
        <w:ind w:firstLine="640" w:firstLineChars="20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本单位为县</w:t>
      </w:r>
      <w:r>
        <w:rPr>
          <w:rFonts w:hint="eastAsia" w:ascii="Times New Roman" w:hAnsi="Times New Roman" w:eastAsia="仿宋_GB2312" w:cs="仿宋_GB2312"/>
          <w:bCs/>
          <w:kern w:val="0"/>
          <w:sz w:val="32"/>
          <w:szCs w:val="32"/>
          <w:lang w:eastAsia="zh-CN"/>
        </w:rPr>
        <w:t>退役军人事务局</w:t>
      </w:r>
      <w:r>
        <w:rPr>
          <w:rFonts w:hint="eastAsia" w:ascii="Times New Roman" w:hAnsi="Times New Roman" w:eastAsia="仿宋_GB2312" w:cs="仿宋_GB2312"/>
          <w:bCs/>
          <w:kern w:val="0"/>
          <w:sz w:val="32"/>
          <w:szCs w:val="32"/>
        </w:rPr>
        <w:t>下属二级独立核算经办机构</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rPr>
        <w:t xml:space="preserve">核定编制 </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人，现在职人数</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人。</w:t>
      </w:r>
    </w:p>
    <w:p>
      <w:pPr>
        <w:widowControl/>
        <w:numPr>
          <w:ilvl w:val="0"/>
          <w:numId w:val="1"/>
        </w:numPr>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pPr>
        <w:jc w:val="left"/>
        <w:rPr>
          <w:rFonts w:hint="eastAsia" w:ascii="Times New Roman" w:hAnsi="Times New Roman" w:eastAsia="仿宋_GB2312" w:cs="Times New Roman"/>
          <w:sz w:val="28"/>
          <w:szCs w:val="32"/>
          <w:lang w:val="en-US" w:eastAsia="zh-CN"/>
        </w:rPr>
      </w:pPr>
      <w:r>
        <w:rPr>
          <w:rFonts w:hint="eastAsia" w:ascii="Times New Roman" w:hAnsi="Times New Roman" w:eastAsia="仿宋_GB2312" w:cs="仿宋_GB2312"/>
          <w:bCs/>
          <w:kern w:val="0"/>
          <w:sz w:val="32"/>
          <w:szCs w:val="32"/>
          <w:lang w:val="en-US" w:eastAsia="zh-CN"/>
        </w:rPr>
        <w:t>道县军队离退休干部休养所</w:t>
      </w:r>
      <w:r>
        <w:rPr>
          <w:rFonts w:hint="eastAsia" w:ascii="Times New Roman" w:hAnsi="Times New Roman" w:eastAsia="仿宋_GB2312" w:cs="仿宋_GB2312"/>
          <w:bCs/>
          <w:kern w:val="0"/>
          <w:sz w:val="32"/>
          <w:szCs w:val="32"/>
          <w:lang w:eastAsia="zh-CN"/>
        </w:rPr>
        <w:t>，没有其他二级预算单位，因此，纳入202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lang w:eastAsia="zh-CN"/>
        </w:rPr>
        <w:t>年部门预算编制范围的只有</w:t>
      </w:r>
      <w:r>
        <w:rPr>
          <w:rFonts w:hint="eastAsia" w:ascii="Times New Roman" w:hAnsi="Times New Roman" w:eastAsia="仿宋_GB2312" w:cs="仿宋_GB2312"/>
          <w:bCs/>
          <w:kern w:val="0"/>
          <w:sz w:val="32"/>
          <w:szCs w:val="32"/>
          <w:lang w:val="en-US" w:eastAsia="zh-CN"/>
        </w:rPr>
        <w:t>道县军队离休退休干部休养所</w:t>
      </w:r>
      <w:r>
        <w:rPr>
          <w:rFonts w:hint="eastAsia" w:ascii="Times New Roman" w:hAnsi="Times New Roman" w:eastAsia="仿宋_GB2312" w:cs="仿宋_GB2312"/>
          <w:bCs/>
          <w:kern w:val="0"/>
          <w:sz w:val="32"/>
          <w:szCs w:val="32"/>
          <w:lang w:eastAsia="zh-CN"/>
        </w:rPr>
        <w:t>本级。</w:t>
      </w: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4"/>
        <w:ind w:firstLine="4160" w:firstLineChars="8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3"/>
        <w:gridCol w:w="850"/>
        <w:gridCol w:w="1291"/>
        <w:gridCol w:w="4851"/>
        <w:gridCol w:w="850"/>
        <w:gridCol w:w="1291"/>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290.52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rPr>
              <w:t>八</w:t>
            </w:r>
            <w:r>
              <w:rPr>
                <w:rFonts w:hint="eastAsia"/>
                <w:lang w:eastAsia="zh-CN"/>
              </w:rPr>
              <w:t>、</w:t>
            </w:r>
            <w:r>
              <w:rPr>
                <w:rFonts w:hint="eastAsia"/>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286.62</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
              <w:rPr>
                <w:rFonts w:hint="default"/>
                <w:lang w:val="en-US" w:eastAsia="zh-CN"/>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290.52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290.52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290.52</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587" w:type="dxa"/>
        <w:jc w:val="center"/>
        <w:tblLayout w:type="fixed"/>
        <w:tblCellMar>
          <w:top w:w="0" w:type="dxa"/>
          <w:left w:w="0" w:type="dxa"/>
          <w:bottom w:w="0" w:type="dxa"/>
          <w:right w:w="0" w:type="dxa"/>
        </w:tblCellMar>
      </w:tblPr>
      <w:tblGrid>
        <w:gridCol w:w="1854"/>
        <w:gridCol w:w="1449"/>
        <w:gridCol w:w="1612"/>
        <w:gridCol w:w="1612"/>
        <w:gridCol w:w="1612"/>
        <w:gridCol w:w="1612"/>
        <w:gridCol w:w="1612"/>
        <w:gridCol w:w="1865"/>
        <w:gridCol w:w="1359"/>
      </w:tblGrid>
      <w:tr>
        <w:tblPrEx>
          <w:tblCellMar>
            <w:top w:w="0" w:type="dxa"/>
            <w:left w:w="0" w:type="dxa"/>
            <w:bottom w:w="0" w:type="dxa"/>
            <w:right w:w="0" w:type="dxa"/>
          </w:tblCellMar>
        </w:tblPrEx>
        <w:trPr>
          <w:trHeight w:val="450" w:hRule="atLeast"/>
          <w:jc w:val="center"/>
        </w:trPr>
        <w:tc>
          <w:tcPr>
            <w:tcW w:w="330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1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1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1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1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1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5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12" w:hRule="exact"/>
          <w:jc w:val="center"/>
        </w:trPr>
        <w:tc>
          <w:tcPr>
            <w:tcW w:w="18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44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1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6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5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5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49"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6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5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30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30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290.52</w:t>
            </w: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290.52</w:t>
            </w: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608" w:hRule="atLeast"/>
          <w:jc w:val="center"/>
        </w:trPr>
        <w:tc>
          <w:tcPr>
            <w:tcW w:w="18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w:t>
            </w:r>
          </w:p>
        </w:tc>
        <w:tc>
          <w:tcPr>
            <w:tcW w:w="144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社会保障和就业支出</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286.62</w:t>
            </w: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 xml:space="preserve">         286.62</w:t>
            </w: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698" w:hRule="atLeast"/>
          <w:jc w:val="center"/>
        </w:trPr>
        <w:tc>
          <w:tcPr>
            <w:tcW w:w="18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t>　</w:t>
            </w:r>
            <w:r>
              <w:rPr>
                <w:rFonts w:hint="eastAsia"/>
              </w:rPr>
              <w:t>20805</w:t>
            </w:r>
          </w:p>
        </w:tc>
        <w:tc>
          <w:tcPr>
            <w:tcW w:w="144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t>　</w:t>
            </w:r>
            <w:r>
              <w:rPr>
                <w:rFonts w:hint="eastAsia"/>
              </w:rPr>
              <w:t>行政事业单位养老支出</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lang w:val="en-US" w:eastAsia="zh-CN"/>
              </w:rPr>
              <w:t>7.18</w:t>
            </w:r>
            <w: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lang w:val="en-US" w:eastAsia="zh-CN"/>
              </w:rPr>
              <w:t>7.18</w:t>
            </w:r>
            <w: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r>
              <w:t>　</w:t>
            </w:r>
          </w:p>
        </w:tc>
        <w:tc>
          <w:tcPr>
            <w:tcW w:w="18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r>
              <w:t>　</w:t>
            </w:r>
          </w:p>
        </w:tc>
        <w:tc>
          <w:tcPr>
            <w:tcW w:w="13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r>
              <w:t>　</w:t>
            </w:r>
          </w:p>
        </w:tc>
      </w:tr>
      <w:tr>
        <w:tblPrEx>
          <w:tblCellMar>
            <w:top w:w="0" w:type="dxa"/>
            <w:left w:w="0" w:type="dxa"/>
            <w:bottom w:w="0" w:type="dxa"/>
            <w:right w:w="0" w:type="dxa"/>
          </w:tblCellMar>
        </w:tblPrEx>
        <w:trPr>
          <w:trHeight w:val="924" w:hRule="atLeast"/>
          <w:jc w:val="center"/>
        </w:trPr>
        <w:tc>
          <w:tcPr>
            <w:tcW w:w="18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144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7.18</w:t>
            </w: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p>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7.18</w:t>
            </w:r>
          </w:p>
          <w:p>
            <w:pPr>
              <w:jc w:val="cente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590" w:hRule="atLeast"/>
          <w:jc w:val="center"/>
        </w:trPr>
        <w:tc>
          <w:tcPr>
            <w:tcW w:w="18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20809</w:t>
            </w:r>
          </w:p>
        </w:tc>
        <w:tc>
          <w:tcPr>
            <w:tcW w:w="144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退役安置</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279.44</w:t>
            </w: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279.44</w:t>
            </w: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891" w:hRule="atLeast"/>
          <w:jc w:val="center"/>
        </w:trPr>
        <w:tc>
          <w:tcPr>
            <w:tcW w:w="18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宋体" w:hAnsi="宋体" w:eastAsia="宋体" w:cs="宋体"/>
                <w:i w:val="0"/>
                <w:iCs w:val="0"/>
                <w:color w:val="262626"/>
                <w:kern w:val="0"/>
                <w:sz w:val="22"/>
                <w:szCs w:val="22"/>
                <w:u w:val="none"/>
                <w:lang w:val="en-US" w:eastAsia="zh-CN" w:bidi="ar"/>
              </w:rPr>
              <w:t>2080902</w:t>
            </w:r>
          </w:p>
        </w:tc>
        <w:tc>
          <w:tcPr>
            <w:tcW w:w="144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宋体" w:hAnsi="宋体" w:eastAsia="宋体" w:cs="宋体"/>
                <w:i w:val="0"/>
                <w:iCs w:val="0"/>
                <w:color w:val="262626"/>
                <w:kern w:val="0"/>
                <w:sz w:val="22"/>
                <w:szCs w:val="22"/>
                <w:u w:val="none"/>
                <w:lang w:val="en-US" w:eastAsia="zh-CN" w:bidi="ar"/>
              </w:rPr>
              <w:t>军队移交政府的离退休人员安置</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83.23</w:t>
            </w: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83.23</w:t>
            </w: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617" w:hRule="atLeast"/>
          <w:jc w:val="center"/>
        </w:trPr>
        <w:tc>
          <w:tcPr>
            <w:tcW w:w="18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pStyle w:val="2"/>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2080999</w:t>
            </w:r>
          </w:p>
        </w:tc>
        <w:tc>
          <w:tcPr>
            <w:tcW w:w="144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pStyle w:val="2"/>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其他退役安置支出</w:t>
            </w: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pStyle w:val="2"/>
              <w:ind w:firstLine="220" w:firstLineChars="100"/>
              <w:jc w:val="right"/>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53.8　</w:t>
            </w: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pStyle w:val="2"/>
              <w:jc w:val="right"/>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53.8</w:t>
            </w: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pStyle w:val="2"/>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w:t>
            </w: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pStyle w:val="2"/>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w:t>
            </w: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pStyle w:val="2"/>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w:t>
            </w:r>
          </w:p>
        </w:tc>
        <w:tc>
          <w:tcPr>
            <w:tcW w:w="186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pStyle w:val="2"/>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w:t>
            </w:r>
          </w:p>
        </w:tc>
        <w:tc>
          <w:tcPr>
            <w:tcW w:w="135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pStyle w:val="2"/>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w:t>
            </w:r>
          </w:p>
        </w:tc>
      </w:tr>
      <w:tr>
        <w:tblPrEx>
          <w:tblCellMar>
            <w:top w:w="0" w:type="dxa"/>
            <w:left w:w="0" w:type="dxa"/>
            <w:bottom w:w="0" w:type="dxa"/>
            <w:right w:w="0" w:type="dxa"/>
          </w:tblCellMar>
        </w:tblPrEx>
        <w:trPr>
          <w:trHeight w:val="558" w:hRule="atLeast"/>
          <w:jc w:val="center"/>
        </w:trPr>
        <w:tc>
          <w:tcPr>
            <w:tcW w:w="18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pStyle w:val="2"/>
              <w:rPr>
                <w:rFonts w:hint="default"/>
                <w:lang w:val="en-US"/>
              </w:rPr>
            </w:pPr>
            <w:r>
              <w:rPr>
                <w:rFonts w:hint="eastAsia" w:ascii="宋体" w:hAnsi="宋体" w:eastAsia="宋体" w:cs="宋体"/>
                <w:i w:val="0"/>
                <w:iCs w:val="0"/>
                <w:color w:val="262626"/>
                <w:kern w:val="0"/>
                <w:sz w:val="22"/>
                <w:szCs w:val="22"/>
                <w:u w:val="none"/>
                <w:lang w:val="en-US" w:eastAsia="zh-CN" w:bidi="ar"/>
              </w:rPr>
              <w:t>210</w:t>
            </w:r>
          </w:p>
        </w:tc>
        <w:tc>
          <w:tcPr>
            <w:tcW w:w="1449" w:type="dxa"/>
            <w:tcBorders>
              <w:top w:val="single" w:color="auto" w:sz="4" w:space="0"/>
              <w:left w:val="nil"/>
              <w:bottom w:val="single" w:color="auto" w:sz="4" w:space="0"/>
              <w:right w:val="single" w:color="auto" w:sz="4" w:space="0"/>
            </w:tcBorders>
            <w:shd w:val="clear" w:color="auto" w:fill="EEF0F0"/>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卫生健康支出</w:t>
            </w: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3.9</w:t>
            </w:r>
          </w:p>
          <w:p>
            <w:pPr>
              <w:pStyle w:val="3"/>
              <w:jc w:val="right"/>
              <w:rPr>
                <w:rFonts w:hint="default"/>
                <w:lang w:val="en-US" w:eastAsia="zh-CN"/>
              </w:rPr>
            </w:pP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3.9</w:t>
            </w: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6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5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p>
            <w:pPr>
              <w:pStyle w:val="2"/>
            </w:pPr>
          </w:p>
        </w:tc>
      </w:tr>
      <w:tr>
        <w:tblPrEx>
          <w:tblCellMar>
            <w:top w:w="0" w:type="dxa"/>
            <w:left w:w="0" w:type="dxa"/>
            <w:bottom w:w="0" w:type="dxa"/>
            <w:right w:w="0" w:type="dxa"/>
          </w:tblCellMar>
        </w:tblPrEx>
        <w:trPr>
          <w:trHeight w:val="698" w:hRule="atLeast"/>
          <w:jc w:val="center"/>
        </w:trPr>
        <w:tc>
          <w:tcPr>
            <w:tcW w:w="18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pStyle w:val="2"/>
              <w:rPr>
                <w:rFonts w:hint="default"/>
                <w:lang w:val="en-US"/>
              </w:rPr>
            </w:pPr>
            <w:r>
              <w:rPr>
                <w:rFonts w:hint="eastAsia" w:ascii="宋体" w:hAnsi="宋体" w:eastAsia="宋体" w:cs="宋体"/>
                <w:i w:val="0"/>
                <w:iCs w:val="0"/>
                <w:color w:val="262626"/>
                <w:kern w:val="0"/>
                <w:sz w:val="22"/>
                <w:szCs w:val="22"/>
                <w:u w:val="none"/>
                <w:lang w:val="en-US" w:eastAsia="zh-CN" w:bidi="ar"/>
              </w:rPr>
              <w:t>21011</w:t>
            </w:r>
          </w:p>
        </w:tc>
        <w:tc>
          <w:tcPr>
            <w:tcW w:w="144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行政事业单位医疗</w:t>
            </w: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3.9</w:t>
            </w: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3.9</w:t>
            </w: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6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5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pStyle w:val="2"/>
            </w:pPr>
          </w:p>
        </w:tc>
      </w:tr>
      <w:tr>
        <w:tblPrEx>
          <w:tblCellMar>
            <w:top w:w="0" w:type="dxa"/>
            <w:left w:w="0" w:type="dxa"/>
            <w:bottom w:w="0" w:type="dxa"/>
            <w:right w:w="0" w:type="dxa"/>
          </w:tblCellMar>
        </w:tblPrEx>
        <w:trPr>
          <w:trHeight w:val="705" w:hRule="atLeast"/>
          <w:jc w:val="center"/>
        </w:trPr>
        <w:tc>
          <w:tcPr>
            <w:tcW w:w="185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pStyle w:val="2"/>
              <w:rPr>
                <w:rFonts w:hint="default"/>
                <w:lang w:val="en-US"/>
              </w:rPr>
            </w:pPr>
            <w:r>
              <w:rPr>
                <w:rFonts w:hint="eastAsia" w:ascii="宋体" w:hAnsi="宋体" w:eastAsia="宋体" w:cs="宋体"/>
                <w:i w:val="0"/>
                <w:iCs w:val="0"/>
                <w:color w:val="262626"/>
                <w:kern w:val="0"/>
                <w:sz w:val="22"/>
                <w:szCs w:val="22"/>
                <w:u w:val="none"/>
                <w:lang w:val="en-US" w:eastAsia="zh-CN" w:bidi="ar"/>
              </w:rPr>
              <w:t>2101102</w:t>
            </w:r>
          </w:p>
        </w:tc>
        <w:tc>
          <w:tcPr>
            <w:tcW w:w="144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事业单位医疗</w:t>
            </w: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3.9</w:t>
            </w: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3.9</w:t>
            </w: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1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6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5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pStyle w:val="2"/>
            </w:pPr>
          </w:p>
        </w:tc>
      </w:tr>
    </w:tbl>
    <w:p>
      <w:pPr>
        <w:spacing w:before="120"/>
        <w:rPr>
          <w:rFonts w:ascii="Times New Roman" w:hAnsi="Times New Roman" w:eastAsia="仿宋_GB2312" w:cs="Times New Roman"/>
        </w:rPr>
      </w:pPr>
      <w:r>
        <w:rPr>
          <w:rFonts w:ascii="Times New Roman" w:hAnsi="Times New Roman" w:eastAsia="仿宋_GB2312" w:cs="Times New Roman"/>
        </w:rPr>
        <w:t>注：本表反映部门本年度取得的各项收入情况。</w:t>
      </w:r>
    </w:p>
    <w:p>
      <w:pPr>
        <w:pStyle w:val="2"/>
        <w:rPr>
          <w:rFonts w:ascii="Times New Roman" w:hAnsi="Times New Roman" w:eastAsia="仿宋_GB2312" w:cs="Times New Roman"/>
        </w:rPr>
      </w:pPr>
    </w:p>
    <w:p>
      <w:pPr>
        <w:widowControl/>
        <w:jc w:val="center"/>
        <w:textAlignment w:val="center"/>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3"/>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3"/>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3"/>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2"/>
          <w:szCs w:val="32"/>
          <w:lang w:bidi="ar"/>
        </w:rPr>
      </w:pPr>
    </w:p>
    <w:p>
      <w:pPr>
        <w:pStyle w:val="2"/>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autofit"/>
        <w:tblCellMar>
          <w:top w:w="0" w:type="dxa"/>
          <w:left w:w="108" w:type="dxa"/>
          <w:bottom w:w="0" w:type="dxa"/>
          <w:right w:w="108" w:type="dxa"/>
        </w:tblCellMar>
      </w:tblPr>
      <w:tblGrid>
        <w:gridCol w:w="2072"/>
        <w:gridCol w:w="3786"/>
        <w:gridCol w:w="1527"/>
        <w:gridCol w:w="984"/>
        <w:gridCol w:w="984"/>
        <w:gridCol w:w="1527"/>
        <w:gridCol w:w="984"/>
        <w:gridCol w:w="2345"/>
      </w:tblGrid>
      <w:tr>
        <w:tblPrEx>
          <w:tblCellMar>
            <w:top w:w="0" w:type="dxa"/>
            <w:left w:w="108" w:type="dxa"/>
            <w:bottom w:w="0" w:type="dxa"/>
            <w:right w:w="108" w:type="dxa"/>
          </w:tblCellMar>
        </w:tblPrEx>
        <w:trPr>
          <w:trHeight w:val="595" w:hRule="atLeast"/>
          <w:jc w:val="center"/>
        </w:trPr>
        <w:tc>
          <w:tcPr>
            <w:tcW w:w="2061"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3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4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4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3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4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2"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3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3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2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72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2"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3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3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2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061"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3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4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4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3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4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2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2061"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37"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color w:val="000000"/>
                <w:sz w:val="22"/>
                <w:lang w:val="en-US" w:eastAsia="zh-CN"/>
              </w:rPr>
              <w:t>290.52</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color w:val="000000"/>
                <w:sz w:val="22"/>
                <w:lang w:val="en-US" w:eastAsia="zh-CN"/>
              </w:rPr>
              <w:t>290.52</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196.21</w:t>
            </w: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w:t>
            </w:r>
          </w:p>
        </w:tc>
        <w:tc>
          <w:tcPr>
            <w:tcW w:w="1332"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社会保障和就业支出</w:t>
            </w:r>
          </w:p>
        </w:tc>
        <w:tc>
          <w:tcPr>
            <w:tcW w:w="537"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286.62</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 xml:space="preserve"> 90.41</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196.21</w:t>
            </w: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heme="minorHAnsi" w:hAnsiTheme="minorHAnsi" w:eastAsiaTheme="minorEastAsia" w:cstheme="minorBidi"/>
                <w:kern w:val="2"/>
                <w:sz w:val="21"/>
                <w:szCs w:val="22"/>
                <w:lang w:val="en-US" w:eastAsia="zh-CN" w:bidi="ar-SA"/>
              </w:rPr>
            </w:pPr>
            <w:r>
              <w:t>　</w:t>
            </w:r>
            <w:r>
              <w:rPr>
                <w:rFonts w:hint="eastAsia"/>
              </w:rPr>
              <w:t>20805</w:t>
            </w:r>
          </w:p>
        </w:tc>
        <w:tc>
          <w:tcPr>
            <w:tcW w:w="1332" w:type="pct"/>
            <w:tcBorders>
              <w:top w:val="nil"/>
              <w:left w:val="nil"/>
              <w:bottom w:val="single" w:color="auto" w:sz="4" w:space="0"/>
              <w:right w:val="single" w:color="auto" w:sz="4" w:space="0"/>
            </w:tcBorders>
            <w:shd w:val="clear" w:color="000000" w:fill="FFFFFF"/>
            <w:noWrap/>
            <w:vAlign w:val="center"/>
          </w:tcPr>
          <w:p>
            <w:pPr>
              <w:rPr>
                <w:rFonts w:asciiTheme="minorHAnsi" w:hAnsiTheme="minorHAnsi" w:eastAsiaTheme="minorEastAsia" w:cstheme="minorBidi"/>
                <w:kern w:val="2"/>
                <w:sz w:val="21"/>
                <w:szCs w:val="22"/>
                <w:lang w:val="en-US" w:eastAsia="zh-CN" w:bidi="ar-SA"/>
              </w:rPr>
            </w:pPr>
            <w:r>
              <w:t>　</w:t>
            </w:r>
            <w:r>
              <w:rPr>
                <w:rFonts w:hint="eastAsia"/>
              </w:rPr>
              <w:t>行政事业单位养老支出</w:t>
            </w:r>
          </w:p>
        </w:tc>
        <w:tc>
          <w:tcPr>
            <w:tcW w:w="537" w:type="pct"/>
            <w:tcBorders>
              <w:top w:val="nil"/>
              <w:left w:val="nil"/>
              <w:bottom w:val="single" w:color="auto" w:sz="4" w:space="0"/>
              <w:right w:val="single" w:color="auto" w:sz="4" w:space="0"/>
            </w:tcBorders>
            <w:shd w:val="clear" w:color="auto" w:fill="auto"/>
            <w:noWrap/>
            <w:vAlign w:val="center"/>
          </w:tcPr>
          <w:p>
            <w:pPr>
              <w:jc w:val="right"/>
              <w:rPr>
                <w:rFonts w:asciiTheme="minorHAnsi" w:hAnsiTheme="minorHAnsi" w:eastAsiaTheme="minorEastAsia" w:cstheme="minorBidi"/>
                <w:kern w:val="2"/>
                <w:sz w:val="21"/>
                <w:szCs w:val="22"/>
                <w:lang w:val="en-US" w:eastAsia="zh-CN" w:bidi="ar-SA"/>
              </w:rPr>
            </w:pPr>
            <w:r>
              <w:rPr>
                <w:rFonts w:hint="eastAsia"/>
                <w:lang w:val="en-US" w:eastAsia="zh-CN"/>
              </w:rPr>
              <w:t>7.18</w:t>
            </w:r>
            <w:r>
              <w:t>　</w:t>
            </w:r>
          </w:p>
        </w:tc>
        <w:tc>
          <w:tcPr>
            <w:tcW w:w="346" w:type="pct"/>
            <w:tcBorders>
              <w:top w:val="nil"/>
              <w:left w:val="nil"/>
              <w:bottom w:val="single" w:color="auto" w:sz="4" w:space="0"/>
              <w:right w:val="single" w:color="auto" w:sz="4" w:space="0"/>
            </w:tcBorders>
            <w:shd w:val="clear" w:color="auto" w:fill="auto"/>
            <w:noWrap/>
            <w:vAlign w:val="center"/>
          </w:tcPr>
          <w:p>
            <w:pPr>
              <w:jc w:val="right"/>
              <w:rPr>
                <w:rFonts w:asciiTheme="minorHAnsi" w:hAnsiTheme="minorHAnsi" w:eastAsiaTheme="minorEastAsia" w:cstheme="minorBidi"/>
                <w:kern w:val="2"/>
                <w:sz w:val="21"/>
                <w:szCs w:val="22"/>
                <w:lang w:val="en-US" w:eastAsia="zh-CN" w:bidi="ar-SA"/>
              </w:rPr>
            </w:pPr>
            <w:r>
              <w:rPr>
                <w:rFonts w:hint="eastAsia"/>
                <w:lang w:val="en-US" w:eastAsia="zh-CN"/>
              </w:rPr>
              <w:t>7.18</w:t>
            </w:r>
            <w:r>
              <w:t>　</w:t>
            </w:r>
          </w:p>
        </w:tc>
        <w:tc>
          <w:tcPr>
            <w:tcW w:w="34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1332"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537"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7.18</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7.18</w:t>
            </w:r>
          </w:p>
          <w:p>
            <w:pPr>
              <w:jc w:val="cente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20809</w:t>
            </w:r>
          </w:p>
        </w:tc>
        <w:tc>
          <w:tcPr>
            <w:tcW w:w="1332"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退役安置</w:t>
            </w:r>
          </w:p>
        </w:tc>
        <w:tc>
          <w:tcPr>
            <w:tcW w:w="537"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279.44</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279.44</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196.21</w:t>
            </w: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宋体" w:hAnsi="宋体" w:eastAsia="宋体" w:cs="宋体"/>
                <w:i w:val="0"/>
                <w:iCs w:val="0"/>
                <w:color w:val="262626"/>
                <w:kern w:val="0"/>
                <w:sz w:val="22"/>
                <w:szCs w:val="22"/>
                <w:u w:val="none"/>
                <w:lang w:val="en-US" w:eastAsia="zh-CN" w:bidi="ar"/>
              </w:rPr>
              <w:t>2080902</w:t>
            </w:r>
          </w:p>
        </w:tc>
        <w:tc>
          <w:tcPr>
            <w:tcW w:w="1332"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宋体" w:hAnsi="宋体" w:eastAsia="宋体" w:cs="宋体"/>
                <w:i w:val="0"/>
                <w:iCs w:val="0"/>
                <w:color w:val="262626"/>
                <w:kern w:val="0"/>
                <w:sz w:val="22"/>
                <w:szCs w:val="22"/>
                <w:u w:val="none"/>
                <w:lang w:val="en-US" w:eastAsia="zh-CN" w:bidi="ar"/>
              </w:rPr>
              <w:t>军队移交政府的离退休人员安置</w:t>
            </w:r>
          </w:p>
        </w:tc>
        <w:tc>
          <w:tcPr>
            <w:tcW w:w="537"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83.23</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83.23</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2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pStyle w:val="2"/>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2080999</w:t>
            </w:r>
          </w:p>
        </w:tc>
        <w:tc>
          <w:tcPr>
            <w:tcW w:w="1332" w:type="pct"/>
            <w:tcBorders>
              <w:top w:val="nil"/>
              <w:left w:val="single" w:color="auto" w:sz="4" w:space="0"/>
              <w:bottom w:val="single" w:color="auto" w:sz="4" w:space="0"/>
              <w:right w:val="single" w:color="auto" w:sz="4" w:space="0"/>
            </w:tcBorders>
            <w:shd w:val="clear" w:color="000000" w:fill="FFFFFF"/>
            <w:noWrap/>
            <w:vAlign w:val="center"/>
          </w:tcPr>
          <w:p>
            <w:pPr>
              <w:pStyle w:val="2"/>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其他退役安置支出</w:t>
            </w:r>
          </w:p>
        </w:tc>
        <w:tc>
          <w:tcPr>
            <w:tcW w:w="537" w:type="pct"/>
            <w:tcBorders>
              <w:top w:val="nil"/>
              <w:left w:val="single" w:color="auto" w:sz="4" w:space="0"/>
              <w:bottom w:val="single" w:color="auto" w:sz="4" w:space="0"/>
              <w:right w:val="single" w:color="auto" w:sz="4" w:space="0"/>
            </w:tcBorders>
            <w:shd w:val="clear" w:color="auto" w:fill="auto"/>
            <w:noWrap/>
            <w:vAlign w:val="center"/>
          </w:tcPr>
          <w:p>
            <w:pPr>
              <w:pStyle w:val="2"/>
              <w:ind w:firstLine="220" w:firstLineChars="100"/>
              <w:jc w:val="right"/>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53.8　</w:t>
            </w:r>
          </w:p>
        </w:tc>
        <w:tc>
          <w:tcPr>
            <w:tcW w:w="346" w:type="pct"/>
            <w:tcBorders>
              <w:top w:val="nil"/>
              <w:left w:val="single" w:color="auto" w:sz="4" w:space="0"/>
              <w:bottom w:val="single" w:color="auto" w:sz="4" w:space="0"/>
              <w:right w:val="single" w:color="auto" w:sz="4" w:space="0"/>
            </w:tcBorders>
            <w:shd w:val="clear" w:color="auto" w:fill="auto"/>
            <w:noWrap/>
            <w:vAlign w:val="center"/>
          </w:tcPr>
          <w:p>
            <w:pPr>
              <w:pStyle w:val="2"/>
              <w:jc w:val="right"/>
              <w:rPr>
                <w:rFonts w:hint="eastAsia" w:ascii="宋体" w:hAnsi="宋体" w:eastAsia="宋体" w:cs="宋体"/>
                <w:i w:val="0"/>
                <w:iCs w:val="0"/>
                <w:color w:val="262626"/>
                <w:kern w:val="0"/>
                <w:sz w:val="22"/>
                <w:szCs w:val="22"/>
                <w:u w:val="none"/>
                <w:lang w:val="en-US" w:eastAsia="zh-CN" w:bidi="ar"/>
              </w:rPr>
            </w:pPr>
          </w:p>
        </w:tc>
        <w:tc>
          <w:tcPr>
            <w:tcW w:w="346" w:type="pct"/>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　53.8</w:t>
            </w: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072" w:type="dxa"/>
            <w:tcBorders>
              <w:left w:val="single" w:color="auto" w:sz="4" w:space="0"/>
              <w:bottom w:val="single" w:color="auto" w:sz="4" w:space="0"/>
              <w:right w:val="single" w:color="auto" w:sz="4" w:space="0"/>
            </w:tcBorders>
            <w:shd w:val="clear" w:color="000000" w:fill="FFFFFF"/>
            <w:vAlign w:val="center"/>
          </w:tcPr>
          <w:p>
            <w:pPr>
              <w:pStyle w:val="2"/>
              <w:rPr>
                <w:rFonts w:asciiTheme="minorHAnsi" w:hAnsiTheme="minorHAnsi" w:eastAsiaTheme="minorEastAsia" w:cstheme="minorBidi"/>
                <w:kern w:val="2"/>
                <w:sz w:val="18"/>
                <w:szCs w:val="18"/>
                <w:lang w:val="en-US" w:eastAsia="zh-CN" w:bidi="ar-SA"/>
              </w:rPr>
            </w:pPr>
            <w:r>
              <w:rPr>
                <w:rFonts w:hint="eastAsia" w:ascii="宋体" w:hAnsi="宋体" w:eastAsia="宋体" w:cs="宋体"/>
                <w:i w:val="0"/>
                <w:iCs w:val="0"/>
                <w:color w:val="262626"/>
                <w:kern w:val="0"/>
                <w:sz w:val="22"/>
                <w:szCs w:val="22"/>
                <w:u w:val="none"/>
                <w:lang w:val="en-US" w:eastAsia="zh-CN" w:bidi="ar"/>
              </w:rPr>
              <w:t>210</w:t>
            </w:r>
          </w:p>
        </w:tc>
        <w:tc>
          <w:tcPr>
            <w:tcW w:w="3786" w:type="dxa"/>
            <w:tcBorders>
              <w:left w:val="single" w:color="auto" w:sz="4" w:space="0"/>
              <w:bottom w:val="single" w:color="auto" w:sz="4" w:space="0"/>
              <w:right w:val="single" w:color="auto" w:sz="4" w:space="0"/>
            </w:tcBorders>
            <w:shd w:val="clear" w:color="auto" w:fill="EEF0F0"/>
            <w:vAlign w:val="center"/>
          </w:tcPr>
          <w:p>
            <w:pPr>
              <w:keepNext w:val="0"/>
              <w:keepLines w:val="0"/>
              <w:widowControl/>
              <w:suppressLineNumbers w:val="0"/>
              <w:jc w:val="lef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卫生健康支出</w:t>
            </w:r>
          </w:p>
        </w:tc>
        <w:tc>
          <w:tcPr>
            <w:tcW w:w="537" w:type="pct"/>
            <w:tcBorders>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lang w:val="en-US" w:eastAsia="zh-CN"/>
              </w:rPr>
            </w:pPr>
          </w:p>
          <w:p>
            <w:pPr>
              <w:pStyle w:val="3"/>
              <w:ind w:left="420" w:leftChars="200" w:firstLine="480" w:firstLineChars="200"/>
              <w:jc w:val="right"/>
              <w:rPr>
                <w:rFonts w:hint="default" w:ascii="宋体" w:hAnsi="宋体" w:eastAsia="宋体" w:cs="宋体"/>
                <w:kern w:val="0"/>
                <w:sz w:val="24"/>
                <w:szCs w:val="22"/>
                <w:lang w:val="en-US" w:eastAsia="zh-CN" w:bidi="ar-SA"/>
              </w:rPr>
            </w:pPr>
            <w:r>
              <w:rPr>
                <w:rFonts w:hint="eastAsia" w:ascii="Times New Roman" w:hAnsi="Times New Roman" w:eastAsia="仿宋_GB2312" w:cs="Times New Roman"/>
                <w:lang w:val="en-US" w:eastAsia="zh-CN"/>
              </w:rPr>
              <w:t>3.9</w:t>
            </w:r>
          </w:p>
        </w:tc>
        <w:tc>
          <w:tcPr>
            <w:tcW w:w="346" w:type="pct"/>
            <w:tcBorders>
              <w:left w:val="single" w:color="auto" w:sz="4" w:space="0"/>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w:t>
            </w:r>
          </w:p>
        </w:tc>
        <w:tc>
          <w:tcPr>
            <w:tcW w:w="346" w:type="pct"/>
            <w:tcBorders>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537" w:type="pct"/>
            <w:tcBorders>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46" w:type="pct"/>
            <w:tcBorders>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25" w:type="pct"/>
            <w:tcBorders>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072"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
              <w:rPr>
                <w:rFonts w:asciiTheme="minorHAnsi" w:hAnsiTheme="minorHAnsi" w:eastAsiaTheme="minorEastAsia" w:cstheme="minorBidi"/>
                <w:kern w:val="2"/>
                <w:sz w:val="18"/>
                <w:szCs w:val="18"/>
                <w:lang w:val="en-US" w:eastAsia="zh-CN" w:bidi="ar-SA"/>
              </w:rPr>
            </w:pPr>
            <w:r>
              <w:rPr>
                <w:rFonts w:hint="eastAsia" w:ascii="宋体" w:hAnsi="宋体" w:eastAsia="宋体" w:cs="宋体"/>
                <w:i w:val="0"/>
                <w:iCs w:val="0"/>
                <w:color w:val="262626"/>
                <w:kern w:val="0"/>
                <w:sz w:val="22"/>
                <w:szCs w:val="22"/>
                <w:u w:val="none"/>
                <w:lang w:val="en-US" w:eastAsia="zh-CN" w:bidi="ar"/>
              </w:rPr>
              <w:t>21011</w:t>
            </w:r>
          </w:p>
        </w:tc>
        <w:tc>
          <w:tcPr>
            <w:tcW w:w="37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行政事业单位医疗</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w:t>
            </w:r>
          </w:p>
        </w:tc>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w:t>
            </w:r>
          </w:p>
        </w:tc>
        <w:tc>
          <w:tcPr>
            <w:tcW w:w="34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537"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4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25"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072"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
              <w:rPr>
                <w:rFonts w:asciiTheme="minorHAnsi" w:hAnsiTheme="minorHAnsi" w:eastAsiaTheme="minorEastAsia" w:cstheme="minorBidi"/>
                <w:kern w:val="2"/>
                <w:sz w:val="18"/>
                <w:szCs w:val="18"/>
                <w:lang w:val="en-US" w:eastAsia="zh-CN" w:bidi="ar-SA"/>
              </w:rPr>
            </w:pPr>
            <w:r>
              <w:rPr>
                <w:rFonts w:hint="eastAsia" w:ascii="宋体" w:hAnsi="宋体" w:eastAsia="宋体" w:cs="宋体"/>
                <w:i w:val="0"/>
                <w:iCs w:val="0"/>
                <w:color w:val="262626"/>
                <w:kern w:val="0"/>
                <w:sz w:val="22"/>
                <w:szCs w:val="22"/>
                <w:u w:val="none"/>
                <w:lang w:val="en-US" w:eastAsia="zh-CN" w:bidi="ar"/>
              </w:rPr>
              <w:t>2101102</w:t>
            </w:r>
          </w:p>
        </w:tc>
        <w:tc>
          <w:tcPr>
            <w:tcW w:w="37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事业单位医疗</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w:t>
            </w:r>
          </w:p>
        </w:tc>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w:t>
            </w:r>
          </w:p>
        </w:tc>
        <w:tc>
          <w:tcPr>
            <w:tcW w:w="34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537"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4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25"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2856"/>
        <w:gridCol w:w="616"/>
        <w:gridCol w:w="821"/>
        <w:gridCol w:w="1672"/>
        <w:gridCol w:w="1594"/>
        <w:gridCol w:w="1708"/>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209.52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286.62</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286.62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3.9</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209.52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209.52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209.52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209.52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209.52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3"/>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3397" w:type="dxa"/>
        <w:jc w:val="center"/>
        <w:tblLayout w:type="autofit"/>
        <w:tblCellMar>
          <w:top w:w="0" w:type="dxa"/>
          <w:left w:w="108" w:type="dxa"/>
          <w:bottom w:w="0" w:type="dxa"/>
          <w:right w:w="108" w:type="dxa"/>
        </w:tblCellMar>
      </w:tblPr>
      <w:tblGrid>
        <w:gridCol w:w="1200"/>
        <w:gridCol w:w="2705"/>
        <w:gridCol w:w="3000"/>
        <w:gridCol w:w="3492"/>
        <w:gridCol w:w="3000"/>
      </w:tblGrid>
      <w:tr>
        <w:tblPrEx>
          <w:tblCellMar>
            <w:top w:w="0" w:type="dxa"/>
            <w:left w:w="108" w:type="dxa"/>
            <w:bottom w:w="0" w:type="dxa"/>
            <w:right w:w="108" w:type="dxa"/>
          </w:tblCellMar>
        </w:tblPrEx>
        <w:trPr>
          <w:trHeight w:val="545" w:hRule="atLeast"/>
          <w:jc w:val="center"/>
        </w:trPr>
        <w:tc>
          <w:tcPr>
            <w:tcW w:w="3905"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70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70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70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390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390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color w:val="000000"/>
                <w:sz w:val="22"/>
                <w:lang w:val="en-US" w:eastAsia="zh-CN"/>
              </w:rPr>
              <w:t>290.52</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color w:val="000000"/>
                <w:sz w:val="22"/>
                <w:lang w:val="en-US" w:eastAsia="zh-CN"/>
              </w:rPr>
              <w:t>94.31</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 w:val="24"/>
                <w:szCs w:val="24"/>
                <w:lang w:val="en-US" w:eastAsia="zh-CN"/>
              </w:rPr>
              <w:t>196.21</w:t>
            </w:r>
          </w:p>
        </w:tc>
      </w:tr>
      <w:tr>
        <w:tblPrEx>
          <w:tblCellMar>
            <w:top w:w="0" w:type="dxa"/>
            <w:left w:w="108" w:type="dxa"/>
            <w:bottom w:w="0" w:type="dxa"/>
            <w:right w:w="108" w:type="dxa"/>
          </w:tblCellMar>
        </w:tblPrEx>
        <w:trPr>
          <w:trHeight w:val="196"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w:t>
            </w:r>
          </w:p>
        </w:tc>
        <w:tc>
          <w:tcPr>
            <w:tcW w:w="2705"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社会保障和就业支出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286.62</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 xml:space="preserve"> 90.41</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 w:val="24"/>
                <w:szCs w:val="24"/>
                <w:lang w:val="en-US" w:eastAsia="zh-CN"/>
              </w:rPr>
              <w:t>196.21</w:t>
            </w:r>
          </w:p>
        </w:tc>
      </w:tr>
      <w:tr>
        <w:tblPrEx>
          <w:tblCellMar>
            <w:top w:w="0" w:type="dxa"/>
            <w:left w:w="108" w:type="dxa"/>
            <w:bottom w:w="0" w:type="dxa"/>
            <w:right w:w="108" w:type="dxa"/>
          </w:tblCellMar>
        </w:tblPrEx>
        <w:trPr>
          <w:trHeight w:val="264"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heme="minorHAnsi" w:hAnsiTheme="minorHAnsi" w:eastAsiaTheme="minorEastAsia" w:cstheme="minorBidi"/>
                <w:kern w:val="2"/>
                <w:sz w:val="21"/>
                <w:szCs w:val="22"/>
                <w:lang w:val="en-US" w:eastAsia="zh-CN" w:bidi="ar-SA"/>
              </w:rPr>
            </w:pPr>
            <w:r>
              <w:t>　</w:t>
            </w:r>
            <w:r>
              <w:rPr>
                <w:rFonts w:hint="eastAsia"/>
              </w:rPr>
              <w:t>20805</w:t>
            </w:r>
          </w:p>
        </w:tc>
        <w:tc>
          <w:tcPr>
            <w:tcW w:w="2705" w:type="dxa"/>
            <w:tcBorders>
              <w:top w:val="single" w:color="auto" w:sz="4" w:space="0"/>
              <w:left w:val="nil"/>
              <w:bottom w:val="single" w:color="auto" w:sz="4" w:space="0"/>
              <w:right w:val="single" w:color="auto" w:sz="4" w:space="0"/>
            </w:tcBorders>
            <w:shd w:val="clear" w:color="000000" w:fill="FFFFFF"/>
            <w:vAlign w:val="center"/>
          </w:tcPr>
          <w:p>
            <w:pPr>
              <w:rPr>
                <w:rFonts w:asciiTheme="minorHAnsi" w:hAnsiTheme="minorHAnsi" w:eastAsiaTheme="minorEastAsia" w:cstheme="minorBidi"/>
                <w:kern w:val="2"/>
                <w:sz w:val="21"/>
                <w:szCs w:val="22"/>
                <w:lang w:val="en-US" w:eastAsia="zh-CN" w:bidi="ar-SA"/>
              </w:rPr>
            </w:pPr>
            <w:r>
              <w:t>　</w:t>
            </w:r>
            <w:r>
              <w:rPr>
                <w:rFonts w:hint="eastAsia"/>
              </w:rPr>
              <w:t>行政事业单位养老支出</w:t>
            </w:r>
          </w:p>
        </w:tc>
        <w:tc>
          <w:tcPr>
            <w:tcW w:w="3000" w:type="dxa"/>
            <w:tcBorders>
              <w:top w:val="single" w:color="auto" w:sz="4" w:space="0"/>
              <w:left w:val="nil"/>
              <w:bottom w:val="single" w:color="auto" w:sz="4" w:space="0"/>
              <w:right w:val="single" w:color="auto" w:sz="4" w:space="0"/>
            </w:tcBorders>
            <w:shd w:val="clear" w:color="auto" w:fill="auto"/>
            <w:vAlign w:val="center"/>
          </w:tcPr>
          <w:p>
            <w:pPr>
              <w:jc w:val="right"/>
              <w:rPr>
                <w:rFonts w:asciiTheme="minorHAnsi" w:hAnsiTheme="minorHAnsi" w:eastAsiaTheme="minorEastAsia" w:cstheme="minorBidi"/>
                <w:kern w:val="2"/>
                <w:sz w:val="21"/>
                <w:szCs w:val="22"/>
                <w:lang w:val="en-US" w:eastAsia="zh-CN" w:bidi="ar-SA"/>
              </w:rPr>
            </w:pPr>
            <w:r>
              <w:rPr>
                <w:rFonts w:hint="eastAsia"/>
                <w:lang w:val="en-US" w:eastAsia="zh-CN"/>
              </w:rPr>
              <w:t>7.18</w:t>
            </w:r>
            <w:r>
              <w:t>　</w:t>
            </w:r>
          </w:p>
        </w:tc>
        <w:tc>
          <w:tcPr>
            <w:tcW w:w="3492" w:type="dxa"/>
            <w:tcBorders>
              <w:top w:val="single" w:color="auto" w:sz="4" w:space="0"/>
              <w:left w:val="nil"/>
              <w:bottom w:val="single" w:color="auto" w:sz="4" w:space="0"/>
              <w:right w:val="single" w:color="auto" w:sz="4" w:space="0"/>
            </w:tcBorders>
            <w:shd w:val="clear" w:color="auto" w:fill="auto"/>
            <w:vAlign w:val="center"/>
          </w:tcPr>
          <w:p>
            <w:pPr>
              <w:jc w:val="right"/>
              <w:rPr>
                <w:rFonts w:asciiTheme="minorHAnsi" w:hAnsiTheme="minorHAnsi" w:eastAsiaTheme="minorEastAsia" w:cstheme="minorBidi"/>
                <w:kern w:val="2"/>
                <w:sz w:val="21"/>
                <w:szCs w:val="22"/>
                <w:lang w:val="en-US" w:eastAsia="zh-CN" w:bidi="ar-SA"/>
              </w:rPr>
            </w:pPr>
            <w:r>
              <w:rPr>
                <w:rFonts w:hint="eastAsia"/>
                <w:lang w:val="en-US" w:eastAsia="zh-CN"/>
              </w:rPr>
              <w:t>7.18</w:t>
            </w:r>
            <w:r>
              <w:t>　</w:t>
            </w:r>
          </w:p>
        </w:tc>
        <w:tc>
          <w:tcPr>
            <w:tcW w:w="3000" w:type="dxa"/>
            <w:tcBorders>
              <w:top w:val="single" w:color="auto" w:sz="4" w:space="0"/>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236"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2705"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7.18</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lang w:val="en-US" w:eastAsia="zh-CN"/>
              </w:rPr>
            </w:pPr>
          </w:p>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7.18</w:t>
            </w:r>
          </w:p>
          <w:p>
            <w:pPr>
              <w:jc w:val="cente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224"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20809</w:t>
            </w:r>
          </w:p>
        </w:tc>
        <w:tc>
          <w:tcPr>
            <w:tcW w:w="2705" w:type="dxa"/>
            <w:tcBorders>
              <w:top w:val="single" w:color="auto" w:sz="4" w:space="0"/>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退役安置</w:t>
            </w:r>
          </w:p>
        </w:tc>
        <w:tc>
          <w:tcPr>
            <w:tcW w:w="3000" w:type="dxa"/>
            <w:tcBorders>
              <w:top w:val="single" w:color="auto" w:sz="4" w:space="0"/>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279.44</w:t>
            </w:r>
            <w:r>
              <w:rPr>
                <w:rFonts w:ascii="Times New Roman" w:hAnsi="Times New Roman" w:eastAsia="仿宋_GB2312" w:cs="Times New Roman"/>
              </w:rPr>
              <w:t>　</w:t>
            </w:r>
          </w:p>
        </w:tc>
        <w:tc>
          <w:tcPr>
            <w:tcW w:w="3492" w:type="dxa"/>
            <w:tcBorders>
              <w:top w:val="single" w:color="auto" w:sz="4" w:space="0"/>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83.23</w:t>
            </w:r>
            <w:r>
              <w:rPr>
                <w:rFonts w:ascii="Times New Roman" w:hAnsi="Times New Roman" w:eastAsia="仿宋_GB2312" w:cs="Times New Roman"/>
              </w:rPr>
              <w:t>　</w:t>
            </w:r>
          </w:p>
        </w:tc>
        <w:tc>
          <w:tcPr>
            <w:tcW w:w="3000" w:type="dxa"/>
            <w:tcBorders>
              <w:top w:val="single" w:color="auto" w:sz="4" w:space="0"/>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296"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宋体" w:hAnsi="宋体" w:eastAsia="宋体" w:cs="宋体"/>
                <w:i w:val="0"/>
                <w:iCs w:val="0"/>
                <w:color w:val="262626"/>
                <w:kern w:val="0"/>
                <w:sz w:val="22"/>
                <w:szCs w:val="22"/>
                <w:u w:val="none"/>
                <w:lang w:val="en-US" w:eastAsia="zh-CN" w:bidi="ar"/>
              </w:rPr>
              <w:t>2080902</w:t>
            </w:r>
          </w:p>
        </w:tc>
        <w:tc>
          <w:tcPr>
            <w:tcW w:w="2705"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宋体" w:hAnsi="宋体" w:eastAsia="宋体" w:cs="宋体"/>
                <w:i w:val="0"/>
                <w:iCs w:val="0"/>
                <w:color w:val="262626"/>
                <w:kern w:val="0"/>
                <w:sz w:val="22"/>
                <w:szCs w:val="22"/>
                <w:u w:val="none"/>
                <w:lang w:val="en-US" w:eastAsia="zh-CN" w:bidi="ar"/>
              </w:rPr>
              <w:t>军队移交政府的离退休人员安置</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83.23</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83.23</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pStyle w:val="2"/>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2080999</w:t>
            </w:r>
          </w:p>
        </w:tc>
        <w:tc>
          <w:tcPr>
            <w:tcW w:w="2705" w:type="dxa"/>
            <w:tcBorders>
              <w:top w:val="single" w:color="auto" w:sz="4" w:space="0"/>
              <w:left w:val="nil"/>
              <w:bottom w:val="single" w:color="auto" w:sz="4" w:space="0"/>
              <w:right w:val="single" w:color="auto" w:sz="4" w:space="0"/>
            </w:tcBorders>
            <w:shd w:val="clear" w:color="000000" w:fill="FFFFFF"/>
            <w:vAlign w:val="center"/>
          </w:tcPr>
          <w:p>
            <w:pPr>
              <w:pStyle w:val="2"/>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其他退役安置支出</w:t>
            </w:r>
          </w:p>
        </w:tc>
        <w:tc>
          <w:tcPr>
            <w:tcW w:w="3000" w:type="dxa"/>
            <w:tcBorders>
              <w:top w:val="single" w:color="auto" w:sz="4" w:space="0"/>
              <w:left w:val="nil"/>
              <w:bottom w:val="single" w:color="auto" w:sz="4" w:space="0"/>
              <w:right w:val="single" w:color="auto" w:sz="4" w:space="0"/>
            </w:tcBorders>
            <w:shd w:val="clear" w:color="auto" w:fill="auto"/>
            <w:vAlign w:val="center"/>
          </w:tcPr>
          <w:p>
            <w:pPr>
              <w:pStyle w:val="2"/>
              <w:ind w:firstLine="220" w:firstLineChars="100"/>
              <w:jc w:val="right"/>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53.8　</w:t>
            </w:r>
          </w:p>
        </w:tc>
        <w:tc>
          <w:tcPr>
            <w:tcW w:w="3492" w:type="dxa"/>
            <w:tcBorders>
              <w:top w:val="single" w:color="auto" w:sz="4" w:space="0"/>
              <w:left w:val="nil"/>
              <w:bottom w:val="single" w:color="auto" w:sz="4" w:space="0"/>
              <w:right w:val="single" w:color="auto" w:sz="4" w:space="0"/>
            </w:tcBorders>
            <w:shd w:val="clear" w:color="auto" w:fill="auto"/>
            <w:vAlign w:val="center"/>
          </w:tcPr>
          <w:p>
            <w:pPr>
              <w:pStyle w:val="2"/>
              <w:jc w:val="right"/>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w:t>
            </w:r>
          </w:p>
        </w:tc>
        <w:tc>
          <w:tcPr>
            <w:tcW w:w="3000" w:type="dxa"/>
            <w:tcBorders>
              <w:top w:val="single" w:color="auto" w:sz="4" w:space="0"/>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53.8</w:t>
            </w:r>
          </w:p>
        </w:tc>
      </w:tr>
      <w:tr>
        <w:tblPrEx>
          <w:tblCellMar>
            <w:top w:w="0" w:type="dxa"/>
            <w:left w:w="108" w:type="dxa"/>
            <w:bottom w:w="0" w:type="dxa"/>
            <w:right w:w="108" w:type="dxa"/>
          </w:tblCellMar>
        </w:tblPrEx>
        <w:trPr>
          <w:trHeight w:val="571"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pStyle w:val="2"/>
              <w:rPr>
                <w:rFonts w:asciiTheme="minorHAnsi" w:hAnsiTheme="minorHAnsi" w:eastAsiaTheme="minorEastAsia" w:cstheme="minorBidi"/>
                <w:kern w:val="2"/>
                <w:sz w:val="18"/>
                <w:szCs w:val="18"/>
                <w:lang w:val="en-US" w:eastAsia="zh-CN" w:bidi="ar-SA"/>
              </w:rPr>
            </w:pPr>
            <w:r>
              <w:rPr>
                <w:rFonts w:hint="eastAsia" w:ascii="宋体" w:hAnsi="宋体" w:eastAsia="宋体" w:cs="宋体"/>
                <w:i w:val="0"/>
                <w:iCs w:val="0"/>
                <w:color w:val="262626"/>
                <w:kern w:val="0"/>
                <w:sz w:val="22"/>
                <w:szCs w:val="22"/>
                <w:u w:val="none"/>
                <w:lang w:val="en-US" w:eastAsia="zh-CN" w:bidi="ar"/>
              </w:rPr>
              <w:t>210</w:t>
            </w:r>
          </w:p>
        </w:tc>
        <w:tc>
          <w:tcPr>
            <w:tcW w:w="2705" w:type="dxa"/>
            <w:tcBorders>
              <w:top w:val="single" w:color="auto" w:sz="4" w:space="0"/>
              <w:left w:val="nil"/>
              <w:bottom w:val="single" w:color="auto" w:sz="4" w:space="0"/>
              <w:right w:val="single" w:color="auto" w:sz="4" w:space="0"/>
            </w:tcBorders>
            <w:shd w:val="clear" w:color="auto" w:fill="EEF0F0"/>
            <w:vAlign w:val="center"/>
          </w:tcPr>
          <w:p>
            <w:pPr>
              <w:keepNext w:val="0"/>
              <w:keepLines w:val="0"/>
              <w:widowControl/>
              <w:suppressLineNumbers w:val="0"/>
              <w:jc w:val="lef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卫生健康支出</w:t>
            </w:r>
          </w:p>
        </w:tc>
        <w:tc>
          <w:tcPr>
            <w:tcW w:w="3000" w:type="dxa"/>
            <w:tcBorders>
              <w:top w:val="single" w:color="auto" w:sz="4" w:space="0"/>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lang w:val="en-US" w:eastAsia="zh-CN"/>
              </w:rPr>
            </w:pPr>
          </w:p>
          <w:p>
            <w:pPr>
              <w:pStyle w:val="3"/>
              <w:ind w:left="420" w:leftChars="200" w:firstLine="480" w:firstLineChars="200"/>
              <w:jc w:val="right"/>
              <w:rPr>
                <w:rFonts w:hint="default" w:ascii="宋体" w:hAnsi="宋体" w:eastAsia="宋体" w:cs="宋体"/>
                <w:kern w:val="0"/>
                <w:sz w:val="24"/>
                <w:szCs w:val="22"/>
                <w:lang w:val="en-US" w:eastAsia="zh-CN" w:bidi="ar-SA"/>
              </w:rPr>
            </w:pPr>
            <w:r>
              <w:rPr>
                <w:rFonts w:hint="eastAsia" w:ascii="Times New Roman" w:hAnsi="Times New Roman" w:eastAsia="仿宋_GB2312" w:cs="Times New Roman"/>
                <w:lang w:val="en-US" w:eastAsia="zh-CN"/>
              </w:rPr>
              <w:t>3.9</w:t>
            </w:r>
          </w:p>
        </w:tc>
        <w:tc>
          <w:tcPr>
            <w:tcW w:w="3492" w:type="dxa"/>
            <w:tcBorders>
              <w:top w:val="single" w:color="auto" w:sz="4" w:space="0"/>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w:t>
            </w:r>
          </w:p>
        </w:tc>
        <w:tc>
          <w:tcPr>
            <w:tcW w:w="3000" w:type="dxa"/>
            <w:tcBorders>
              <w:top w:val="single" w:color="auto" w:sz="4" w:space="0"/>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49"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pStyle w:val="2"/>
              <w:rPr>
                <w:rFonts w:asciiTheme="minorHAnsi" w:hAnsiTheme="minorHAnsi" w:eastAsiaTheme="minorEastAsia" w:cstheme="minorBidi"/>
                <w:kern w:val="2"/>
                <w:sz w:val="18"/>
                <w:szCs w:val="18"/>
                <w:lang w:val="en-US" w:eastAsia="zh-CN" w:bidi="ar-SA"/>
              </w:rPr>
            </w:pPr>
            <w:r>
              <w:rPr>
                <w:rFonts w:hint="eastAsia" w:ascii="宋体" w:hAnsi="宋体" w:eastAsia="宋体" w:cs="宋体"/>
                <w:i w:val="0"/>
                <w:iCs w:val="0"/>
                <w:color w:val="262626"/>
                <w:kern w:val="0"/>
                <w:sz w:val="22"/>
                <w:szCs w:val="22"/>
                <w:u w:val="none"/>
                <w:lang w:val="en-US" w:eastAsia="zh-CN" w:bidi="ar"/>
              </w:rPr>
              <w:t>21011</w:t>
            </w:r>
          </w:p>
        </w:tc>
        <w:tc>
          <w:tcPr>
            <w:tcW w:w="270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577"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pStyle w:val="2"/>
              <w:rPr>
                <w:rFonts w:asciiTheme="minorHAnsi" w:hAnsiTheme="minorHAnsi" w:eastAsiaTheme="minorEastAsia" w:cstheme="minorBidi"/>
                <w:kern w:val="2"/>
                <w:sz w:val="18"/>
                <w:szCs w:val="18"/>
                <w:lang w:val="en-US" w:eastAsia="zh-CN" w:bidi="ar-SA"/>
              </w:rPr>
            </w:pPr>
            <w:r>
              <w:rPr>
                <w:rFonts w:hint="eastAsia" w:ascii="宋体" w:hAnsi="宋体" w:eastAsia="宋体" w:cs="宋体"/>
                <w:i w:val="0"/>
                <w:iCs w:val="0"/>
                <w:color w:val="262626"/>
                <w:kern w:val="0"/>
                <w:sz w:val="22"/>
                <w:szCs w:val="22"/>
                <w:u w:val="none"/>
                <w:lang w:val="en-US" w:eastAsia="zh-CN" w:bidi="ar"/>
              </w:rPr>
              <w:t>2101102</w:t>
            </w:r>
          </w:p>
        </w:tc>
        <w:tc>
          <w:tcPr>
            <w:tcW w:w="270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事业单位医疗</w:t>
            </w:r>
          </w:p>
        </w:tc>
        <w:tc>
          <w:tcPr>
            <w:tcW w:w="3000" w:type="dxa"/>
            <w:tcBorders>
              <w:top w:val="single" w:color="auto" w:sz="4" w:space="0"/>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w:t>
            </w:r>
          </w:p>
        </w:tc>
        <w:tc>
          <w:tcPr>
            <w:tcW w:w="3492" w:type="dxa"/>
            <w:tcBorders>
              <w:top w:val="single" w:color="auto" w:sz="4" w:space="0"/>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w:t>
            </w:r>
          </w:p>
        </w:tc>
        <w:tc>
          <w:tcPr>
            <w:tcW w:w="3000" w:type="dxa"/>
            <w:tcBorders>
              <w:top w:val="single" w:color="auto" w:sz="4" w:space="0"/>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19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705"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288"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2705" w:type="dxa"/>
            <w:tcBorders>
              <w:top w:val="single" w:color="auto" w:sz="4" w:space="0"/>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single" w:color="auto" w:sz="4" w:space="0"/>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single" w:color="auto" w:sz="4" w:space="0"/>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single" w:color="auto" w:sz="4" w:space="0"/>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63.85</w:t>
            </w:r>
          </w:p>
          <w:p>
            <w:pPr>
              <w:pStyle w:val="2"/>
              <w:rPr>
                <w:rFonts w:hint="default"/>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30.46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23.34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8.73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6.92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6.46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7.05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3.78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8.25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63.85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30.46</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290.52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45.72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13.6</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部门为完成特定行政工作任务或事业发展目标而发生的资金优化和合理节约</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290.52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290.52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290.52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94.31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32.46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196.21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67.54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290.52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45.72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13.6</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部门为完成特定行政工作任务或事业发展目标而发生的资金优化和合理节约</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290.52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45.72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13.6</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部门为完成特定行政工作任务或事业发展目标而发生的资金优化和合理节约</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290.52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286.62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98.66</w:t>
      </w:r>
      <w:r>
        <w:rPr>
          <w:rFonts w:ascii="Times New Roman" w:hAnsi="Times New Roman" w:eastAsia="仿宋_GB2312" w:cs="Times New Roman"/>
          <w:sz w:val="32"/>
          <w:szCs w:val="32"/>
        </w:rPr>
        <w:t>%；</w:t>
      </w:r>
      <w:r>
        <w:rPr>
          <w:rFonts w:hint="eastAsia" w:ascii="Times New Roman" w:hAnsi="Times New Roman" w:eastAsia="仿宋_GB2312"/>
          <w:sz w:val="32"/>
          <w:szCs w:val="32"/>
        </w:rPr>
        <w:t>社会保障和卫生健康支出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1.34</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415.34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290.52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69.95</w:t>
      </w:r>
      <w:r>
        <w:rPr>
          <w:rFonts w:ascii="Times New Roman" w:hAnsi="Times New Roman" w:eastAsia="仿宋_GB2312" w:cs="Times New Roman"/>
          <w:sz w:val="32"/>
          <w:szCs w:val="32"/>
        </w:rPr>
        <w:t>%，其中：</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1、社会保障和就业支出（类）退役安置（款）军队移交政府的离退休人员安置（项）。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321.6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142.02</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决算数大于预算数的主要原因是：按实际支出。</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2、社会保障和就业支出（类）退役安置（款）军队移交政府离退休干部管理机构（项）。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81.47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83.23</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决算数大于预算数的主要原因是：按实际支出。</w:t>
      </w:r>
    </w:p>
    <w:p>
      <w:pPr>
        <w:pStyle w:val="14"/>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社会保障和就业支出（类）退役安置（款）其他退役安置支出（项）</w:t>
      </w:r>
      <w:r>
        <w:rPr>
          <w:rFonts w:hint="eastAsia" w:ascii="Times New Roman" w:hAnsi="Times New Roman" w:eastAsia="仿宋_GB2312"/>
          <w:sz w:val="32"/>
          <w:szCs w:val="32"/>
          <w:lang w:eastAsia="zh-CN"/>
        </w:rPr>
        <w:t>。</w:t>
      </w:r>
    </w:p>
    <w:p>
      <w:pPr>
        <w:pStyle w:val="5"/>
        <w:tabs>
          <w:tab w:val="left" w:pos="3864"/>
          <w:tab w:val="left" w:pos="6248"/>
          <w:tab w:val="left" w:pos="7386"/>
        </w:tabs>
        <w:overflowPunct w:val="0"/>
        <w:spacing w:before="1" w:line="360" w:lineRule="auto"/>
        <w:ind w:right="420" w:firstLine="640" w:firstLineChars="200"/>
        <w:rPr>
          <w:rFonts w:hint="eastAsia" w:ascii="仿宋" w:hAnsi="仿宋" w:eastAsia="仿宋" w:cs="仿宋"/>
          <w:color w:val="000000"/>
          <w:shd w:val="clear" w:color="auto" w:fill="FFFFFF"/>
          <w:lang w:eastAsia="zh-CN"/>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0</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53.83</w:t>
      </w:r>
      <w:r>
        <w:rPr>
          <w:rFonts w:hint="eastAsia" w:ascii="仿宋" w:hAnsi="仿宋" w:eastAsia="仿宋" w:cs="仿宋"/>
          <w:color w:val="000000"/>
          <w:shd w:val="clear" w:color="auto" w:fill="FFFFFF"/>
        </w:rPr>
        <w:t>万元，无法计算完成比</w:t>
      </w:r>
      <w:r>
        <w:rPr>
          <w:rFonts w:hint="eastAsia" w:ascii="仿宋" w:hAnsi="仿宋" w:eastAsia="仿宋" w:cs="仿宋"/>
          <w:color w:val="000000"/>
          <w:shd w:val="clear" w:color="auto" w:fill="FFFFFF"/>
          <w:lang w:eastAsia="zh-CN"/>
        </w:rPr>
        <w:t>率，</w:t>
      </w:r>
      <w:r>
        <w:rPr>
          <w:rFonts w:hint="eastAsia" w:ascii="仿宋" w:hAnsi="仿宋" w:eastAsia="仿宋" w:cs="仿宋"/>
          <w:color w:val="000000"/>
          <w:shd w:val="clear" w:color="auto" w:fill="FFFFFF"/>
        </w:rPr>
        <w:t>决算数大于预算数的主要原因是：资金没做预算</w:t>
      </w:r>
      <w:r>
        <w:rPr>
          <w:rFonts w:hint="eastAsia" w:ascii="仿宋" w:hAnsi="仿宋" w:eastAsia="仿宋" w:cs="仿宋"/>
          <w:color w:val="000000"/>
          <w:shd w:val="clear" w:color="auto" w:fill="FFFFFF"/>
          <w:lang w:eastAsia="zh-CN"/>
        </w:rPr>
        <w:t>。</w:t>
      </w:r>
    </w:p>
    <w:p>
      <w:pPr>
        <w:pStyle w:val="5"/>
        <w:tabs>
          <w:tab w:val="left" w:pos="3864"/>
          <w:tab w:val="left" w:pos="6248"/>
          <w:tab w:val="left" w:pos="7386"/>
        </w:tabs>
        <w:overflowPunct w:val="0"/>
        <w:spacing w:before="1" w:line="360" w:lineRule="auto"/>
        <w:ind w:right="420" w:firstLine="640" w:firstLineChars="200"/>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4、</w:t>
      </w:r>
      <w:r>
        <w:rPr>
          <w:rFonts w:hint="eastAsia" w:ascii="仿宋" w:hAnsi="仿宋" w:eastAsia="仿宋" w:cs="仿宋"/>
          <w:color w:val="000000"/>
          <w:shd w:val="clear" w:color="auto" w:fill="FFFFFF"/>
        </w:rPr>
        <w:t>社会保障和就业支出（类）行政事业单位养老支出（款）机关事业单位基本养老保险缴费支出（项）。</w:t>
      </w:r>
    </w:p>
    <w:p>
      <w:pPr>
        <w:pStyle w:val="5"/>
        <w:tabs>
          <w:tab w:val="left" w:pos="3864"/>
          <w:tab w:val="left" w:pos="6248"/>
          <w:tab w:val="left" w:pos="7386"/>
        </w:tabs>
        <w:overflowPunct w:val="0"/>
        <w:spacing w:before="1" w:line="360" w:lineRule="auto"/>
        <w:ind w:right="420" w:firstLine="640" w:firstLineChars="200"/>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5.35</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7.18</w:t>
      </w:r>
      <w:r>
        <w:rPr>
          <w:rFonts w:hint="eastAsia" w:ascii="仿宋" w:hAnsi="仿宋" w:eastAsia="仿宋" w:cs="仿宋"/>
          <w:color w:val="000000"/>
          <w:shd w:val="clear" w:color="auto" w:fill="FFFFFF"/>
        </w:rPr>
        <w:t>万元，决算数大于预算数的主要原因是</w:t>
      </w:r>
      <w:r>
        <w:rPr>
          <w:rFonts w:hint="eastAsia" w:ascii="仿宋" w:hAnsi="仿宋" w:eastAsia="仿宋" w:cs="仿宋"/>
          <w:color w:val="000000"/>
          <w:shd w:val="clear" w:color="auto" w:fill="FFFFFF"/>
          <w:lang w:eastAsia="zh-CN"/>
        </w:rPr>
        <w:t>：</w:t>
      </w:r>
      <w:r>
        <w:rPr>
          <w:rFonts w:hint="eastAsia" w:ascii="Times New Roman" w:hAnsi="Times New Roman" w:eastAsia="仿宋_GB2312"/>
          <w:sz w:val="32"/>
          <w:szCs w:val="32"/>
          <w:lang w:val="en-US" w:eastAsia="zh-CN"/>
        </w:rPr>
        <w:t>按实际支出</w:t>
      </w:r>
      <w:r>
        <w:rPr>
          <w:rFonts w:hint="eastAsia" w:ascii="仿宋" w:hAnsi="仿宋" w:eastAsia="仿宋" w:cs="仿宋"/>
          <w:color w:val="000000"/>
          <w:shd w:val="clear" w:color="auto" w:fill="FFFFFF"/>
        </w:rPr>
        <w:t>。</w:t>
      </w:r>
    </w:p>
    <w:p>
      <w:pPr>
        <w:pStyle w:val="5"/>
        <w:tabs>
          <w:tab w:val="left" w:pos="3864"/>
          <w:tab w:val="left" w:pos="6248"/>
          <w:tab w:val="left" w:pos="7386"/>
        </w:tabs>
        <w:overflowPunct w:val="0"/>
        <w:spacing w:before="1" w:line="360" w:lineRule="auto"/>
        <w:ind w:right="420" w:firstLine="640" w:firstLineChars="200"/>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5、</w:t>
      </w:r>
      <w:r>
        <w:rPr>
          <w:rFonts w:hint="eastAsia" w:ascii="仿宋" w:hAnsi="仿宋" w:eastAsia="仿宋" w:cs="仿宋"/>
          <w:color w:val="000000"/>
          <w:shd w:val="clear" w:color="auto" w:fill="FFFFFF"/>
        </w:rPr>
        <w:t>卫生健康支出（类）行政事业单位医疗（款）行政单位医疗（项）。</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仿宋" w:hAnsi="仿宋" w:eastAsia="仿宋" w:cs="仿宋"/>
          <w:color w:val="000000"/>
          <w:kern w:val="2"/>
          <w:sz w:val="32"/>
          <w:szCs w:val="32"/>
          <w:shd w:val="clear" w:color="auto" w:fill="FFFFFF"/>
          <w:lang w:val="en-US" w:eastAsia="zh-CN" w:bidi="ar-SA"/>
        </w:rPr>
        <w:t>年初预算为4.01万元，支出决算为3.9万元。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94.31</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63.85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67.7</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23.34</w:t>
      </w:r>
      <w:r>
        <w:rPr>
          <w:rFonts w:ascii="Times New Roman" w:hAnsi="Times New Roman" w:eastAsia="仿宋_GB2312" w:cs="Times New Roman"/>
          <w:sz w:val="32"/>
          <w:szCs w:val="32"/>
        </w:rPr>
        <w:t>万元、津贴补贴</w:t>
      </w:r>
      <w:r>
        <w:rPr>
          <w:rFonts w:hint="eastAsia" w:ascii="Times New Roman" w:hAnsi="Times New Roman" w:eastAsia="仿宋_GB2312" w:cs="Times New Roman"/>
          <w:sz w:val="32"/>
          <w:szCs w:val="32"/>
          <w:lang w:val="en-US" w:eastAsia="zh-CN"/>
        </w:rPr>
        <w:t>6.92</w:t>
      </w:r>
      <w:r>
        <w:rPr>
          <w:rFonts w:ascii="Times New Roman" w:hAnsi="Times New Roman" w:eastAsia="仿宋_GB2312" w:cs="Times New Roman"/>
          <w:sz w:val="32"/>
          <w:szCs w:val="32"/>
        </w:rPr>
        <w:t>万元、奖金</w:t>
      </w:r>
      <w:r>
        <w:rPr>
          <w:rFonts w:hint="eastAsia" w:ascii="Times New Roman" w:hAnsi="Times New Roman" w:eastAsia="仿宋_GB2312" w:cs="Times New Roman"/>
          <w:sz w:val="32"/>
          <w:szCs w:val="32"/>
          <w:lang w:val="en-US" w:eastAsia="zh-CN"/>
        </w:rPr>
        <w:t>6.46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30.46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32.3</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8.73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0.66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3.78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，维修维护费</w:t>
      </w:r>
      <w:r>
        <w:rPr>
          <w:rFonts w:hint="eastAsia" w:ascii="Times New Roman" w:hAnsi="Times New Roman" w:eastAsia="仿宋_GB2312" w:cs="Times New Roman"/>
          <w:sz w:val="32"/>
          <w:szCs w:val="32"/>
          <w:lang w:val="en-US" w:eastAsia="zh-CN"/>
        </w:rPr>
        <w:t>2.13</w:t>
      </w:r>
      <w:r>
        <w:rPr>
          <w:rFonts w:ascii="Times New Roman" w:hAnsi="Times New Roman" w:eastAsia="仿宋_GB2312" w:cs="Times New Roman"/>
          <w:sz w:val="32"/>
          <w:szCs w:val="32"/>
        </w:rPr>
        <w:t>万元。</w:t>
      </w:r>
    </w:p>
    <w:p>
      <w:pPr>
        <w:pStyle w:val="14"/>
        <w:numPr>
          <w:ilvl w:val="0"/>
          <w:numId w:val="3"/>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pPr>
        <w:pStyle w:val="14"/>
        <w:numPr>
          <w:numId w:val="0"/>
        </w:numPr>
        <w:overflowPunct w:val="0"/>
        <w:autoSpaceDE/>
        <w:autoSpaceDN/>
        <w:spacing w:line="600" w:lineRule="exact"/>
        <w:ind w:firstLine="320" w:firstLineChars="1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hint="eastAsia" w:ascii="仿宋_GB2312" w:hAnsi="仿宋_GB2312" w:eastAsia="仿宋_GB2312" w:cs="仿宋_GB2312"/>
          <w:color w:val="000000"/>
          <w:sz w:val="32"/>
          <w:szCs w:val="32"/>
          <w:shd w:val="clear" w:color="auto" w:fill="FFFFFF"/>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万元；主要原因是</w:t>
      </w:r>
      <w:bookmarkStart w:id="3" w:name="THERR_FUNDS_REMARK"/>
      <w:r>
        <w:rPr>
          <w:rFonts w:hint="eastAsia" w:ascii="仿宋_GB2312" w:hAnsi="仿宋_GB2312" w:eastAsia="仿宋_GB2312" w:cs="仿宋_GB2312"/>
          <w:color w:val="000000"/>
          <w:sz w:val="32"/>
          <w:szCs w:val="32"/>
          <w:shd w:val="clear" w:color="auto" w:fill="FFFFFF"/>
        </w:rPr>
        <w:t>贯彻落实党中央、国务院厉行节约的精神。切实采取措施严格控制</w:t>
      </w:r>
      <w:bookmarkEnd w:id="3"/>
      <w:r>
        <w:rPr>
          <w:rFonts w:hint="eastAsia" w:ascii="仿宋_GB2312" w:hAnsi="仿宋_GB2312" w:eastAsia="仿宋_GB2312" w:cs="仿宋_GB2312"/>
          <w:color w:val="000000"/>
          <w:sz w:val="32"/>
          <w:szCs w:val="32"/>
          <w:shd w:val="clear" w:color="auto" w:fill="FFFFFF"/>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hint="eastAsia" w:ascii="仿宋_GB2312" w:hAnsi="仿宋_GB2312" w:eastAsia="仿宋_GB2312" w:cs="仿宋_GB2312"/>
          <w:color w:val="000000"/>
          <w:sz w:val="32"/>
          <w:szCs w:val="32"/>
          <w:shd w:val="clear" w:color="auto" w:fill="FFFFFF"/>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万元，主要原因是</w:t>
      </w:r>
      <w:r>
        <w:rPr>
          <w:rFonts w:hint="eastAsia" w:ascii="仿宋_GB2312" w:hAnsi="仿宋_GB2312" w:eastAsia="仿宋_GB2312" w:cs="仿宋_GB2312"/>
          <w:color w:val="000000"/>
          <w:sz w:val="32"/>
          <w:szCs w:val="32"/>
          <w:shd w:val="clear" w:color="auto" w:fill="FFFFFF"/>
        </w:rPr>
        <w:t>贯彻落实党中央、国务院厉行节约的精神。切实采取措施严格控制</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themeColor="text1"/>
          <w:sz w:val="32"/>
          <w:szCs w:val="32"/>
          <w14:textFill>
            <w14:solidFill>
              <w14:schemeClr w14:val="tx1"/>
            </w14:solidFill>
          </w14:textFill>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年度未发生政府性基金预算财政拨款收支</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94.31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比年初预算数（或者上年决算数）增加</w:t>
      </w:r>
      <w:r>
        <w:rPr>
          <w:rFonts w:hint="eastAsia" w:ascii="Times New Roman" w:hAnsi="Times New Roman" w:eastAsia="仿宋_GB2312" w:cs="Times New Roman"/>
          <w:sz w:val="32"/>
          <w:szCs w:val="32"/>
          <w:lang w:val="en-US" w:eastAsia="zh-CN"/>
        </w:rPr>
        <w:t>35.74</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60.55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资产运行维护支出增加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信息系统运行维护支出增加</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节庆、晚会、论坛、赛事活动。</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宋体" w:hAnsi="宋体" w:eastAsia="宋体" w:cs="宋体"/>
          <w:sz w:val="28"/>
          <w:szCs w:val="28"/>
          <w:lang w:eastAsia="zh-CN"/>
        </w:rPr>
        <w:t>290.52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宋体" w:hAnsi="宋体" w:eastAsia="宋体" w:cs="宋体"/>
          <w:sz w:val="28"/>
          <w:szCs w:val="28"/>
          <w:lang w:eastAsia="zh-CN"/>
        </w:rPr>
        <w:t>290.52</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二是部门评价开展情况（如有，一级预算部门填写）。</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年度项目开展了部门评价，涉及一般公共预算支出</w:t>
      </w:r>
      <w:r>
        <w:rPr>
          <w:rFonts w:hint="eastAsia" w:ascii="宋体" w:hAnsi="宋体" w:eastAsia="宋体" w:cs="宋体"/>
          <w:sz w:val="28"/>
          <w:szCs w:val="28"/>
          <w:lang w:eastAsia="zh-CN"/>
        </w:rPr>
        <w:t>290.52</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eastAsia="zh-CN"/>
        </w:rPr>
        <w:t>290.52</w:t>
      </w:r>
      <w:r>
        <w:rPr>
          <w:rFonts w:ascii="Times New Roman" w:hAnsi="Times New Roman" w:eastAsia="仿宋_GB2312" w:cs="Times New Roman"/>
          <w:kern w:val="0"/>
          <w:sz w:val="32"/>
          <w:szCs w:val="32"/>
        </w:rPr>
        <w:t>万元。</w:t>
      </w:r>
    </w:p>
    <w:p>
      <w:pPr>
        <w:pStyle w:val="14"/>
        <w:overflowPunct w:val="0"/>
        <w:autoSpaceDE/>
        <w:autoSpaceDN/>
        <w:spacing w:line="600" w:lineRule="exact"/>
        <w:ind w:firstLine="640" w:firstLineChars="200"/>
        <w:jc w:val="both"/>
        <w:rPr>
          <w:rFonts w:ascii="Times New Roman" w:hAnsi="Times New Roman" w:eastAsia="仿宋_GB2312" w:cs="Times New Roman"/>
          <w:color w:val="auto"/>
          <w:kern w:val="0"/>
          <w:sz w:val="32"/>
          <w:szCs w:val="32"/>
          <w:lang w:val="en-US" w:eastAsia="zh-CN" w:bidi="ar-SA"/>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color w:val="auto"/>
          <w:kern w:val="0"/>
          <w:sz w:val="32"/>
          <w:szCs w:val="32"/>
          <w:lang w:val="en-US" w:eastAsia="zh-CN" w:bidi="ar-SA"/>
        </w:rPr>
        <w:t>202</w:t>
      </w:r>
      <w:r>
        <w:rPr>
          <w:rFonts w:hint="eastAsia" w:ascii="Times New Roman" w:hAnsi="Times New Roman" w:eastAsia="仿宋_GB2312" w:cs="Times New Roman"/>
          <w:color w:val="auto"/>
          <w:kern w:val="0"/>
          <w:sz w:val="32"/>
          <w:szCs w:val="32"/>
          <w:lang w:val="en-US" w:eastAsia="zh-CN" w:bidi="ar-SA"/>
        </w:rPr>
        <w:t>5</w:t>
      </w:r>
      <w:r>
        <w:rPr>
          <w:rFonts w:ascii="Times New Roman" w:hAnsi="Times New Roman" w:eastAsia="仿宋_GB2312" w:cs="Times New Roman"/>
          <w:color w:val="auto"/>
          <w:kern w:val="0"/>
          <w:sz w:val="32"/>
          <w:szCs w:val="32"/>
          <w:lang w:val="en-US" w:eastAsia="zh-CN" w:bidi="ar-SA"/>
        </w:rPr>
        <w:t>年度本部门（单位）整体支出执行数</w:t>
      </w:r>
      <w:r>
        <w:rPr>
          <w:rFonts w:hint="eastAsia" w:ascii="Times New Roman" w:hAnsi="Times New Roman" w:eastAsia="仿宋_GB2312" w:cs="Times New Roman"/>
          <w:color w:val="auto"/>
          <w:kern w:val="0"/>
          <w:sz w:val="32"/>
          <w:szCs w:val="32"/>
          <w:lang w:val="en-US" w:eastAsia="zh-CN" w:bidi="ar-SA"/>
        </w:rPr>
        <w:t>290.52</w:t>
      </w:r>
      <w:r>
        <w:rPr>
          <w:rFonts w:ascii="Times New Roman" w:hAnsi="Times New Roman" w:eastAsia="仿宋_GB2312" w:cs="Times New Roman"/>
          <w:color w:val="auto"/>
          <w:kern w:val="0"/>
          <w:sz w:val="32"/>
          <w:szCs w:val="32"/>
          <w:lang w:val="en-US" w:eastAsia="zh-CN" w:bidi="ar-SA"/>
        </w:rPr>
        <w:t>万元。绩效目标完成情况：一是</w:t>
      </w:r>
      <w:r>
        <w:rPr>
          <w:rFonts w:hint="eastAsia" w:ascii="Times New Roman" w:hAnsi="Times New Roman" w:eastAsia="仿宋_GB2312" w:cs="Times New Roman"/>
          <w:color w:val="auto"/>
          <w:kern w:val="0"/>
          <w:sz w:val="32"/>
          <w:szCs w:val="32"/>
          <w:lang w:val="en-US" w:eastAsia="zh-CN" w:bidi="ar-SA"/>
        </w:rPr>
        <w:t>在预算执行过程中，严格遵循财政资金拨付流程</w:t>
      </w:r>
      <w:r>
        <w:rPr>
          <w:rFonts w:ascii="Times New Roman" w:hAnsi="Times New Roman" w:eastAsia="仿宋_GB2312" w:cs="Times New Roman"/>
          <w:color w:val="auto"/>
          <w:kern w:val="0"/>
          <w:sz w:val="32"/>
          <w:szCs w:val="32"/>
          <w:lang w:val="en-US" w:eastAsia="zh-CN" w:bidi="ar-SA"/>
        </w:rPr>
        <w:t>；二是</w:t>
      </w:r>
      <w:r>
        <w:rPr>
          <w:rFonts w:hint="eastAsia" w:ascii="Times New Roman" w:hAnsi="Times New Roman" w:eastAsia="仿宋_GB2312" w:cs="Times New Roman"/>
          <w:color w:val="auto"/>
          <w:kern w:val="0"/>
          <w:sz w:val="32"/>
          <w:szCs w:val="32"/>
          <w:lang w:val="en-US" w:eastAsia="zh-CN" w:bidi="ar-SA"/>
        </w:rPr>
        <w:t>足额收到一般公共预算财政拨款收入290.52万元，预算收入执行率达100%，无资金拨付滞后、缺口等情况，为各项工作有序开展提供了坚实的资金保障</w:t>
      </w:r>
      <w:r>
        <w:rPr>
          <w:rFonts w:ascii="Times New Roman" w:hAnsi="Times New Roman" w:eastAsia="仿宋_GB2312" w:cs="Times New Roman"/>
          <w:color w:val="auto"/>
          <w:kern w:val="0"/>
          <w:sz w:val="32"/>
          <w:szCs w:val="32"/>
          <w:lang w:val="en-US" w:eastAsia="zh-CN" w:bidi="ar-SA"/>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hint="eastAsia" w:cs="黑体" w:asciiTheme="minorEastAsia" w:hAnsiTheme="minorEastAsia"/>
          <w:color w:val="000000"/>
          <w:kern w:val="0"/>
          <w:sz w:val="32"/>
          <w:szCs w:val="32"/>
        </w:rPr>
        <w:t>本部门预算绩效管理开展情况、绩效目标和绩效评价报告等见附件。</w:t>
      </w: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cs="Times New Roman"/>
          <w:color w:val="000000"/>
          <w:kern w:val="0"/>
          <w:sz w:val="32"/>
          <w:szCs w:val="32"/>
        </w:rPr>
      </w:pPr>
      <w:r>
        <w:rPr>
          <w:rFonts w:ascii="Times New Roman" w:hAnsi="Times New Roman" w:eastAsia="方正小标宋_GBK" w:cs="Times New Roman"/>
          <w:sz w:val="52"/>
          <w:szCs w:val="52"/>
        </w:rPr>
        <w:t>第四部分    名词解释</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1．财政拨款收入：指单位本年度从同级财政部门取得的各类财政拨款。</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3．事业收入：指事业单位开展专业业务活动及其辅助活动取得的收入，事业单位收到的财政专户实际核拨的教育收费等资金在此反映。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4．经营收入：指事业单位在专业业务活动及其辅助活动之外开展非独立核算经营活动取得的收入。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5．附属单位上缴收入：指事业单位附属独立核算单位按照有关规定上缴的收入。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6．其他收入：指单位取得的除上述“财政拨款收入”、“事业收入”、“经营收入”等以外的各项收入。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7．使用非财政拨款结余：指事业单位使用非财政拨款结余（原事业基金）弥补当年收支差额的数额。</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8．年初结转和结余：指单位上年结转本年使用的基本支出结转、项目支出结转和结余和经营结余。</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9．结余分配：指事业单位按规定对非财政拨款结余资金提取的专用基金、缴纳的所得税和转入非财政拨款结余等。</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10．年末结转和结余资金：指本年度或以前年度预算安排、因客观条件发生变化无法按原计划实施，需要延迟到以后年度按有关规定继续使用的资金。</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11．基本支出：指为保障机构正常运转、完成日常工作任务而发生的支出，包括人员经费和公用经费。</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12．项目支出：指在为完成特定的工作任务和事业发展目标所发生的支出。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13．上缴上级支出：指事业单位按照财政部门和主管部门的规定上缴上级单位的支出。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14．经营支出：指事业单位在专业业务活动及其辅助活动之外开展非独立核算经营活动发生的支出。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15．对附属单位补助支出：指事业单位用财政拨款收入之外的收入对附属单位补助发生的支出。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16．“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4"/>
        <w:spacing w:line="600" w:lineRule="exact"/>
        <w:ind w:firstLine="640" w:firstLineChars="2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17．上级补助收入：指事业单位从主管部门和上级单位取得的非财政补助收入。</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4"/>
        <w:spacing w:line="600" w:lineRule="exact"/>
        <w:ind w:firstLine="640" w:firstLineChars="200"/>
        <w:rPr>
          <w:rFonts w:ascii="Times New Roman" w:hAnsi="Times New Roman" w:eastAsia="仿宋_GB2312" w:cs="Times New Roman"/>
          <w:sz w:val="32"/>
          <w:szCs w:val="32"/>
        </w:rPr>
      </w:pPr>
      <w:bookmarkStart w:id="4" w:name="_GoBack"/>
      <w:bookmarkEnd w:id="4"/>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F2D526"/>
    <w:multiLevelType w:val="singleLevel"/>
    <w:tmpl w:val="8AF2D526"/>
    <w:lvl w:ilvl="0" w:tentative="0">
      <w:start w:val="7"/>
      <w:numFmt w:val="chineseCounting"/>
      <w:suff w:val="nothing"/>
      <w:lvlText w:val="%1、"/>
      <w:lvlJc w:val="left"/>
      <w:rPr>
        <w:rFonts w:hint="eastAsia"/>
      </w:rPr>
    </w:lvl>
  </w:abstractNum>
  <w:abstractNum w:abstractNumId="1">
    <w:nsid w:val="C4B54C15"/>
    <w:multiLevelType w:val="singleLevel"/>
    <w:tmpl w:val="C4B54C15"/>
    <w:lvl w:ilvl="0" w:tentative="0">
      <w:start w:val="2"/>
      <w:numFmt w:val="chineseCounting"/>
      <w:suff w:val="nothing"/>
      <w:lvlText w:val="（%1）"/>
      <w:lvlJc w:val="left"/>
      <w:rPr>
        <w:rFonts w:hint="eastAsia"/>
      </w:rPr>
    </w:lvl>
  </w:abstractNum>
  <w:abstractNum w:abstractNumId="2">
    <w:nsid w:val="766D90AD"/>
    <w:multiLevelType w:val="singleLevel"/>
    <w:tmpl w:val="766D90AD"/>
    <w:lvl w:ilvl="0" w:tentative="0">
      <w:start w:val="3"/>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007B3"/>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B9A"/>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701ADE"/>
    <w:rsid w:val="03A40140"/>
    <w:rsid w:val="043A768D"/>
    <w:rsid w:val="04CE2A73"/>
    <w:rsid w:val="05EE6FA3"/>
    <w:rsid w:val="077E58B6"/>
    <w:rsid w:val="08D21E73"/>
    <w:rsid w:val="0A636BC4"/>
    <w:rsid w:val="0B030882"/>
    <w:rsid w:val="0C253894"/>
    <w:rsid w:val="0C31615C"/>
    <w:rsid w:val="0C665143"/>
    <w:rsid w:val="0E5C62E7"/>
    <w:rsid w:val="108D69B8"/>
    <w:rsid w:val="1371504C"/>
    <w:rsid w:val="13763621"/>
    <w:rsid w:val="15727703"/>
    <w:rsid w:val="1D97DEFF"/>
    <w:rsid w:val="1DFF72E5"/>
    <w:rsid w:val="1E220F7B"/>
    <w:rsid w:val="1EA57699"/>
    <w:rsid w:val="1EB9030D"/>
    <w:rsid w:val="1EFC6F07"/>
    <w:rsid w:val="1F297E16"/>
    <w:rsid w:val="1FC96EC1"/>
    <w:rsid w:val="21290155"/>
    <w:rsid w:val="23E76EA7"/>
    <w:rsid w:val="296D56EA"/>
    <w:rsid w:val="2A967EB2"/>
    <w:rsid w:val="2B197BD0"/>
    <w:rsid w:val="2CCA6371"/>
    <w:rsid w:val="2D0007CE"/>
    <w:rsid w:val="2D2B3937"/>
    <w:rsid w:val="2FDF85B8"/>
    <w:rsid w:val="2FFFEE04"/>
    <w:rsid w:val="32825531"/>
    <w:rsid w:val="3339483C"/>
    <w:rsid w:val="33921926"/>
    <w:rsid w:val="34DF85B0"/>
    <w:rsid w:val="389F182F"/>
    <w:rsid w:val="391F3772"/>
    <w:rsid w:val="3B8F36BC"/>
    <w:rsid w:val="3D4F4CF8"/>
    <w:rsid w:val="3DCA6DB5"/>
    <w:rsid w:val="3EAA3817"/>
    <w:rsid w:val="3FD87BDF"/>
    <w:rsid w:val="407638A3"/>
    <w:rsid w:val="40D703D8"/>
    <w:rsid w:val="41091967"/>
    <w:rsid w:val="44655BCB"/>
    <w:rsid w:val="4653367A"/>
    <w:rsid w:val="471D19C3"/>
    <w:rsid w:val="491FF225"/>
    <w:rsid w:val="4A962948"/>
    <w:rsid w:val="4D051DBB"/>
    <w:rsid w:val="4E10646B"/>
    <w:rsid w:val="4FB8561B"/>
    <w:rsid w:val="4FFD214C"/>
    <w:rsid w:val="50EE736A"/>
    <w:rsid w:val="54D538DD"/>
    <w:rsid w:val="55256D2F"/>
    <w:rsid w:val="5777D4F5"/>
    <w:rsid w:val="59DD8326"/>
    <w:rsid w:val="5BA277BE"/>
    <w:rsid w:val="5DEF592A"/>
    <w:rsid w:val="5FC6BB1E"/>
    <w:rsid w:val="5FF720F1"/>
    <w:rsid w:val="608C39E9"/>
    <w:rsid w:val="63AC7EFE"/>
    <w:rsid w:val="64520AA6"/>
    <w:rsid w:val="67FF5C0B"/>
    <w:rsid w:val="681B7819"/>
    <w:rsid w:val="6A0057D5"/>
    <w:rsid w:val="6C43786E"/>
    <w:rsid w:val="6EFC0924"/>
    <w:rsid w:val="6F7F4719"/>
    <w:rsid w:val="6FB74722"/>
    <w:rsid w:val="6FEF8B7E"/>
    <w:rsid w:val="700D5040"/>
    <w:rsid w:val="70946460"/>
    <w:rsid w:val="71A6591B"/>
    <w:rsid w:val="71D04E8D"/>
    <w:rsid w:val="72833651"/>
    <w:rsid w:val="72F16AB6"/>
    <w:rsid w:val="72FF4878"/>
    <w:rsid w:val="736841EE"/>
    <w:rsid w:val="737D59BA"/>
    <w:rsid w:val="7406167D"/>
    <w:rsid w:val="75675DB8"/>
    <w:rsid w:val="76EB6EB0"/>
    <w:rsid w:val="779856AD"/>
    <w:rsid w:val="77C37683"/>
    <w:rsid w:val="78C15D46"/>
    <w:rsid w:val="790C20A8"/>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qFormat/>
    <w:uiPriority w:val="1"/>
    <w:pPr>
      <w:widowControl w:val="0"/>
      <w:jc w:val="both"/>
    </w:pPr>
    <w:rPr>
      <w:rFonts w:ascii="Calibri" w:hAnsi="Calibri" w:eastAsia="宋体"/>
      <w:kern w:val="2"/>
      <w:sz w:val="32"/>
      <w:szCs w:val="32"/>
      <w:lang w:val="en-US" w:eastAsia="zh-CN" w:bidi="ar-SA"/>
    </w:r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7200</Words>
  <Characters>8387</Characters>
  <Lines>69</Lines>
  <Paragraphs>19</Paragraphs>
  <TotalTime>3</TotalTime>
  <ScaleCrop>false</ScaleCrop>
  <LinksUpToDate>false</LinksUpToDate>
  <CharactersWithSpaces>9746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2026-09-14T01:33:41Z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B2F57AE50CD94CD5847BCE18C5D82DC4_13</vt:lpwstr>
  </property>
  <property fmtid="{D5CDD505-2E9C-101B-9397-08002B2CF9AE}" pid="4" name="KSOTemplateDocerSaveRecord">
    <vt:lpwstr>eyJoZGlkIjoiZTc3OTBkMWIyZGNmNjAxMTZhZjdjNTQzNTFmZmY4NWYiLCJ1c2VySWQiOiIxMzQ4NTk3MzcxIn0=</vt:lpwstr>
  </property>
</Properties>
</file>