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6"/>
        <w:jc w:val="center"/>
        <w:rPr>
          <w:rFonts w:ascii="Times New Roman" w:hAnsi="Times New Roman" w:cs="Times New Roman"/>
          <w:sz w:val="56"/>
          <w:szCs w:val="56"/>
        </w:rPr>
      </w:pPr>
    </w:p>
    <w:p>
      <w:pPr>
        <w:pStyle w:val="16"/>
        <w:jc w:val="center"/>
        <w:rPr>
          <w:rFonts w:ascii="Times New Roman" w:hAnsi="Times New Roman" w:cs="Times New Roman"/>
          <w:sz w:val="84"/>
          <w:szCs w:val="84"/>
        </w:rPr>
      </w:pPr>
    </w:p>
    <w:p>
      <w:pPr>
        <w:pStyle w:val="16"/>
        <w:jc w:val="center"/>
        <w:rPr>
          <w:rFonts w:ascii="Times New Roman" w:hAnsi="Times New Roman" w:cs="Times New Roman"/>
          <w:sz w:val="84"/>
          <w:szCs w:val="84"/>
        </w:rPr>
      </w:pPr>
    </w:p>
    <w:p>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6"/>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中共道县纪律检查委员会</w:t>
      </w:r>
    </w:p>
    <w:p>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6"/>
        <w:jc w:val="center"/>
        <w:rPr>
          <w:rFonts w:ascii="Times New Roman" w:hAnsi="Times New Roman" w:eastAsia="方正小标宋_GBK" w:cs="Times New Roman"/>
          <w:sz w:val="56"/>
          <w:szCs w:val="56"/>
        </w:rPr>
      </w:pPr>
    </w:p>
    <w:p>
      <w:pPr>
        <w:pStyle w:val="16"/>
        <w:jc w:val="center"/>
        <w:rPr>
          <w:rFonts w:ascii="Times New Roman" w:hAnsi="Times New Roman" w:cs="Times New Roman"/>
          <w:sz w:val="56"/>
          <w:szCs w:val="56"/>
        </w:rPr>
      </w:pPr>
    </w:p>
    <w:p>
      <w:pPr>
        <w:pStyle w:val="16"/>
        <w:rPr>
          <w:rFonts w:ascii="Times New Roman" w:hAnsi="Times New Roman" w:cs="Times New Roman"/>
          <w:sz w:val="56"/>
          <w:szCs w:val="56"/>
        </w:rPr>
      </w:pPr>
    </w:p>
    <w:p>
      <w:pPr>
        <w:pStyle w:val="16"/>
        <w:jc w:val="center"/>
        <w:rPr>
          <w:rFonts w:ascii="Times New Roman" w:hAnsi="Times New Roman" w:cs="Times New Roman"/>
          <w:sz w:val="32"/>
          <w:szCs w:val="32"/>
        </w:rPr>
      </w:pPr>
    </w:p>
    <w:p>
      <w:pPr>
        <w:pStyle w:val="16"/>
        <w:jc w:val="center"/>
        <w:rPr>
          <w:rFonts w:ascii="Times New Roman" w:hAnsi="Times New Roman" w:cs="Times New Roman"/>
          <w:sz w:val="32"/>
          <w:szCs w:val="32"/>
        </w:rPr>
      </w:pPr>
    </w:p>
    <w:p>
      <w:pPr>
        <w:pStyle w:val="16"/>
        <w:jc w:val="center"/>
        <w:rPr>
          <w:rFonts w:ascii="Times New Roman" w:hAnsi="Times New Roman" w:cs="Times New Roman"/>
          <w:sz w:val="32"/>
          <w:szCs w:val="32"/>
        </w:rPr>
      </w:pPr>
    </w:p>
    <w:p>
      <w:pPr>
        <w:pStyle w:val="16"/>
        <w:jc w:val="center"/>
        <w:rPr>
          <w:rFonts w:ascii="Times New Roman" w:hAnsi="Times New Roman" w:cs="Times New Roman"/>
          <w:sz w:val="32"/>
          <w:szCs w:val="32"/>
        </w:rPr>
      </w:pPr>
    </w:p>
    <w:p>
      <w:pPr>
        <w:pStyle w:val="16"/>
        <w:jc w:val="center"/>
        <w:rPr>
          <w:rFonts w:ascii="Times New Roman" w:hAnsi="Times New Roman" w:cs="Times New Roman"/>
          <w:sz w:val="32"/>
          <w:szCs w:val="32"/>
        </w:rPr>
      </w:pPr>
    </w:p>
    <w:p>
      <w:pPr>
        <w:pStyle w:val="16"/>
        <w:jc w:val="center"/>
        <w:rPr>
          <w:rFonts w:ascii="Times New Roman" w:hAnsi="Times New Roman" w:cs="Times New Roman"/>
          <w:sz w:val="32"/>
          <w:szCs w:val="32"/>
        </w:rPr>
      </w:pPr>
    </w:p>
    <w:p>
      <w:pPr>
        <w:pStyle w:val="16"/>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6"/>
        <w:spacing w:line="600" w:lineRule="exact"/>
        <w:jc w:val="both"/>
        <w:rPr>
          <w:rFonts w:ascii="Times New Roman" w:hAnsi="Times New Roman" w:cs="Times New Roman"/>
          <w:b/>
          <w:sz w:val="36"/>
          <w:szCs w:val="28"/>
        </w:rPr>
      </w:pPr>
    </w:p>
    <w:p>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6"/>
        <w:spacing w:line="600" w:lineRule="exact"/>
        <w:jc w:val="center"/>
        <w:rPr>
          <w:rFonts w:ascii="Times New Roman" w:hAnsi="Times New Roman" w:cs="Times New Roman"/>
          <w:b/>
          <w:sz w:val="36"/>
          <w:szCs w:val="28"/>
        </w:rPr>
      </w:pPr>
    </w:p>
    <w:p>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中共道县纪律检查委员会</w:t>
      </w:r>
      <w:r>
        <w:rPr>
          <w:rFonts w:ascii="Times New Roman" w:hAnsi="Times New Roman" w:cs="Times New Roman"/>
          <w:bCs/>
          <w:sz w:val="32"/>
          <w:szCs w:val="32"/>
        </w:rPr>
        <w:t>概况</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6"/>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11"/>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中共道县纪律检查委员会</w:t>
      </w:r>
      <w:r>
        <w:rPr>
          <w:rFonts w:ascii="Times New Roman" w:hAnsi="Times New Roman" w:eastAsia="方正小标宋_GBK" w:cs="Times New Roman"/>
          <w:sz w:val="52"/>
          <w:szCs w:val="52"/>
        </w:rPr>
        <w:t>概况</w:t>
      </w:r>
    </w:p>
    <w:p>
      <w:pPr>
        <w:pStyle w:val="7"/>
        <w:ind w:left="0" w:leftChars="0" w:firstLine="0" w:firstLineChars="0"/>
        <w:rPr>
          <w:rFonts w:ascii="Times New Roman" w:hAnsi="Times New Roman" w:cs="Times New Roman"/>
        </w:rPr>
      </w:pPr>
    </w:p>
    <w:p>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(1)主管全县党的纪律审查工作，负责贯彻落实党中央、中央纪委、省委、省纪委、市委、市纪委和县委关于加强党风廉政建设的决定，维护党的章程和其它党内法规，检查党的路线、方针、政策和决议的执行情况；负责对党风廉政建设责任制执行情况进行监督检查。</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(2)主管监察委员会的工作。负责贯彻落实国务院、省政府、市政府和县政府有关行政监察工作的决定；负责统一部署全县纠正部门和行业不正之风工作并进行监督、检查、指导。</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(3)负责组织协调全县党风廉政建设和反腐败工作，承担县委、区政府反腐败斗争联席会议办公室的职责。</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(4)负责检查并处理县级机关各部门、各乡镇场（街道）党的组织和县委管理的党员领导干部违反党的章程及党内法规的案件，调查处理县政府各部门、国家公务员和政府任命的其他人员违反行政纪律的行为，对有关责任人依法作出党纪或行政处分或提出给予党纪或行政处分的建议，必要时直接查处下级党的纪检组织管辖范围内的比较重要或复杂的案件。</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(5)保护党员和国家工作人员的正当权利和合法权益，受理党员的控告和申诉；受理监察对象不服行政处分决定的申诉；受理个人或单位对党员干部和监察对象违纪行为的检举、控告。</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(6)负责作出维护党纪的决定，根据本县实际制定党风廉政建设和反腐败斗争的规范性文件及政策；负责变更或撤销下级纪委不适当的决定。负责检查区政府各部门和所属单位遵守和执行法律、法规和所作出决定中的问题，并提出行政监察建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(7)主管负责1</w:t>
      </w:r>
      <w:r>
        <w:rPr>
          <w:rFonts w:hint="eastAsia" w:ascii="仿宋_GB2312" w:hAnsi="仿宋" w:eastAsia="仿宋_GB2312"/>
          <w:sz w:val="32"/>
          <w:szCs w:val="32"/>
          <w:lang w:val="en-US" w:eastAsia="zh-CN"/>
        </w:rPr>
        <w:t>0</w:t>
      </w:r>
      <w:r>
        <w:rPr>
          <w:rFonts w:hint="eastAsia" w:ascii="仿宋_GB2312" w:hAnsi="仿宋" w:eastAsia="仿宋_GB2312"/>
          <w:sz w:val="32"/>
          <w:szCs w:val="32"/>
        </w:rPr>
        <w:t>个纪检组的各项工作。</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(8)按照权限和职责，协同县委组织部考察乡镇（街道）和区级机关部门的纪检监察干部，并提出任免建议；组织指导纪检监察系统干部的培训工作。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kern w:val="0"/>
          <w:sz w:val="32"/>
          <w:szCs w:val="32"/>
          <w:lang w:eastAsia="zh-CN"/>
        </w:rPr>
      </w:pPr>
      <w:r>
        <w:rPr>
          <w:rFonts w:hint="eastAsia" w:ascii="仿宋_GB2312" w:hAnsi="仿宋_GB2312" w:eastAsia="仿宋_GB2312" w:cs="仿宋_GB2312"/>
          <w:bCs/>
          <w:kern w:val="0"/>
          <w:sz w:val="32"/>
          <w:szCs w:val="32"/>
        </w:rPr>
        <w:t>（一）内设机构设置。</w:t>
      </w:r>
      <w:r>
        <w:rPr>
          <w:rFonts w:hint="eastAsia" w:ascii="仿宋_GB2312" w:hAnsi="仿宋_GB2312" w:eastAsia="仿宋_GB2312" w:cs="仿宋_GB2312"/>
          <w:bCs/>
          <w:kern w:val="0"/>
          <w:sz w:val="32"/>
          <w:szCs w:val="32"/>
          <w:lang w:eastAsia="zh-CN"/>
        </w:rPr>
        <w:t>中共道县纪律检查委员会</w:t>
      </w:r>
      <w:r>
        <w:rPr>
          <w:rFonts w:hint="eastAsia" w:ascii="仿宋_GB2312" w:hAnsi="仿宋_GB2312" w:eastAsia="仿宋_GB2312" w:cs="仿宋_GB2312"/>
          <w:bCs/>
          <w:kern w:val="0"/>
          <w:sz w:val="32"/>
          <w:szCs w:val="32"/>
        </w:rPr>
        <w:t>内设机构包括：</w:t>
      </w:r>
      <w:r>
        <w:rPr>
          <w:rFonts w:hint="eastAsia" w:ascii="仿宋_GB2312" w:hAnsi="仿宋_GB2312" w:eastAsia="仿宋_GB2312" w:cs="仿宋_GB2312"/>
          <w:sz w:val="32"/>
          <w:szCs w:val="32"/>
        </w:rPr>
        <w:t>办公室、组织部、宣传部、党风政风监督室、信访室、案件监督管理室、第一纪检室、第二纪检室、第三纪检室、第四纪检室、第五纪检室、第六纪检室、第七纪检室、第八纪检室、第九纪检室、第十纪检室、第十一纪检室、案件审理室、纪检监察干部监督室，</w:t>
      </w:r>
      <w:r>
        <w:rPr>
          <w:rFonts w:hint="eastAsia" w:ascii="仿宋_GB2312" w:hAnsi="仿宋_GB2312" w:eastAsia="仿宋_GB2312" w:cs="仿宋_GB2312"/>
          <w:sz w:val="32"/>
          <w:szCs w:val="32"/>
          <w:lang w:eastAsia="zh-CN"/>
        </w:rPr>
        <w:t>信息技术保障室，</w:t>
      </w:r>
      <w:r>
        <w:rPr>
          <w:rFonts w:hint="eastAsia" w:ascii="仿宋_GB2312" w:hAnsi="仿宋_GB2312" w:eastAsia="仿宋_GB2312" w:cs="仿宋_GB2312"/>
          <w:sz w:val="32"/>
          <w:szCs w:val="32"/>
        </w:rPr>
        <w:t>信息中心，10个派驻纪检监察组。人员情况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道县纪委监委机关编制数为110人，共计年末实有人数10</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（二）决算单位构成。</w:t>
      </w:r>
      <w:r>
        <w:rPr>
          <w:rFonts w:hint="eastAsia" w:ascii="仿宋_GB2312" w:hAnsi="仿宋_GB2312" w:eastAsia="仿宋_GB2312" w:cs="仿宋_GB2312"/>
          <w:bCs/>
          <w:kern w:val="0"/>
          <w:sz w:val="32"/>
          <w:szCs w:val="32"/>
          <w:lang w:eastAsia="zh-CN"/>
        </w:rPr>
        <w:t>中共道县纪律检查委员</w:t>
      </w:r>
      <w:r>
        <w:rPr>
          <w:rFonts w:hint="eastAsia" w:ascii="仿宋_GB2312" w:hAnsi="仿宋_GB2312" w:eastAsia="仿宋_GB2312" w:cs="仿宋_GB2312"/>
          <w:sz w:val="32"/>
          <w:szCs w:val="32"/>
        </w:rPr>
        <w:t>只有本级没有其预算单位，因此</w:t>
      </w:r>
      <w:r>
        <w:rPr>
          <w:rFonts w:hint="eastAsia" w:ascii="仿宋_GB2312" w:hAnsi="仿宋_GB2312" w:eastAsia="仿宋_GB2312" w:cs="仿宋_GB2312"/>
          <w:bCs/>
          <w:kern w:val="0"/>
          <w:sz w:val="32"/>
          <w:szCs w:val="32"/>
        </w:rPr>
        <w:t>202</w:t>
      </w: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sz w:val="32"/>
          <w:szCs w:val="32"/>
        </w:rPr>
        <w:t>本部门预算仅含本级预算。</w:t>
      </w:r>
    </w:p>
    <w:p>
      <w:pPr>
        <w:widowControl/>
        <w:spacing w:line="600" w:lineRule="exact"/>
        <w:rPr>
          <w:rFonts w:hint="eastAsia" w:ascii="仿宋_GB2312" w:hAnsi="仿宋_GB2312" w:eastAsia="仿宋_GB2312" w:cs="仿宋_GB2312"/>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11"/>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2"/>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413"/>
              </w:tabs>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eastAsia="zh-CN"/>
              </w:rPr>
              <w:tab/>
            </w:r>
            <w:r>
              <w:rPr>
                <w:rFonts w:hint="eastAsia" w:ascii="Times New Roman" w:hAnsi="Times New Roman" w:eastAsia="仿宋_GB2312" w:cs="Times New Roman"/>
                <w:color w:val="000000"/>
                <w:sz w:val="22"/>
                <w:lang w:val="en-US" w:eastAsia="zh-CN"/>
              </w:rPr>
              <w:t>2752.45</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2570.6</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eastAsia="zh-CN" w:bidi="ar"/>
              </w:rPr>
              <w:t>七、社会保障和就业支出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117.8</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eastAsia="zh-CN" w:bidi="ar"/>
              </w:rPr>
              <w:t>八、卫生健康支出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64.1</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eastAsia="zh-CN" w:bidi="ar"/>
              </w:rPr>
              <w:t>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2752.4</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220" w:firstLineChars="1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2752.4</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2752.4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221" w:firstLineChars="10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2752.4</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2"/>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2752.4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2752.4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564"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eastAsia="仿宋_GB2312"/>
                <w:lang w:val="en-US" w:eastAsia="zh-CN"/>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hint="eastAsia" w:eastAsia="仿宋_GB2312"/>
                <w:lang w:eastAsia="zh-C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2570.6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2570.6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eastAsia="仿宋_GB2312"/>
                <w:lang w:val="en-US" w:eastAsia="zh-CN"/>
              </w:rPr>
              <w:t>20111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cs="Times New Roman" w:eastAsiaTheme="minorEastAsia"/>
                <w:sz w:val="24"/>
                <w:szCs w:val="24"/>
                <w:lang w:eastAsia="zh-CN"/>
              </w:rPr>
            </w:pPr>
            <w:r>
              <w:rPr>
                <w:rFonts w:hint="eastAsia"/>
              </w:rPr>
              <w:t>　</w:t>
            </w:r>
            <w:r>
              <w:rPr>
                <w:rFonts w:hint="eastAsia"/>
                <w:lang w:eastAsia="zh-CN"/>
              </w:rPr>
              <w:t>纪检监察事务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2570.6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2570.6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cs="Times New Roman" w:eastAsiaTheme="minorEastAsia"/>
                <w:sz w:val="24"/>
                <w:szCs w:val="24"/>
                <w:lang w:val="en-US" w:eastAsia="zh-CN"/>
              </w:rPr>
            </w:pPr>
            <w:r>
              <w:rPr>
                <w:rFonts w:hint="eastAsia"/>
              </w:rPr>
              <w:t>　</w:t>
            </w:r>
            <w:r>
              <w:rPr>
                <w:rFonts w:hint="eastAsia"/>
                <w:lang w:val="en-US" w:eastAsia="zh-CN"/>
              </w:rPr>
              <w:t>2011101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cs="Times New Roman" w:eastAsiaTheme="minorEastAsia"/>
                <w:sz w:val="24"/>
                <w:szCs w:val="24"/>
                <w:lang w:eastAsia="zh-CN"/>
              </w:rPr>
            </w:pPr>
            <w:r>
              <w:rPr>
                <w:rFonts w:hint="eastAsia"/>
              </w:rPr>
              <w:t>　</w:t>
            </w:r>
            <w:r>
              <w:rPr>
                <w:rFonts w:hint="eastAsia"/>
                <w:lang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1357.7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1357.7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cs="Times New Roman" w:eastAsiaTheme="minorEastAsia"/>
                <w:sz w:val="24"/>
                <w:szCs w:val="24"/>
                <w:lang w:val="en-US" w:eastAsia="zh-CN"/>
              </w:rPr>
            </w:pPr>
            <w:r>
              <w:rPr>
                <w:rFonts w:hint="eastAsia"/>
              </w:rPr>
              <w:t>　</w:t>
            </w:r>
            <w:r>
              <w:rPr>
                <w:rFonts w:hint="eastAsia"/>
                <w:lang w:val="en-US" w:eastAsia="zh-CN"/>
              </w:rPr>
              <w:t>2011102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cs="Times New Roman" w:eastAsiaTheme="minorEastAsia"/>
                <w:sz w:val="24"/>
                <w:szCs w:val="24"/>
                <w:lang w:eastAsia="zh-CN"/>
              </w:rPr>
            </w:pPr>
            <w:r>
              <w:rPr>
                <w:rFonts w:hint="eastAsia"/>
              </w:rPr>
              <w:t>　</w:t>
            </w:r>
            <w:r>
              <w:rPr>
                <w:rFonts w:hint="eastAsia"/>
                <w:lang w:eastAsia="zh-CN"/>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eastAsia="仿宋_GB2312"/>
                <w:lang w:val="en-US" w:eastAsia="zh-CN"/>
              </w:rPr>
              <w:t>2011199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cs="Times New Roman" w:eastAsiaTheme="minorEastAsia"/>
                <w:sz w:val="24"/>
                <w:szCs w:val="24"/>
                <w:lang w:eastAsia="zh-CN"/>
              </w:rPr>
            </w:pPr>
            <w:r>
              <w:rPr>
                <w:rFonts w:hint="eastAsia"/>
              </w:rPr>
              <w:t>　</w:t>
            </w:r>
            <w:r>
              <w:rPr>
                <w:rFonts w:hint="eastAsia"/>
                <w:lang w:eastAsia="zh-CN"/>
              </w:rPr>
              <w:t>其他纪检监察事务支出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1177.9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1177.9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eastAsia="仿宋_GB2312"/>
                <w:lang w:val="en-US" w:eastAsia="zh-CN"/>
              </w:rPr>
              <w:t>208</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hint="eastAsia" w:eastAsia="仿宋_GB2312"/>
                <w:lang w:eastAsia="zh-CN"/>
              </w:rPr>
              <w:t>社会保障就业支出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117.8</w:t>
            </w: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117.8</w:t>
            </w: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eastAsia="仿宋_GB2312"/>
                <w:lang w:val="en-US" w:eastAsia="zh-CN"/>
              </w:rPr>
              <w:t>20805</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lang w:eastAsia="zh-CN"/>
              </w:rPr>
            </w:pPr>
            <w:r>
              <w:rPr>
                <w:rFonts w:hint="eastAsia" w:eastAsia="仿宋_GB2312"/>
                <w:lang w:eastAsia="zh-CN"/>
              </w:rPr>
              <w:t>行政事业单位养老支出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117.8</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117.8</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仿宋_GB2312"/>
                <w:lang w:val="en-US" w:eastAsia="zh-CN"/>
              </w:rPr>
            </w:pPr>
            <w:r>
              <w:rPr>
                <w:rFonts w:hint="eastAsia" w:eastAsia="仿宋_GB2312"/>
                <w:lang w:val="en-US" w:eastAsia="zh-CN"/>
              </w:rPr>
              <w:t>2080505</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jc w:val="center"/>
              <w:rPr>
                <w:rFonts w:hint="eastAsia" w:eastAsia="仿宋_GB2312"/>
                <w:lang w:eastAsia="zh-CN"/>
              </w:rPr>
            </w:pPr>
            <w:r>
              <w:rPr>
                <w:rFonts w:hint="eastAsia" w:eastAsia="仿宋_GB2312"/>
                <w:lang w:eastAsia="zh-CN"/>
              </w:rPr>
              <w:t>机关事业单位基本养老保险缴费支出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117.8</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117.8</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仿宋_GB2312"/>
                <w:lang w:val="en-US" w:eastAsia="zh-CN"/>
              </w:rPr>
            </w:pPr>
            <w:r>
              <w:rPr>
                <w:rFonts w:hint="eastAsia" w:eastAsia="仿宋_GB2312"/>
                <w:lang w:val="en-US" w:eastAsia="zh-CN"/>
              </w:rPr>
              <w:t>210</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jc w:val="center"/>
              <w:rPr>
                <w:rFonts w:hint="eastAsia" w:eastAsia="仿宋_GB2312"/>
                <w:lang w:eastAsia="zh-CN"/>
              </w:rPr>
            </w:pPr>
            <w:r>
              <w:rPr>
                <w:rFonts w:hint="eastAsia" w:eastAsia="仿宋_GB2312"/>
                <w:lang w:eastAsia="zh-CN"/>
              </w:rPr>
              <w:t>卫生健康支出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64.1</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64.1</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仿宋_GB2312"/>
                <w:lang w:val="en-US" w:eastAsia="zh-CN"/>
              </w:rPr>
            </w:pPr>
            <w:r>
              <w:rPr>
                <w:rFonts w:hint="eastAsia" w:eastAsia="仿宋_GB2312"/>
                <w:lang w:val="en-US" w:eastAsia="zh-CN"/>
              </w:rPr>
              <w:t>21011</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jc w:val="center"/>
              <w:rPr>
                <w:rFonts w:hint="eastAsia" w:eastAsia="仿宋_GB2312"/>
                <w:lang w:eastAsia="zh-CN"/>
              </w:rPr>
            </w:pPr>
            <w:r>
              <w:rPr>
                <w:rFonts w:hint="eastAsia" w:eastAsia="仿宋_GB2312"/>
                <w:lang w:eastAsia="zh-CN"/>
              </w:rPr>
              <w:t>行政事业单位医疗</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64.1</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64.1</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仿宋_GB2312"/>
                <w:lang w:val="en-US" w:eastAsia="zh-CN"/>
              </w:rPr>
            </w:pPr>
            <w:r>
              <w:rPr>
                <w:rFonts w:hint="eastAsia" w:eastAsia="仿宋_GB2312"/>
                <w:lang w:val="en-US" w:eastAsia="zh-CN"/>
              </w:rP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eastAsia="仿宋_GB2312"/>
                <w:lang w:eastAsia="zh-CN"/>
              </w:rPr>
            </w:pPr>
            <w:r>
              <w:rPr>
                <w:rFonts w:hint="eastAsia" w:eastAsia="仿宋_GB2312"/>
                <w:lang w:eastAsia="zh-CN"/>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64.1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64.1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2752.4</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1539.6</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1212.9</w:t>
            </w: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90"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val="en-US" w:eastAsia="zh-CN"/>
              </w:rPr>
              <w:t>201</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eastAsia="zh-CN"/>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2570.6</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1357.7</w:t>
            </w: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1212.9</w:t>
            </w: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val="en-US" w:eastAsia="zh-CN"/>
              </w:rPr>
              <w:t>20111</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rPr>
              <w:t>　</w:t>
            </w:r>
            <w:r>
              <w:rPr>
                <w:rFonts w:hint="eastAsia"/>
                <w:lang w:eastAsia="zh-CN"/>
              </w:rPr>
              <w:t>纪检监察事务</w:t>
            </w:r>
          </w:p>
        </w:tc>
        <w:tc>
          <w:tcPr>
            <w:tcW w:w="187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2570.6</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1357.7</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1212.9</w:t>
            </w: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rPr>
              <w:t>　</w:t>
            </w:r>
            <w:r>
              <w:rPr>
                <w:rFonts w:hint="eastAsia"/>
                <w:lang w:val="en-US" w:eastAsia="zh-CN"/>
              </w:rPr>
              <w:t>2011101</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rPr>
              <w:t>　</w:t>
            </w:r>
            <w:r>
              <w:rPr>
                <w:rFonts w:hint="eastAsia"/>
                <w:lang w:eastAsia="zh-CN"/>
              </w:rPr>
              <w:t>行政运行</w:t>
            </w:r>
          </w:p>
        </w:tc>
        <w:tc>
          <w:tcPr>
            <w:tcW w:w="187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1357.7</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1357.7</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rPr>
              <w:t>　</w:t>
            </w:r>
            <w:r>
              <w:rPr>
                <w:rFonts w:hint="eastAsia"/>
                <w:lang w:val="en-US" w:eastAsia="zh-CN"/>
              </w:rPr>
              <w:t>2011102</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rPr>
              <w:t>　</w:t>
            </w:r>
            <w:r>
              <w:rPr>
                <w:rFonts w:hint="eastAsia"/>
                <w:lang w:eastAsia="zh-CN"/>
              </w:rPr>
              <w:t>一般行政管理事务</w:t>
            </w:r>
          </w:p>
        </w:tc>
        <w:tc>
          <w:tcPr>
            <w:tcW w:w="187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35</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35</w:t>
            </w: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val="en-US" w:eastAsia="zh-CN"/>
              </w:rPr>
              <w:t>2011199</w:t>
            </w:r>
          </w:p>
        </w:tc>
        <w:tc>
          <w:tcPr>
            <w:tcW w:w="1337" w:type="dxa"/>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rPr>
              <w:t>　</w:t>
            </w:r>
            <w:r>
              <w:rPr>
                <w:rFonts w:hint="eastAsia"/>
                <w:lang w:eastAsia="zh-CN"/>
              </w:rPr>
              <w:t>其他纪检监察事务支出</w:t>
            </w:r>
          </w:p>
        </w:tc>
        <w:tc>
          <w:tcPr>
            <w:tcW w:w="187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1177.9</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1177.9</w:t>
            </w:r>
            <w:r>
              <w:rPr>
                <w:rFonts w:ascii="Times New Roman" w:hAnsi="Times New Roman" w:eastAsia="仿宋_GB2312" w:cs="Times New Roman"/>
                <w:kern w:val="0"/>
                <w:sz w:val="24"/>
                <w:szCs w:val="24"/>
              </w:rPr>
              <w:t>　</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val="en-US" w:eastAsia="zh-CN"/>
              </w:rPr>
              <w:t>208</w:t>
            </w:r>
          </w:p>
        </w:tc>
        <w:tc>
          <w:tcPr>
            <w:tcW w:w="1337" w:type="dxa"/>
            <w:tcBorders>
              <w:top w:val="nil"/>
              <w:left w:val="nil"/>
              <w:bottom w:val="nil"/>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eastAsia="zh-CN"/>
              </w:rPr>
              <w:t>社会保障就业支出</w:t>
            </w:r>
          </w:p>
        </w:tc>
        <w:tc>
          <w:tcPr>
            <w:tcW w:w="1877"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117.8</w:t>
            </w:r>
            <w:r>
              <w:rPr>
                <w:rFonts w:ascii="Times New Roman" w:hAnsi="Times New Roman" w:eastAsia="仿宋_GB2312" w:cs="Times New Roman"/>
              </w:rPr>
              <w:t>　</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117.8</w:t>
            </w:r>
            <w:r>
              <w:rPr>
                <w:rFonts w:ascii="Times New Roman" w:hAnsi="Times New Roman" w:eastAsia="仿宋_GB2312" w:cs="Times New Roman"/>
              </w:rPr>
              <w:t>　</w:t>
            </w: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87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val="en-US" w:eastAsia="zh-CN"/>
              </w:rPr>
              <w:t>20805</w:t>
            </w:r>
          </w:p>
        </w:tc>
        <w:tc>
          <w:tcPr>
            <w:tcW w:w="1337" w:type="dxa"/>
            <w:tcBorders>
              <w:top w:val="nil"/>
              <w:left w:val="nil"/>
              <w:bottom w:val="nil"/>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eastAsia="仿宋_GB2312"/>
                <w:lang w:eastAsia="zh-CN"/>
              </w:rPr>
              <w:t>行政事业单位养老支出</w:t>
            </w:r>
          </w:p>
        </w:tc>
        <w:tc>
          <w:tcPr>
            <w:tcW w:w="1877"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117.8</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117.8</w:t>
            </w: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val="en-US" w:eastAsia="zh-CN"/>
              </w:rPr>
              <w:t>2080505</w:t>
            </w:r>
          </w:p>
        </w:tc>
        <w:tc>
          <w:tcPr>
            <w:tcW w:w="1337" w:type="dxa"/>
            <w:tcBorders>
              <w:top w:val="nil"/>
              <w:left w:val="nil"/>
              <w:bottom w:val="nil"/>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eastAsia="仿宋_GB2312"/>
                <w:lang w:eastAsia="zh-CN"/>
              </w:rPr>
              <w:t>机关事业单位基本养老保险缴费支出</w:t>
            </w:r>
          </w:p>
        </w:tc>
        <w:tc>
          <w:tcPr>
            <w:tcW w:w="1877"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117.8</w:t>
            </w: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117.8</w:t>
            </w: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val="en-US" w:eastAsia="zh-CN"/>
              </w:rPr>
              <w:t>210</w:t>
            </w:r>
          </w:p>
        </w:tc>
        <w:tc>
          <w:tcPr>
            <w:tcW w:w="1337" w:type="dxa"/>
            <w:tcBorders>
              <w:top w:val="nil"/>
              <w:left w:val="nil"/>
              <w:bottom w:val="nil"/>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eastAsia="仿宋_GB2312"/>
                <w:lang w:eastAsia="zh-CN"/>
              </w:rPr>
              <w:t>卫生健康支出</w:t>
            </w:r>
          </w:p>
        </w:tc>
        <w:tc>
          <w:tcPr>
            <w:tcW w:w="1877"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64.1</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64.1</w:t>
            </w: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val="en-US" w:eastAsia="zh-CN"/>
              </w:rPr>
              <w:t>21011</w:t>
            </w:r>
          </w:p>
        </w:tc>
        <w:tc>
          <w:tcPr>
            <w:tcW w:w="1337" w:type="dxa"/>
            <w:tcBorders>
              <w:top w:val="nil"/>
              <w:left w:val="nil"/>
              <w:bottom w:val="nil"/>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eastAsia="仿宋_GB2312"/>
                <w:lang w:eastAsia="zh-CN"/>
              </w:rPr>
              <w:t>行政事业单位医疗</w:t>
            </w:r>
          </w:p>
        </w:tc>
        <w:tc>
          <w:tcPr>
            <w:tcW w:w="1877"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64.1</w:t>
            </w:r>
          </w:p>
        </w:tc>
        <w:tc>
          <w:tcPr>
            <w:tcW w:w="1334" w:type="dxa"/>
            <w:tcBorders>
              <w:top w:val="nil"/>
              <w:left w:val="nil"/>
              <w:bottom w:val="nil"/>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64.1</w:t>
            </w: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eastAsia="仿宋_GB2312"/>
                <w:lang w:val="en-US" w:eastAsia="zh-CN"/>
              </w:rPr>
              <w:t>2101101</w:t>
            </w:r>
          </w:p>
        </w:tc>
        <w:tc>
          <w:tcPr>
            <w:tcW w:w="1337" w:type="dxa"/>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eastAsia="仿宋_GB2312"/>
                <w:lang w:eastAsia="zh-CN"/>
              </w:rPr>
              <w:t>行政单位医疗</w:t>
            </w:r>
          </w:p>
        </w:tc>
        <w:tc>
          <w:tcPr>
            <w:tcW w:w="187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64.1</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64.1</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pStyle w:val="11"/>
        <w:rPr>
          <w:rFonts w:ascii="Times New Roman" w:hAnsi="Times New Roman" w:eastAsia="黑体" w:cs="Times New Roman"/>
          <w:color w:val="000000"/>
          <w:kern w:val="0"/>
          <w:sz w:val="32"/>
          <w:szCs w:val="32"/>
          <w:lang w:bidi="ar"/>
        </w:rPr>
      </w:pPr>
    </w:p>
    <w:p>
      <w:pPr>
        <w:pStyle w:val="7"/>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11"/>
        <w:rPr>
          <w:rFonts w:ascii="Times New Roman" w:hAnsi="Times New Roman" w:eastAsia="黑体" w:cs="Times New Roman"/>
          <w:color w:val="000000"/>
          <w:kern w:val="0"/>
          <w:sz w:val="32"/>
          <w:szCs w:val="32"/>
          <w:lang w:bidi="ar"/>
        </w:rPr>
      </w:pPr>
    </w:p>
    <w:p>
      <w:pPr>
        <w:pStyle w:val="7"/>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11"/>
        <w:rPr>
          <w:rFonts w:ascii="Times New Roman" w:hAnsi="Times New Roman" w:eastAsia="黑体" w:cs="Times New Roman"/>
          <w:color w:val="000000"/>
          <w:kern w:val="0"/>
          <w:sz w:val="32"/>
          <w:szCs w:val="32"/>
          <w:lang w:bidi="ar"/>
        </w:rPr>
      </w:pPr>
    </w:p>
    <w:p>
      <w:pPr>
        <w:pStyle w:val="7"/>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11"/>
        <w:rPr>
          <w:rFonts w:ascii="Times New Roman" w:hAnsi="Times New Roman" w:eastAsia="黑体" w:cs="Times New Roman"/>
          <w:color w:val="000000"/>
          <w:kern w:val="0"/>
          <w:sz w:val="32"/>
          <w:szCs w:val="32"/>
          <w:lang w:bidi="ar"/>
        </w:rPr>
      </w:pPr>
    </w:p>
    <w:p>
      <w:pPr>
        <w:pStyle w:val="7"/>
        <w:rPr>
          <w:rFonts w:ascii="Times New Roman" w:hAnsi="Times New Roman" w:eastAsia="黑体" w:cs="Times New Roman"/>
          <w:color w:val="000000"/>
          <w:kern w:val="0"/>
          <w:sz w:val="32"/>
          <w:szCs w:val="32"/>
          <w:lang w:bidi="ar"/>
        </w:rPr>
      </w:pPr>
    </w:p>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14220" w:type="dxa"/>
        <w:jc w:val="center"/>
        <w:tblLayout w:type="fixed"/>
        <w:tblCellMar>
          <w:top w:w="0" w:type="dxa"/>
          <w:left w:w="108" w:type="dxa"/>
          <w:bottom w:w="0" w:type="dxa"/>
          <w:right w:w="108" w:type="dxa"/>
        </w:tblCellMar>
      </w:tblPr>
      <w:tblGrid>
        <w:gridCol w:w="3516"/>
        <w:gridCol w:w="616"/>
        <w:gridCol w:w="833"/>
        <w:gridCol w:w="2499"/>
        <w:gridCol w:w="616"/>
        <w:gridCol w:w="905"/>
        <w:gridCol w:w="1469"/>
        <w:gridCol w:w="1815"/>
        <w:gridCol w:w="1951"/>
      </w:tblGrid>
      <w:tr>
        <w:tblPrEx>
          <w:tblCellMar>
            <w:top w:w="0" w:type="dxa"/>
            <w:left w:w="108" w:type="dxa"/>
            <w:bottom w:w="0" w:type="dxa"/>
            <w:right w:w="108" w:type="dxa"/>
          </w:tblCellMar>
        </w:tblPrEx>
        <w:trPr>
          <w:trHeight w:val="402" w:hRule="atLeast"/>
          <w:jc w:val="center"/>
        </w:trPr>
        <w:tc>
          <w:tcPr>
            <w:tcW w:w="496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55"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6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2752.4</w:t>
            </w: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2570.6</w:t>
            </w: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2570.6</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宋体" w:hAnsi="宋体" w:eastAsia="宋体" w:cs="宋体"/>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117.8</w:t>
            </w: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117.8</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8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64.1</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64.1</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2752.4</w:t>
            </w: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2754.4</w:t>
            </w: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2752.4</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99"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05"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2752.4</w:t>
            </w:r>
            <w:r>
              <w:rPr>
                <w:rFonts w:ascii="Times New Roman" w:hAnsi="Times New Roman" w:eastAsia="仿宋_GB2312" w:cs="Times New Roman"/>
                <w:kern w:val="0"/>
                <w:sz w:val="22"/>
              </w:rPr>
              <w:t>　</w:t>
            </w:r>
          </w:p>
        </w:tc>
        <w:tc>
          <w:tcPr>
            <w:tcW w:w="1469"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2752.4</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pStyle w:val="11"/>
        <w:rPr>
          <w:rFonts w:ascii="Times New Roman" w:hAnsi="Times New Roman" w:eastAsia="方正小标宋_GBK" w:cs="Times New Roman"/>
          <w:kern w:val="0"/>
          <w:sz w:val="36"/>
          <w:szCs w:val="36"/>
        </w:rPr>
      </w:pPr>
    </w:p>
    <w:p>
      <w:pPr>
        <w:pStyle w:val="7"/>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11"/>
        <w:rPr>
          <w:rFonts w:ascii="Times New Roman" w:hAnsi="Times New Roman" w:eastAsia="方正小标宋_GBK" w:cs="Times New Roman"/>
          <w:kern w:val="0"/>
          <w:sz w:val="36"/>
          <w:szCs w:val="36"/>
        </w:rPr>
      </w:pPr>
    </w:p>
    <w:p>
      <w:pPr>
        <w:pStyle w:val="7"/>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11"/>
        <w:rPr>
          <w:rFonts w:ascii="Times New Roman" w:hAnsi="Times New Roman" w:eastAsia="方正小标宋_GBK" w:cs="Times New Roman"/>
          <w:kern w:val="0"/>
          <w:sz w:val="36"/>
          <w:szCs w:val="36"/>
        </w:rPr>
      </w:pPr>
    </w:p>
    <w:p>
      <w:pPr>
        <w:pStyle w:val="7"/>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11"/>
        <w:rPr>
          <w:rFonts w:ascii="Times New Roman" w:hAnsi="Times New Roman" w:eastAsia="方正小标宋_GBK" w:cs="Times New Roman"/>
          <w:kern w:val="0"/>
          <w:sz w:val="36"/>
          <w:szCs w:val="36"/>
        </w:rPr>
      </w:pPr>
    </w:p>
    <w:p>
      <w:pPr>
        <w:pStyle w:val="7"/>
        <w:rPr>
          <w:rFonts w:ascii="Times New Roman" w:hAnsi="Times New Roman" w:eastAsia="方正小标宋_GBK" w:cs="Times New Roman"/>
          <w:kern w:val="0"/>
          <w:sz w:val="36"/>
          <w:szCs w:val="36"/>
        </w:rPr>
      </w:pPr>
    </w:p>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2"/>
        <w:tblW w:w="14219" w:type="dxa"/>
        <w:jc w:val="center"/>
        <w:tblLayout w:type="fixed"/>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2752.4</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1539.6</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1212.9</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eastAsia="仿宋_GB2312"/>
                <w:lang w:val="en-US" w:eastAsia="zh-CN"/>
              </w:rPr>
              <w:t>201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eastAsia="仿宋_GB2312"/>
                <w:lang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2570.6</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1357.7</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1212.9</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eastAsia="仿宋_GB2312"/>
                <w:lang w:val="en-US" w:eastAsia="zh-CN"/>
              </w:rPr>
              <w:t>20111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w:t>
            </w:r>
            <w:r>
              <w:rPr>
                <w:rFonts w:hint="eastAsia"/>
                <w:lang w:eastAsia="zh-CN"/>
              </w:rPr>
              <w:t>纪检监察事务</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2570.6</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1357.7</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1212.9</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w:t>
            </w:r>
            <w:r>
              <w:rPr>
                <w:rFonts w:hint="eastAsia"/>
                <w:lang w:val="en-US" w:eastAsia="zh-CN"/>
              </w:rPr>
              <w:t>2011101</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w:t>
            </w:r>
            <w:r>
              <w:rPr>
                <w:rFonts w:hint="eastAsia"/>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1357.7</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1357.7</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w:t>
            </w:r>
            <w:r>
              <w:rPr>
                <w:rFonts w:hint="eastAsia"/>
                <w:lang w:val="en-US" w:eastAsia="zh-CN"/>
              </w:rPr>
              <w:t>2011102</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w:t>
            </w:r>
            <w:r>
              <w:rPr>
                <w:rFonts w:hint="eastAsia"/>
                <w:lang w:eastAsia="zh-CN"/>
              </w:rPr>
              <w:t>一般行政管理事务</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35</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35</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eastAsia="仿宋_GB2312"/>
                <w:lang w:val="en-US" w:eastAsia="zh-CN"/>
              </w:rPr>
              <w:t>2011199</w:t>
            </w:r>
          </w:p>
        </w:tc>
        <w:tc>
          <w:tcPr>
            <w:tcW w:w="3527" w:type="dxa"/>
            <w:tcBorders>
              <w:top w:val="nil"/>
              <w:left w:val="nil"/>
              <w:bottom w:val="single" w:color="auto" w:sz="4"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rPr>
              <w:t>　</w:t>
            </w:r>
            <w:r>
              <w:rPr>
                <w:rFonts w:hint="eastAsia"/>
                <w:lang w:eastAsia="zh-CN"/>
              </w:rPr>
              <w:t>其他纪检监察事务支出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1177.9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1177.9</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eastAsia="仿宋_GB2312"/>
                <w:lang w:val="en-US" w:eastAsia="zh-CN"/>
              </w:rPr>
              <w:t>208</w:t>
            </w:r>
          </w:p>
        </w:tc>
        <w:tc>
          <w:tcPr>
            <w:tcW w:w="3527" w:type="dxa"/>
            <w:tcBorders>
              <w:top w:val="nil"/>
              <w:left w:val="nil"/>
              <w:bottom w:val="single" w:color="auto" w:sz="8" w:space="0"/>
              <w:right w:val="single" w:color="auto" w:sz="4" w:space="0"/>
            </w:tcBorders>
            <w:shd w:val="clear" w:color="auto" w:fill="auto"/>
            <w:vAlign w:val="center"/>
          </w:tcPr>
          <w:p>
            <w:pPr>
              <w:rPr>
                <w:rFonts w:ascii="Times New Roman" w:hAnsi="Times New Roman" w:eastAsia="仿宋_GB2312" w:cs="Times New Roman"/>
                <w:kern w:val="0"/>
                <w:szCs w:val="21"/>
              </w:rPr>
            </w:pPr>
            <w:r>
              <w:rPr>
                <w:rFonts w:hint="eastAsia" w:eastAsia="仿宋_GB2312"/>
                <w:lang w:eastAsia="zh-CN"/>
              </w:rPr>
              <w:t>社会保障就业支出</w:t>
            </w:r>
          </w:p>
        </w:tc>
        <w:tc>
          <w:tcPr>
            <w:tcW w:w="300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117.8</w:t>
            </w:r>
            <w:r>
              <w:rPr>
                <w:rFonts w:ascii="Times New Roman" w:hAnsi="Times New Roman" w:eastAsia="仿宋_GB2312" w:cs="Times New Roman"/>
              </w:rPr>
              <w:t>　</w:t>
            </w:r>
          </w:p>
        </w:tc>
        <w:tc>
          <w:tcPr>
            <w:tcW w:w="3492"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117.8</w:t>
            </w:r>
            <w:r>
              <w:rPr>
                <w:rFonts w:ascii="Times New Roman" w:hAnsi="Times New Roman" w:eastAsia="仿宋_GB2312" w:cs="Times New Roman"/>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rFonts w:hint="eastAsia" w:eastAsia="仿宋_GB2312"/>
                <w:lang w:val="en-US" w:eastAsia="zh-CN"/>
              </w:rPr>
            </w:pPr>
            <w:r>
              <w:rPr>
                <w:rFonts w:hint="eastAsia" w:eastAsia="仿宋_GB2312"/>
                <w:lang w:val="en-US" w:eastAsia="zh-CN"/>
              </w:rPr>
              <w:t>20805</w:t>
            </w:r>
          </w:p>
        </w:tc>
        <w:tc>
          <w:tcPr>
            <w:tcW w:w="3527"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eastAsia="仿宋_GB2312"/>
                <w:lang w:eastAsia="zh-CN"/>
              </w:rPr>
              <w:t>行政事业单位养老支出</w:t>
            </w:r>
          </w:p>
        </w:tc>
        <w:tc>
          <w:tcPr>
            <w:tcW w:w="300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117.8</w:t>
            </w:r>
          </w:p>
        </w:tc>
        <w:tc>
          <w:tcPr>
            <w:tcW w:w="3492" w:type="dxa"/>
            <w:tcBorders>
              <w:top w:val="nil"/>
              <w:left w:val="nil"/>
              <w:bottom w:val="single" w:color="auto" w:sz="8" w:space="0"/>
              <w:right w:val="single" w:color="auto" w:sz="4" w:space="0"/>
            </w:tcBorders>
            <w:shd w:val="clear" w:color="auto" w:fill="auto"/>
            <w:vAlign w:val="center"/>
          </w:tcPr>
          <w:p>
            <w:pPr>
              <w:widowControl/>
              <w:ind w:firstLine="2730" w:firstLineChars="1300"/>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117.8</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rFonts w:hint="eastAsia" w:eastAsia="仿宋_GB2312"/>
                <w:lang w:val="en-US" w:eastAsia="zh-CN"/>
              </w:rPr>
            </w:pPr>
            <w:r>
              <w:rPr>
                <w:rFonts w:hint="eastAsia" w:eastAsia="仿宋_GB2312"/>
                <w:lang w:val="en-US" w:eastAsia="zh-CN"/>
              </w:rPr>
              <w:t>2080505</w:t>
            </w:r>
          </w:p>
        </w:tc>
        <w:tc>
          <w:tcPr>
            <w:tcW w:w="3527"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eastAsia="仿宋_GB2312"/>
                <w:lang w:eastAsia="zh-CN"/>
              </w:rP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117.8</w:t>
            </w:r>
          </w:p>
        </w:tc>
        <w:tc>
          <w:tcPr>
            <w:tcW w:w="3492" w:type="dxa"/>
            <w:tcBorders>
              <w:top w:val="nil"/>
              <w:left w:val="nil"/>
              <w:bottom w:val="single" w:color="auto" w:sz="8"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117.8</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rFonts w:hint="eastAsia" w:eastAsia="仿宋_GB2312"/>
                <w:lang w:val="en-US" w:eastAsia="zh-CN"/>
              </w:rPr>
            </w:pPr>
            <w:r>
              <w:rPr>
                <w:rFonts w:hint="eastAsia" w:eastAsia="仿宋_GB2312"/>
                <w:lang w:val="en-US" w:eastAsia="zh-CN"/>
              </w:rPr>
              <w:t>210</w:t>
            </w:r>
          </w:p>
        </w:tc>
        <w:tc>
          <w:tcPr>
            <w:tcW w:w="3527"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eastAsia="仿宋_GB2312"/>
                <w:lang w:eastAsia="zh-CN"/>
              </w:rPr>
              <w:t>卫生健康支出</w:t>
            </w:r>
          </w:p>
        </w:tc>
        <w:tc>
          <w:tcPr>
            <w:tcW w:w="300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64.1</w:t>
            </w:r>
          </w:p>
        </w:tc>
        <w:tc>
          <w:tcPr>
            <w:tcW w:w="3492"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64.1</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rFonts w:hint="eastAsia" w:eastAsia="仿宋_GB2312"/>
                <w:lang w:val="en-US" w:eastAsia="zh-CN"/>
              </w:rPr>
            </w:pPr>
            <w:r>
              <w:rPr>
                <w:rFonts w:hint="eastAsia" w:eastAsia="仿宋_GB2312"/>
                <w:lang w:val="en-US" w:eastAsia="zh-CN"/>
              </w:rPr>
              <w:t>21011</w:t>
            </w:r>
          </w:p>
        </w:tc>
        <w:tc>
          <w:tcPr>
            <w:tcW w:w="3527"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eastAsia="仿宋_GB2312"/>
                <w:lang w:eastAsia="zh-CN"/>
              </w:rPr>
              <w:t>行政事业单位医疗</w:t>
            </w:r>
          </w:p>
        </w:tc>
        <w:tc>
          <w:tcPr>
            <w:tcW w:w="300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64.1</w:t>
            </w:r>
          </w:p>
        </w:tc>
        <w:tc>
          <w:tcPr>
            <w:tcW w:w="3492"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64.1</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rFonts w:hint="eastAsia" w:eastAsia="仿宋_GB2312"/>
                <w:lang w:val="en-US" w:eastAsia="zh-CN"/>
              </w:rPr>
            </w:pPr>
            <w:r>
              <w:rPr>
                <w:rFonts w:hint="eastAsia" w:eastAsia="仿宋_GB2312"/>
                <w:lang w:val="en-US" w:eastAsia="zh-CN"/>
              </w:rPr>
              <w:t>2101101</w:t>
            </w:r>
          </w:p>
        </w:tc>
        <w:tc>
          <w:tcPr>
            <w:tcW w:w="3527"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eastAsia="仿宋_GB2312"/>
                <w:lang w:eastAsia="zh-CN"/>
              </w:rPr>
              <w:t>行政单位医疗</w:t>
            </w:r>
          </w:p>
        </w:tc>
        <w:tc>
          <w:tcPr>
            <w:tcW w:w="300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64.1</w:t>
            </w:r>
          </w:p>
        </w:tc>
        <w:tc>
          <w:tcPr>
            <w:tcW w:w="3492"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64.1</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2"/>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1211.1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328.5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418.5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260.2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241.3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187.8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101.2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38.8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108.5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74.4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1211.1</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1211.1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ind w:firstLine="3990" w:firstLineChars="1900"/>
              <w:jc w:val="both"/>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328.5</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9"/>
                <w:rFonts w:hint="default" w:ascii="Times New Roman" w:hAnsi="Times New Roman" w:eastAsia="仿宋_GB2312" w:cs="Times New Roman"/>
                <w:b/>
                <w:bCs/>
                <w:lang w:bidi="ar"/>
              </w:rPr>
              <w:t xml:space="preserve">   </w:t>
            </w:r>
            <w:r>
              <w:rPr>
                <w:rStyle w:val="20"/>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1"/>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11"/>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2"/>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6"/>
        <w:rPr>
          <w:rFonts w:ascii="Times New Roman" w:hAnsi="Times New Roman" w:cs="Times New Roman"/>
          <w:sz w:val="72"/>
          <w:szCs w:val="72"/>
        </w:rPr>
      </w:pPr>
    </w:p>
    <w:p>
      <w:pPr>
        <w:pStyle w:val="16"/>
        <w:rPr>
          <w:rFonts w:ascii="Times New Roman" w:hAnsi="Times New Roman" w:cs="Times New Roman"/>
          <w:sz w:val="72"/>
          <w:szCs w:val="72"/>
        </w:rPr>
      </w:pPr>
    </w:p>
    <w:p>
      <w:pPr>
        <w:pStyle w:val="16"/>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eastAsia="方正小标宋_GBK"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2752.4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203.47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基本行政运转、办案经费等重点支出，体现在有关支出科目中。</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2752.4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2752.4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2752.4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1539.6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55.94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1212.9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2752.4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203.47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坚持有保有压，优化支出结构，提高资金使用效率，合理保障基本行政运转、办案经费等重点支出。</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2752.4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203.47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%，主要是因为主要是因为</w:t>
      </w:r>
      <w:r>
        <w:rPr>
          <w:rFonts w:hint="eastAsia" w:ascii="Times New Roman" w:hAnsi="Times New Roman" w:eastAsia="仿宋_GB2312" w:cs="Times New Roman"/>
          <w:sz w:val="32"/>
          <w:szCs w:val="32"/>
          <w:lang w:eastAsia="zh-CN"/>
        </w:rPr>
        <w:t>坚持有保有压，优化支出结构，提高资金使用效率，合理保障基本行政运转、办案经费等重点支出。</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snapToGrid w:val="0"/>
        <w:spacing w:line="560" w:lineRule="exact"/>
        <w:ind w:firstLine="600"/>
        <w:rPr>
          <w:rFonts w:ascii="Times New Roman" w:hAnsi="Times New Roman" w:eastAsia="仿宋_GB2312"/>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2752.4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2570.6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93.36</w:t>
      </w:r>
      <w:r>
        <w:rPr>
          <w:rFonts w:ascii="Times New Roman" w:hAnsi="Times New Roman" w:eastAsia="仿宋_GB2312" w:cs="Times New Roman"/>
          <w:sz w:val="32"/>
          <w:szCs w:val="32"/>
        </w:rPr>
        <w:t>%；</w:t>
      </w:r>
      <w:r>
        <w:rPr>
          <w:rFonts w:hint="eastAsia" w:ascii="仿宋" w:hAnsi="仿宋" w:eastAsia="仿宋"/>
          <w:spacing w:val="-6"/>
          <w:sz w:val="32"/>
          <w:szCs w:val="32"/>
        </w:rPr>
        <w:t>社会保障和就业支出</w:t>
      </w:r>
      <w:r>
        <w:rPr>
          <w:rFonts w:hint="eastAsia" w:ascii="仿宋" w:hAnsi="仿宋" w:eastAsia="仿宋"/>
          <w:spacing w:val="-6"/>
          <w:sz w:val="32"/>
          <w:szCs w:val="32"/>
          <w:lang w:val="en-US" w:eastAsia="zh-CN"/>
        </w:rPr>
        <w:t>117.8</w:t>
      </w:r>
      <w:r>
        <w:rPr>
          <w:rFonts w:hint="eastAsia" w:ascii="仿宋" w:hAnsi="仿宋" w:eastAsia="仿宋"/>
          <w:spacing w:val="-6"/>
          <w:sz w:val="32"/>
          <w:szCs w:val="32"/>
        </w:rPr>
        <w:t>万元，占总收入比重是</w:t>
      </w:r>
      <w:r>
        <w:rPr>
          <w:rFonts w:hint="eastAsia" w:ascii="仿宋" w:hAnsi="仿宋" w:eastAsia="仿宋"/>
          <w:spacing w:val="-6"/>
          <w:sz w:val="32"/>
          <w:szCs w:val="32"/>
          <w:lang w:val="en-US" w:eastAsia="zh-CN"/>
        </w:rPr>
        <w:t>4.28</w:t>
      </w:r>
      <w:r>
        <w:rPr>
          <w:rFonts w:hint="eastAsia" w:ascii="仿宋" w:hAnsi="仿宋" w:eastAsia="仿宋"/>
          <w:spacing w:val="-6"/>
          <w:sz w:val="32"/>
          <w:szCs w:val="32"/>
        </w:rPr>
        <w:t>%，卫生健康支出</w:t>
      </w:r>
      <w:r>
        <w:rPr>
          <w:rFonts w:hint="eastAsia" w:ascii="仿宋" w:hAnsi="仿宋" w:eastAsia="仿宋"/>
          <w:spacing w:val="-6"/>
          <w:sz w:val="32"/>
          <w:szCs w:val="32"/>
          <w:lang w:val="en-US" w:eastAsia="zh-CN"/>
        </w:rPr>
        <w:t>64.1</w:t>
      </w:r>
      <w:r>
        <w:rPr>
          <w:rFonts w:hint="eastAsia" w:ascii="仿宋" w:hAnsi="仿宋" w:eastAsia="仿宋"/>
          <w:spacing w:val="-6"/>
          <w:sz w:val="32"/>
          <w:szCs w:val="32"/>
        </w:rPr>
        <w:t>，占总收入比重是</w:t>
      </w:r>
      <w:r>
        <w:rPr>
          <w:rFonts w:hint="eastAsia" w:ascii="仿宋" w:hAnsi="仿宋" w:eastAsia="仿宋"/>
          <w:spacing w:val="-6"/>
          <w:sz w:val="32"/>
          <w:szCs w:val="32"/>
          <w:lang w:val="en-US" w:eastAsia="zh-CN"/>
        </w:rPr>
        <w:t>2.33</w:t>
      </w:r>
      <w:r>
        <w:rPr>
          <w:rFonts w:hint="eastAsia" w:ascii="仿宋" w:hAnsi="仿宋" w:eastAsia="仿宋"/>
          <w:spacing w:val="-6"/>
          <w:sz w:val="32"/>
          <w:szCs w:val="32"/>
        </w:rPr>
        <w:t>%</w:t>
      </w:r>
      <w:r>
        <w:rPr>
          <w:rFonts w:hint="eastAsia" w:ascii="仿宋" w:hAnsi="仿宋" w:eastAsia="仿宋"/>
          <w:spacing w:val="-6"/>
          <w:sz w:val="32"/>
          <w:szCs w:val="32"/>
          <w:lang w:eastAsia="zh-CN"/>
        </w:rPr>
        <w:t>。</w:t>
      </w:r>
      <w:r>
        <w:rPr>
          <w:rFonts w:hint="eastAsia" w:ascii="仿宋" w:hAnsi="仿宋" w:eastAsia="仿宋"/>
          <w:spacing w:val="-6"/>
          <w:sz w:val="32"/>
          <w:szCs w:val="32"/>
        </w:rPr>
        <w:t>按支出性质和经济分类：基本支出</w:t>
      </w:r>
      <w:r>
        <w:rPr>
          <w:rFonts w:hint="eastAsia" w:ascii="仿宋" w:hAnsi="仿宋" w:eastAsia="仿宋"/>
          <w:spacing w:val="-6"/>
          <w:sz w:val="32"/>
          <w:szCs w:val="32"/>
          <w:lang w:val="en-US" w:eastAsia="zh-CN"/>
        </w:rPr>
        <w:t>1539.6</w:t>
      </w:r>
      <w:r>
        <w:rPr>
          <w:rFonts w:hint="eastAsia" w:ascii="仿宋" w:hAnsi="仿宋" w:eastAsia="仿宋"/>
          <w:spacing w:val="-6"/>
          <w:sz w:val="32"/>
          <w:szCs w:val="32"/>
        </w:rPr>
        <w:t>万元，占总收入比重是</w:t>
      </w:r>
      <w:r>
        <w:rPr>
          <w:rFonts w:hint="eastAsia" w:ascii="仿宋" w:hAnsi="仿宋" w:eastAsia="仿宋"/>
          <w:spacing w:val="-6"/>
          <w:sz w:val="32"/>
          <w:szCs w:val="32"/>
          <w:lang w:val="en-US" w:eastAsia="zh-CN"/>
        </w:rPr>
        <w:t>55.94</w:t>
      </w:r>
      <w:r>
        <w:rPr>
          <w:rFonts w:hint="eastAsia" w:ascii="仿宋" w:hAnsi="仿宋" w:eastAsia="仿宋"/>
          <w:spacing w:val="-6"/>
          <w:sz w:val="32"/>
          <w:szCs w:val="32"/>
        </w:rPr>
        <w:t>%；项目经费</w:t>
      </w:r>
      <w:r>
        <w:rPr>
          <w:rFonts w:hint="eastAsia" w:ascii="仿宋" w:hAnsi="仿宋" w:eastAsia="仿宋"/>
          <w:spacing w:val="-6"/>
          <w:sz w:val="32"/>
          <w:szCs w:val="32"/>
          <w:lang w:val="en-US" w:eastAsia="zh-CN"/>
        </w:rPr>
        <w:t>1212.9</w:t>
      </w:r>
      <w:r>
        <w:rPr>
          <w:rFonts w:hint="eastAsia" w:ascii="仿宋" w:hAnsi="仿宋" w:eastAsia="仿宋"/>
          <w:spacing w:val="-6"/>
          <w:sz w:val="32"/>
          <w:szCs w:val="32"/>
        </w:rPr>
        <w:t>万元，占总收入比重是</w:t>
      </w:r>
      <w:r>
        <w:rPr>
          <w:rFonts w:hint="eastAsia" w:ascii="仿宋" w:hAnsi="仿宋" w:eastAsia="仿宋"/>
          <w:spacing w:val="-6"/>
          <w:sz w:val="32"/>
          <w:szCs w:val="32"/>
          <w:lang w:val="en-US" w:eastAsia="zh-CN"/>
        </w:rPr>
        <w:t>44.07</w:t>
      </w:r>
      <w:r>
        <w:rPr>
          <w:rFonts w:hint="eastAsia" w:ascii="仿宋" w:hAnsi="仿宋" w:eastAsia="仿宋"/>
          <w:spacing w:val="-6"/>
          <w:sz w:val="32"/>
          <w:szCs w:val="32"/>
        </w:rPr>
        <w:t>%。</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1924.41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2752.4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143.02</w:t>
      </w:r>
      <w:r>
        <w:rPr>
          <w:rFonts w:ascii="Times New Roman" w:hAnsi="Times New Roman" w:eastAsia="仿宋_GB2312" w:cs="Times New Roman"/>
          <w:sz w:val="32"/>
          <w:szCs w:val="32"/>
        </w:rPr>
        <w:t>%，其中：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纪检监察事务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w:t>
      </w:r>
      <w:r>
        <w:rPr>
          <w:rFonts w:hint="eastAsia" w:ascii="Times New Roman" w:hAnsi="Times New Roman" w:eastAsia="仿宋_GB2312"/>
          <w:sz w:val="32"/>
          <w:szCs w:val="32"/>
        </w:rPr>
        <w:t>运行（项）</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1545.81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1392.7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90.1</w:t>
      </w:r>
      <w:r>
        <w:rPr>
          <w:rFonts w:ascii="Times New Roman" w:hAnsi="Times New Roman" w:eastAsia="仿宋_GB2312" w:cs="Times New Roman"/>
          <w:sz w:val="32"/>
          <w:szCs w:val="32"/>
        </w:rPr>
        <w:t>%，决算数小于年初预算数的主要原因是：因为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p>
    <w:p>
      <w:pPr>
        <w:pStyle w:val="16"/>
        <w:numPr>
          <w:ilvl w:val="0"/>
          <w:numId w:val="1"/>
        </w:numPr>
        <w:overflowPunct w:val="0"/>
        <w:autoSpaceDE/>
        <w:autoSpaceDN/>
        <w:spacing w:line="600" w:lineRule="exact"/>
        <w:ind w:left="800" w:leftChars="0" w:firstLine="0" w:firstLineChars="0"/>
        <w:jc w:val="both"/>
        <w:rPr>
          <w:rFonts w:ascii="Times New Roman" w:hAnsi="Times New Roman" w:eastAsia="仿宋_GB2312" w:cs="Times New Roman"/>
          <w:sz w:val="32"/>
          <w:szCs w:val="32"/>
        </w:rPr>
      </w:pPr>
      <w:r>
        <w:rPr>
          <w:rFonts w:hint="eastAsia" w:ascii="Times New Roman" w:hAnsi="Times New Roman" w:eastAsia="仿宋_GB2312"/>
          <w:sz w:val="32"/>
          <w:szCs w:val="32"/>
        </w:rPr>
        <w:t>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纪检监察事务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其他纪检事务支出</w:t>
      </w:r>
      <w:r>
        <w:rPr>
          <w:rFonts w:hint="eastAsia" w:ascii="Times New Roman" w:hAnsi="Times New Roman" w:eastAsia="仿宋_GB2312"/>
          <w:sz w:val="32"/>
          <w:szCs w:val="32"/>
        </w:rPr>
        <w:t>（项）</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年</w:t>
      </w:r>
      <w:r>
        <w:rPr>
          <w:rFonts w:ascii="Times New Roman" w:hAnsi="Times New Roman" w:eastAsia="仿宋_GB2312" w:cs="Times New Roman"/>
          <w:sz w:val="32"/>
          <w:szCs w:val="32"/>
        </w:rPr>
        <w:t>初预算为</w:t>
      </w:r>
      <w:r>
        <w:rPr>
          <w:rFonts w:hint="eastAsia" w:ascii="Times New Roman" w:hAnsi="Times New Roman" w:eastAsia="仿宋_GB2312" w:cs="Times New Roman"/>
          <w:sz w:val="32"/>
          <w:szCs w:val="32"/>
          <w:lang w:val="en-US" w:eastAsia="zh-CN"/>
        </w:rPr>
        <w:t>53.7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1177.9</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功能科目代码有所调整，专项类经费从中列支。</w:t>
      </w:r>
    </w:p>
    <w:p>
      <w:pPr>
        <w:pStyle w:val="16"/>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社会保障和就业支出（类）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rPr>
        <w:t>（项）</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182.01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64.72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优化支出结构，提高资金使用效率，合理保障基本支出。</w:t>
      </w:r>
    </w:p>
    <w:p>
      <w:pPr>
        <w:pStyle w:val="16"/>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sz w:val="32"/>
          <w:szCs w:val="32"/>
          <w:lang w:val="en-US" w:eastAsia="zh-CN"/>
        </w:rPr>
        <w:t>4、卫生健康</w:t>
      </w:r>
      <w:r>
        <w:rPr>
          <w:rFonts w:hint="eastAsia" w:ascii="Times New Roman" w:hAnsi="Times New Roman" w:eastAsia="仿宋_GB2312"/>
          <w:sz w:val="32"/>
          <w:szCs w:val="32"/>
        </w:rPr>
        <w:t>支出（类）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事业单位医疗</w:t>
      </w:r>
      <w:r>
        <w:rPr>
          <w:rFonts w:hint="eastAsia" w:ascii="Times New Roman" w:hAnsi="Times New Roman" w:eastAsia="仿宋_GB2312"/>
          <w:sz w:val="32"/>
          <w:szCs w:val="32"/>
        </w:rPr>
        <w:t>（项）</w:t>
      </w:r>
    </w:p>
    <w:p>
      <w:pPr>
        <w:pStyle w:val="16"/>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64.1</w:t>
      </w:r>
      <w:r>
        <w:rPr>
          <w:rFonts w:hint="eastAsia" w:ascii="Times New Roman" w:hAnsi="Times New Roman" w:eastAsia="仿宋_GB2312"/>
          <w:sz w:val="32"/>
          <w:szCs w:val="32"/>
        </w:rPr>
        <w:t>万元，无法计算完成比率，决算数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val="en-US" w:eastAsia="zh-CN"/>
        </w:rPr>
        <w:t>县财政下拨指标时支出功能分类科目代码有所调整（</w:t>
      </w:r>
      <w:r>
        <w:rPr>
          <w:rFonts w:hint="eastAsia" w:ascii="Times New Roman" w:hAnsi="Times New Roman" w:eastAsia="仿宋_GB2312"/>
          <w:sz w:val="32"/>
          <w:szCs w:val="32"/>
        </w:rPr>
        <w:t>包含社会保障和就业支出（类）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rPr>
        <w:t>（项）中</w:t>
      </w:r>
      <w:r>
        <w:rPr>
          <w:rFonts w:hint="eastAsia" w:ascii="Times New Roman" w:hAnsi="Times New Roman" w:eastAsia="仿宋_GB2312"/>
          <w:sz w:val="32"/>
          <w:szCs w:val="32"/>
          <w:lang w:val="en-US" w:eastAsia="zh-CN"/>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1539.6</w:t>
      </w:r>
      <w:r>
        <w:rPr>
          <w:rFonts w:ascii="Times New Roman" w:hAnsi="Times New Roman" w:eastAsia="仿宋_GB2312" w:cs="Times New Roman"/>
          <w:sz w:val="32"/>
          <w:szCs w:val="32"/>
        </w:rPr>
        <w:t>万元，其中：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1211.1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78.67</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sz w:val="32"/>
          <w:szCs w:val="32"/>
          <w:lang w:eastAsia="zh-CN"/>
        </w:rPr>
        <w:t>绩效工资、机关事业单位基本养老保险缴费、职工基本医疗保险缴费、其他社会保障保险缴费、住房公积金</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328.5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21.34</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eastAsia="zh-CN"/>
        </w:rPr>
        <w:t>水费、电费、邮电费、差旅费、维修（护）费、租赁费、会议费、培训费、公务接待费、劳务费、委托业务费、工会经费、福利费、公务用车运行维护费、其他交通费、其他商品和服务支出</w:t>
      </w:r>
      <w:r>
        <w:rPr>
          <w:rFonts w:ascii="Times New Roman" w:hAnsi="Times New Roman" w:eastAsia="仿宋_GB2312" w:cs="Times New Roman"/>
          <w:sz w:val="32"/>
          <w:szCs w:val="32"/>
        </w:rPr>
        <w:t>。</w:t>
      </w:r>
    </w:p>
    <w:p>
      <w:pPr>
        <w:pStyle w:val="16"/>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6"/>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公车运营维护</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w:t>
      </w:r>
    </w:p>
    <w:p>
      <w:pPr>
        <w:pStyle w:val="16"/>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6"/>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lang w:eastAsia="zh-CN"/>
        </w:rPr>
        <w:t>本单位无政府性基金收支。</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328.5</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11.43</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0.34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办公设施设备购置经费减少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资产运行维护支出减少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eastAsia="zh-CN"/>
        </w:rPr>
        <w:t>基本</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无</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w:t>
      </w:r>
      <w:r>
        <w:rPr>
          <w:rFonts w:hint="eastAsia" w:ascii="Times New Roman" w:hAnsi="Times New Roman" w:eastAsia="仿宋_GB2312"/>
          <w:color w:val="auto"/>
          <w:sz w:val="32"/>
          <w:szCs w:val="32"/>
        </w:rPr>
        <w:t>其中</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其他用车</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辆，其他用车主要是</w:t>
      </w:r>
      <w:r>
        <w:rPr>
          <w:rFonts w:hint="eastAsia" w:ascii="Times New Roman" w:hAnsi="Times New Roman" w:eastAsia="仿宋_GB2312"/>
          <w:color w:val="auto"/>
          <w:sz w:val="32"/>
          <w:szCs w:val="32"/>
          <w:lang w:eastAsia="zh-CN"/>
        </w:rPr>
        <w:t>办公出差等</w:t>
      </w:r>
      <w:r>
        <w:rPr>
          <w:rFonts w:hint="eastAsia" w:ascii="Times New Roman" w:hAnsi="Times New Roman" w:eastAsia="仿宋_GB2312"/>
          <w:color w:val="auto"/>
          <w:sz w:val="32"/>
          <w:szCs w:val="32"/>
        </w:rPr>
        <w:t>。</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_GB2312" w:eastAsia="仿宋_GB2312" w:cs="仿宋_GB2312"/>
          <w:b w:val="0"/>
          <w:bCs/>
          <w:kern w:val="0"/>
          <w:sz w:val="32"/>
          <w:szCs w:val="32"/>
          <w:shd w:val="clear" w:color="auto" w:fill="FFFFFF"/>
        </w:rPr>
      </w:pPr>
      <w:r>
        <w:rPr>
          <w:rFonts w:ascii="Times New Roman" w:hAnsi="Times New Roman" w:eastAsia="楷体_GB2312" w:cs="Times New Roman"/>
          <w:b/>
          <w:bCs/>
          <w:sz w:val="32"/>
          <w:szCs w:val="32"/>
        </w:rPr>
        <w:t>（一）绩效评价工作开展情况。</w:t>
      </w:r>
      <w:r>
        <w:rPr>
          <w:rFonts w:hint="eastAsia" w:ascii="仿宋_GB2312" w:hAnsi="仿宋_GB2312" w:eastAsia="仿宋_GB2312" w:cs="仿宋_GB2312"/>
          <w:b w:val="0"/>
          <w:bCs/>
          <w:kern w:val="0"/>
          <w:sz w:val="32"/>
          <w:szCs w:val="32"/>
          <w:shd w:val="clear" w:color="auto" w:fill="FFFFFF"/>
        </w:rPr>
        <w:t>按照财政部门预算绩效管理工作部署,2025年我单位推行部门整体和项目绩效目标全覆盖。</w:t>
      </w:r>
      <w:r>
        <w:rPr>
          <w:rFonts w:hint="eastAsia" w:ascii="仿宋_GB2312" w:hAnsi="仿宋_GB2312" w:eastAsia="仿宋_GB2312" w:cs="仿宋_GB2312"/>
          <w:b w:val="0"/>
          <w:bCs/>
          <w:sz w:val="32"/>
          <w:szCs w:val="32"/>
        </w:rPr>
        <w:t>围绕党的二十大战略部署、党中央</w:t>
      </w:r>
      <w:r>
        <w:rPr>
          <w:rFonts w:hint="eastAsia" w:ascii="仿宋_GB2312" w:hAnsi="仿宋_GB2312" w:eastAsia="仿宋_GB2312" w:cs="仿宋_GB2312"/>
          <w:b w:val="0"/>
          <w:bCs/>
          <w:kern w:val="0"/>
          <w:sz w:val="32"/>
          <w:szCs w:val="32"/>
          <w:shd w:val="clear" w:color="auto" w:fill="FFFFFF"/>
        </w:rPr>
        <w:t>重大决策和省委、市委、县委的工作要求，做深做实政治监督；聚焦自我革命，紧盯重点问题、重点领域、重点对象、新型腐败和隐性腐败，完善权力配置和运行制约机制，纵深推进反腐败斗争；</w:t>
      </w:r>
      <w:r>
        <w:rPr>
          <w:rFonts w:hint="eastAsia" w:ascii="仿宋_GB2312" w:hAnsi="仿宋_GB2312" w:eastAsia="仿宋_GB2312" w:cs="仿宋_GB2312"/>
          <w:b w:val="0"/>
          <w:bCs/>
          <w:sz w:val="32"/>
          <w:szCs w:val="32"/>
        </w:rPr>
        <w:t>加强新时代廉洁</w:t>
      </w:r>
      <w:r>
        <w:rPr>
          <w:rFonts w:hint="eastAsia" w:ascii="仿宋_GB2312" w:hAnsi="仿宋_GB2312" w:eastAsia="仿宋_GB2312" w:cs="仿宋_GB2312"/>
          <w:b w:val="0"/>
          <w:bCs/>
          <w:kern w:val="0"/>
          <w:sz w:val="32"/>
          <w:szCs w:val="32"/>
          <w:shd w:val="clear" w:color="auto" w:fill="FFFFFF"/>
        </w:rPr>
        <w:t>文化和党员领导干部家庭家风家教建设，巩固完善清廉道县建设；完善工作制度，优化机构设置，规范办案行为，提质提效全面深化纪检监察体制改革。做好了县委、县政府交办的各项中心工作。</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（二）单位</w:t>
      </w:r>
      <w:r>
        <w:rPr>
          <w:rFonts w:hint="eastAsia" w:ascii="楷体" w:hAnsi="楷体" w:eastAsia="楷体" w:cs="楷体"/>
          <w:b/>
          <w:bCs/>
          <w:sz w:val="32"/>
          <w:szCs w:val="32"/>
        </w:rPr>
        <w:t>整体支出绩效情况</w:t>
      </w:r>
    </w:p>
    <w:p>
      <w:pPr>
        <w:keepNext w:val="0"/>
        <w:keepLines w:val="0"/>
        <w:pageBreakBefore w:val="0"/>
        <w:kinsoku/>
        <w:wordWrap/>
        <w:overflowPunct/>
        <w:autoSpaceDE/>
        <w:autoSpaceDN/>
        <w:bidi w:val="0"/>
        <w:adjustRightInd/>
        <w:snapToGrid w:val="0"/>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狠抓思想政治建设，筑牢绝对忠诚政治根基。</w:t>
      </w:r>
      <w:r>
        <w:rPr>
          <w:rFonts w:hint="eastAsia" w:ascii="仿宋_GB2312" w:hAnsi="仿宋_GB2312" w:eastAsia="仿宋_GB2312" w:cs="仿宋_GB2312"/>
          <w:b w:val="0"/>
          <w:bCs/>
          <w:sz w:val="32"/>
          <w:szCs w:val="32"/>
        </w:rPr>
        <w:t xml:space="preserve">严格落实“第一议题”制度，把习近平新时代中国特色社会主义思想、党的二十大精神及纪检监察工作重要论述作为核心学习内容。健全“两个责任”清单管理、督查考核、述职评议闭环机制，制定《道县全面从严治党责任落实负面清单》，明确责任边界、细化履职要求。聚焦“七个有之”突出问题强化执纪问责，从严从快查办公职人员违规吃喝等问题。 </w:t>
      </w:r>
    </w:p>
    <w:p>
      <w:pPr>
        <w:keepNext w:val="0"/>
        <w:keepLines w:val="0"/>
        <w:pageBreakBefore w:val="0"/>
        <w:kinsoku/>
        <w:wordWrap/>
        <w:overflowPunct/>
        <w:topLinePunct/>
        <w:autoSpaceDE/>
        <w:autoSpaceDN/>
        <w:bidi w:val="0"/>
        <w:adjustRightInd/>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锤炼过硬领导能力，提升履职尽责综合效能。</w:t>
      </w:r>
      <w:r>
        <w:rPr>
          <w:rFonts w:hint="eastAsia" w:ascii="仿宋_GB2312" w:hAnsi="仿宋_GB2312" w:eastAsia="仿宋_GB2312" w:cs="仿宋_GB2312"/>
          <w:b w:val="0"/>
          <w:bCs/>
          <w:sz w:val="32"/>
          <w:szCs w:val="32"/>
        </w:rPr>
        <w:t xml:space="preserve">紧扣县委中心工作和上级纪委监委部署，科学制定全年纪检监察工作要点。针对基层监督力量薄弱、“四风”问题隐形变异等难点问题，创新推行“县纪委监委领导包片+室组联动”工作机制。探索运用大数据手段排查惠民资金领域腐败线索，实现监督效能提档升级。健全与公安、检察、法院、审计等部门线索移送、联合办案、信息共享机制，完善联席会议制度。加强对乡镇纪委、派驻机构的业务指导，推动上下级纪检监察机关同频共振、同向发力。 </w:t>
      </w:r>
    </w:p>
    <w:p>
      <w:pPr>
        <w:keepNext w:val="0"/>
        <w:keepLines w:val="0"/>
        <w:pageBreakBefore w:val="0"/>
        <w:kinsoku/>
        <w:wordWrap/>
        <w:overflowPunct/>
        <w:topLinePunct/>
        <w:autoSpaceDE/>
        <w:autoSpaceDN/>
        <w:bidi w:val="0"/>
        <w:adjustRightInd/>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从严加强党风廉政建设，永葆清正廉洁政治本色。</w:t>
      </w:r>
      <w:r>
        <w:rPr>
          <w:rFonts w:hint="eastAsia" w:ascii="仿宋_GB2312" w:hAnsi="仿宋_GB2312" w:eastAsia="仿宋_GB2312" w:cs="仿宋_GB2312"/>
          <w:b w:val="0"/>
          <w:bCs/>
          <w:sz w:val="32"/>
          <w:szCs w:val="32"/>
        </w:rPr>
        <w:t>围绕线索处置、谈话函询、审查调查等关键环节，梳理权力运行风险点，完善内部监督制度。通报系统内纪检监察干部违纪违法典型案例，组织全县纪检监察干部开展警示教育。深化“三不腐”一体推进，选取典型案件开展“一案一警示”活动。常态化开展“清风大讲堂”、家属座谈会、“好家风·好传承”等活动，筑牢家庭廉洁防线，推动形成崇廉尚洁的社会风尚。</w:t>
      </w:r>
    </w:p>
    <w:p>
      <w:pPr>
        <w:keepNext w:val="0"/>
        <w:keepLines w:val="0"/>
        <w:pageBreakBefore w:val="0"/>
        <w:kinsoku/>
        <w:wordWrap/>
        <w:overflowPunct/>
        <w:autoSpaceDE/>
        <w:autoSpaceDN/>
        <w:bidi w:val="0"/>
        <w:adjustRightInd/>
        <w:snapToGrid w:val="0"/>
        <w:spacing w:line="560" w:lineRule="exact"/>
        <w:ind w:firstLine="640" w:firstLineChars="200"/>
        <w:rPr>
          <w:rFonts w:ascii="Times New Roman" w:hAnsi="Times New Roman" w:eastAsia="仿宋_GB2312" w:cs="Times New Roman"/>
          <w:bCs/>
          <w:sz w:val="32"/>
          <w:szCs w:val="32"/>
        </w:rPr>
      </w:pPr>
      <w:r>
        <w:rPr>
          <w:rFonts w:hint="eastAsia" w:ascii="仿宋_GB2312" w:hAnsi="仿宋_GB2312" w:eastAsia="仿宋_GB2312" w:cs="仿宋_GB2312"/>
          <w:b/>
          <w:bCs w:val="0"/>
          <w:sz w:val="32"/>
          <w:szCs w:val="32"/>
        </w:rPr>
        <w:t>强化自身能力建设，锤炼担当实干优良作风。</w:t>
      </w:r>
      <w:r>
        <w:rPr>
          <w:rFonts w:hint="eastAsia" w:ascii="仿宋_GB2312" w:hAnsi="仿宋_GB2312" w:eastAsia="仿宋_GB2312" w:cs="仿宋_GB2312"/>
          <w:b w:val="0"/>
          <w:bCs/>
          <w:sz w:val="32"/>
          <w:szCs w:val="32"/>
        </w:rPr>
        <w:t>深入乡镇、县直单位开展调研，聚焦基层监督薄弱环节、群众身边腐败问题等课题，形成高质量调研报告，推动调研成果转化。精简会议文件，压缩非必要会议数量，集中精力抓落实。推行“一线工作法”，班子成员带队深入办案一线、监督一线解决实际问题。优化信访举报办理流程，开通“码上举报”平台，推进“乡镇纪委在行动”专项活动，群众获得感、幸福感、安全感显著提升。</w:t>
      </w:r>
    </w:p>
    <w:p>
      <w:pPr>
        <w:keepNext w:val="0"/>
        <w:keepLines w:val="0"/>
        <w:pageBreakBefore w:val="0"/>
        <w:kinsoku/>
        <w:wordWrap/>
        <w:overflowPunct/>
        <w:autoSpaceDE/>
        <w:autoSpaceDN/>
        <w:bidi w:val="0"/>
        <w:adjustRightInd/>
        <w:snapToGrid w:val="0"/>
        <w:spacing w:line="560" w:lineRule="exact"/>
        <w:ind w:firstLine="640" w:firstLineChars="200"/>
        <w:rPr>
          <w:rFonts w:hint="eastAsia" w:ascii="仿宋_GB2312" w:hAnsi="仿宋_GB2312" w:eastAsia="仿宋_GB2312" w:cs="仿宋_GB2312"/>
          <w:b w:val="0"/>
          <w:bCs/>
          <w:sz w:val="32"/>
          <w:szCs w:val="32"/>
        </w:rPr>
      </w:pPr>
      <w:r>
        <w:rPr>
          <w:rFonts w:ascii="Times New Roman" w:hAnsi="Times New Roman" w:eastAsia="楷体_GB2312" w:cs="Times New Roman"/>
          <w:b/>
          <w:bCs/>
          <w:color w:val="auto"/>
          <w:kern w:val="2"/>
          <w:sz w:val="32"/>
          <w:szCs w:val="32"/>
        </w:rPr>
        <w:t>（三）评价结果应用情况。</w:t>
      </w:r>
      <w:r>
        <w:rPr>
          <w:rFonts w:hint="eastAsia" w:ascii="仿宋_GB2312" w:hAnsi="仿宋_GB2312" w:eastAsia="仿宋_GB2312" w:cs="仿宋_GB2312"/>
          <w:b w:val="0"/>
          <w:bCs/>
          <w:sz w:val="32"/>
          <w:szCs w:val="32"/>
        </w:rPr>
        <w:t>还存在预算执行不严格，</w:t>
      </w:r>
      <w:r>
        <w:rPr>
          <w:rFonts w:hint="eastAsia" w:ascii="仿宋_GB2312" w:hAnsi="仿宋_GB2312" w:eastAsia="仿宋_GB2312" w:cs="仿宋_GB2312"/>
          <w:b w:val="0"/>
          <w:bCs/>
          <w:kern w:val="0"/>
          <w:sz w:val="32"/>
          <w:szCs w:val="32"/>
          <w:shd w:val="clear" w:color="auto" w:fill="FFFFFF"/>
        </w:rPr>
        <w:t>管理制度不完善等问题，</w:t>
      </w:r>
      <w:r>
        <w:rPr>
          <w:rFonts w:hint="eastAsia" w:ascii="仿宋_GB2312" w:hAnsi="仿宋_GB2312" w:eastAsia="仿宋_GB2312" w:cs="仿宋_GB2312"/>
          <w:b w:val="0"/>
          <w:bCs/>
          <w:sz w:val="32"/>
          <w:szCs w:val="32"/>
        </w:rPr>
        <w:t>下一年度将进一步</w:t>
      </w:r>
      <w:r>
        <w:rPr>
          <w:rFonts w:hint="eastAsia" w:ascii="仿宋_GB2312" w:hAnsi="仿宋_GB2312" w:eastAsia="仿宋_GB2312" w:cs="仿宋_GB2312"/>
          <w:b w:val="0"/>
          <w:bCs/>
          <w:kern w:val="0"/>
          <w:sz w:val="32"/>
          <w:szCs w:val="32"/>
          <w:shd w:val="clear" w:color="auto" w:fill="FFFFFF"/>
        </w:rPr>
        <w:t>严格按批准的预算执行，确保各项资金使用无偏差。</w:t>
      </w:r>
    </w:p>
    <w:p>
      <w:pPr>
        <w:pStyle w:val="16"/>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6"/>
        <w:jc w:val="both"/>
        <w:rPr>
          <w:rFonts w:ascii="Times New Roman" w:hAnsi="Times New Roman" w:cs="Times New Roman"/>
          <w:sz w:val="72"/>
          <w:szCs w:val="72"/>
        </w:rPr>
      </w:pPr>
    </w:p>
    <w:p>
      <w:pPr>
        <w:pStyle w:val="16"/>
        <w:jc w:val="both"/>
        <w:rPr>
          <w:rFonts w:ascii="Times New Roman" w:hAnsi="Times New Roman" w:cs="Times New Roman"/>
          <w:sz w:val="72"/>
          <w:szCs w:val="72"/>
        </w:rPr>
      </w:pPr>
    </w:p>
    <w:p>
      <w:pPr>
        <w:pStyle w:val="16"/>
        <w:jc w:val="both"/>
        <w:rPr>
          <w:rFonts w:ascii="Times New Roman" w:hAnsi="Times New Roman" w:cs="Times New Roman"/>
          <w:sz w:val="72"/>
          <w:szCs w:val="72"/>
        </w:rPr>
      </w:pPr>
    </w:p>
    <w:p>
      <w:pPr>
        <w:pStyle w:val="16"/>
        <w:jc w:val="both"/>
        <w:rPr>
          <w:rFonts w:ascii="Times New Roman" w:hAnsi="Times New Roman"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财政拨款收入：指单位本年度从同级财政部门取得的各类财政拨款。 </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事业收入：指事业单位开展专业业务活动及其辅助活动取得的收入，事业单位收到的财政专户实际核拨的教育收费等资金在此反映。</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经营收入：指事业单位在专业业务活动及其辅助活动之外开展非独立核算经营活动取得的收入。</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附属单位上缴收入：指事业单位附属独立核算单位按照有关规定上缴的收入。</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其他收入：指单位取得的除上述“财政拨款收入”、“事业收入”、“经营收入”等以外的各项收入。</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使用非财政拨款结余：指事业单位使用非财政拨款结余（原事业基金）弥补当年收支差额的数额。</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年初结转和结余：指单位上年结转本年使用的基本支出结转、项目支出结转和结余和经营结余。</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结余分配：指事业单位按规定对非财政拨款结余资金提取的专用基金、缴纳的所得税和转入非财政拨款结余等。</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年末结转和结余资金：指本年度或以前年度预算安排、因客观条件发生变化无法按原计划实施，需要延迟到以后年度按有关规定继续使用的资金。 </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基本支出：指为保障机构正常运转、完成日常工作任务而发生的支出，包括人员经费和公用经费。</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项目支出：指在为完成特定的工作任务和事业发展目标所发生的支出。</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上缴上级支出：指事业单位按照财政部门和主管部门的规定上缴上级单位的支出。</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经营支出：指事业单位在专业业务活动及其辅助活动之外开展非独立核算经营活动发生的支出。</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对附属单位补助支出：指事业单位用财政拨款收入之外的收入对附属单位补助发生的支出。</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上级补助收入：指事业单位从主管部门和上级单位取得的非财政补助收入。</w:t>
      </w:r>
    </w:p>
    <w:p>
      <w:pPr>
        <w:pStyle w:val="16"/>
        <w:ind w:firstLine="640" w:firstLineChars="200"/>
        <w:rPr>
          <w:rFonts w:ascii="Times New Roman" w:hAnsi="Times New Roman" w:cs="Times New Roman" w:eastAsiaTheme="minorEastAsia"/>
          <w:sz w:val="32"/>
          <w:szCs w:val="3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both"/>
        <w:rPr>
          <w:rFonts w:ascii="Times New Roman" w:hAnsi="Times New Roman"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6"/>
        <w:spacing w:line="600" w:lineRule="exact"/>
        <w:ind w:firstLine="640" w:firstLineChars="200"/>
        <w:rPr>
          <w:rFonts w:ascii="Times New Roman" w:hAnsi="Times New Roman" w:eastAsia="仿宋_GB2312" w:cs="Times New Roman"/>
          <w:sz w:val="32"/>
          <w:szCs w:val="32"/>
        </w:rPr>
      </w:pPr>
      <w:bookmarkStart w:id="3" w:name="_GoBack"/>
      <w:bookmarkEnd w:id="3"/>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B18F2"/>
    <w:multiLevelType w:val="singleLevel"/>
    <w:tmpl w:val="896B18F2"/>
    <w:lvl w:ilvl="0" w:tentative="0">
      <w:start w:val="2"/>
      <w:numFmt w:val="decimal"/>
      <w:suff w:val="nothing"/>
      <w:lvlText w:val="%1、"/>
      <w:lvlJc w:val="left"/>
      <w:pPr>
        <w:ind w:left="800" w:leftChars="0" w:firstLine="0" w:firstLineChars="0"/>
      </w:pPr>
    </w:lvl>
  </w:abstractNum>
  <w:abstractNum w:abstractNumId="1">
    <w:nsid w:val="DFFB0401"/>
    <w:multiLevelType w:val="singleLevel"/>
    <w:tmpl w:val="DFFB0401"/>
    <w:lvl w:ilvl="0" w:tentative="0">
      <w:start w:val="7"/>
      <w:numFmt w:val="chineseCounting"/>
      <w:suff w:val="nothing"/>
      <w:lvlText w:val="%1、"/>
      <w:lvlJc w:val="left"/>
      <w:rPr>
        <w:rFonts w:hint="eastAsia"/>
      </w:rPr>
    </w:lvl>
  </w:abstractNum>
  <w:abstractNum w:abstractNumId="2">
    <w:nsid w:val="2C0D7392"/>
    <w:multiLevelType w:val="singleLevel"/>
    <w:tmpl w:val="2C0D7392"/>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30265BB"/>
    <w:rsid w:val="15A7006A"/>
    <w:rsid w:val="1D97DEFF"/>
    <w:rsid w:val="1DFF72E5"/>
    <w:rsid w:val="1EFC6F07"/>
    <w:rsid w:val="23E76EA7"/>
    <w:rsid w:val="28393775"/>
    <w:rsid w:val="2FDF85B8"/>
    <w:rsid w:val="2FFFEE04"/>
    <w:rsid w:val="34DF85B0"/>
    <w:rsid w:val="36D87CA6"/>
    <w:rsid w:val="3B8F36BC"/>
    <w:rsid w:val="44042086"/>
    <w:rsid w:val="45CA4B22"/>
    <w:rsid w:val="491FF225"/>
    <w:rsid w:val="4E994D16"/>
    <w:rsid w:val="4FFD214C"/>
    <w:rsid w:val="5777D4F5"/>
    <w:rsid w:val="59DD8326"/>
    <w:rsid w:val="5CE250A5"/>
    <w:rsid w:val="5DEF592A"/>
    <w:rsid w:val="5E4B04DF"/>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Body Text"/>
    <w:basedOn w:val="1"/>
    <w:next w:val="5"/>
    <w:qFormat/>
    <w:uiPriority w:val="0"/>
    <w:pPr>
      <w:widowControl/>
      <w:spacing w:before="100" w:beforeAutospacing="1" w:after="100" w:afterAutospacing="1"/>
      <w:jc w:val="left"/>
    </w:pPr>
    <w:rPr>
      <w:rFonts w:ascii="宋体" w:hAnsi="宋体" w:cs="宋体"/>
      <w:kern w:val="0"/>
      <w:sz w:val="24"/>
    </w:rPr>
  </w:style>
  <w:style w:type="paragraph" w:styleId="5">
    <w:name w:val="Body Text First Indent"/>
    <w:basedOn w:val="4"/>
    <w:qFormat/>
    <w:uiPriority w:val="0"/>
    <w:pPr>
      <w:ind w:firstLine="100" w:firstLineChars="100"/>
    </w:pPr>
  </w:style>
  <w:style w:type="paragraph" w:styleId="6">
    <w:name w:val="Body Text Indent"/>
    <w:basedOn w:val="1"/>
    <w:next w:val="7"/>
    <w:unhideWhenUsed/>
    <w:qFormat/>
    <w:uiPriority w:val="99"/>
    <w:pPr>
      <w:widowControl/>
      <w:spacing w:after="120"/>
      <w:ind w:left="420" w:leftChars="200"/>
      <w:jc w:val="left"/>
    </w:pPr>
    <w:rPr>
      <w:rFonts w:ascii="宋体" w:hAnsi="宋体" w:eastAsia="宋体" w:cs="宋体"/>
      <w:kern w:val="0"/>
      <w:sz w:val="24"/>
    </w:rPr>
  </w:style>
  <w:style w:type="paragraph" w:styleId="7">
    <w:name w:val="Body Text First Indent 2"/>
    <w:basedOn w:val="6"/>
    <w:next w:val="1"/>
    <w:unhideWhenUsed/>
    <w:qFormat/>
    <w:uiPriority w:val="99"/>
    <w:pPr>
      <w:ind w:firstLine="420" w:firstLineChars="200"/>
    </w:pPr>
  </w:style>
  <w:style w:type="paragraph" w:styleId="8">
    <w:name w:val="Balloon Text"/>
    <w:basedOn w:val="1"/>
    <w:link w:val="18"/>
    <w:semiHidden/>
    <w:unhideWhenUsed/>
    <w:qFormat/>
    <w:uiPriority w:val="99"/>
    <w:rPr>
      <w:sz w:val="18"/>
      <w:szCs w:val="18"/>
    </w:rPr>
  </w:style>
  <w:style w:type="paragraph" w:styleId="9">
    <w:name w:val="footer"/>
    <w:basedOn w:val="1"/>
    <w:link w:val="15"/>
    <w:unhideWhenUsed/>
    <w:qFormat/>
    <w:uiPriority w:val="99"/>
    <w:pPr>
      <w:tabs>
        <w:tab w:val="center" w:pos="4153"/>
        <w:tab w:val="right" w:pos="8306"/>
      </w:tabs>
      <w:snapToGrid w:val="0"/>
      <w:jc w:val="left"/>
    </w:pPr>
    <w:rPr>
      <w:sz w:val="18"/>
      <w:szCs w:val="18"/>
    </w:rPr>
  </w:style>
  <w:style w:type="paragraph" w:styleId="10">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7"/>
    <w:semiHidden/>
    <w:qFormat/>
    <w:uiPriority w:val="0"/>
    <w:pPr>
      <w:snapToGrid w:val="0"/>
      <w:jc w:val="left"/>
    </w:pPr>
    <w:rPr>
      <w:sz w:val="18"/>
      <w:szCs w:val="18"/>
    </w:rPr>
  </w:style>
  <w:style w:type="character" w:customStyle="1" w:styleId="14">
    <w:name w:val="页眉 Char"/>
    <w:basedOn w:val="13"/>
    <w:link w:val="10"/>
    <w:qFormat/>
    <w:uiPriority w:val="99"/>
    <w:rPr>
      <w:sz w:val="18"/>
      <w:szCs w:val="18"/>
    </w:rPr>
  </w:style>
  <w:style w:type="character" w:customStyle="1" w:styleId="15">
    <w:name w:val="页脚 Char"/>
    <w:basedOn w:val="13"/>
    <w:link w:val="9"/>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8"/>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6599</Words>
  <Characters>7524</Characters>
  <Lines>69</Lines>
  <Paragraphs>19</Paragraphs>
  <TotalTime>1</TotalTime>
  <ScaleCrop>false</ScaleCrop>
  <LinksUpToDate>false</LinksUpToDate>
  <CharactersWithSpaces>8843</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2024-08-10T02:20:00Z</cp:lastPrinted>
  <dcterms:modified xsi:type="dcterms:W3CDTF">2026-09-15T03:49:46Z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ies>
</file>