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6"/>
        <w:jc w:val="center"/>
        <w:rPr>
          <w:sz w:val="56"/>
          <w:szCs w:val="56"/>
        </w:rPr>
      </w:pPr>
    </w:p>
    <w:p>
      <w:pPr>
        <w:pStyle w:val="16"/>
        <w:jc w:val="center"/>
        <w:rPr>
          <w:sz w:val="84"/>
          <w:szCs w:val="84"/>
        </w:rPr>
      </w:pPr>
    </w:p>
    <w:p>
      <w:pPr>
        <w:pStyle w:val="16"/>
        <w:jc w:val="center"/>
        <w:rPr>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lang w:eastAsia="zh-CN"/>
        </w:rPr>
        <w:t>年</w:t>
      </w:r>
      <w:r>
        <w:rPr>
          <w:rFonts w:hint="eastAsia" w:ascii="方正小标宋_GBK" w:hAnsi="方正小标宋_GBK" w:eastAsia="方正小标宋_GBK" w:cs="方正小标宋_GBK"/>
          <w:sz w:val="84"/>
          <w:szCs w:val="84"/>
        </w:rPr>
        <w:t>度</w:t>
      </w: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道县人民政府办公室</w:t>
      </w: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6"/>
        <w:jc w:val="center"/>
        <w:rPr>
          <w:rFonts w:hint="eastAsia" w:ascii="方正小标宋_GBK" w:hAnsi="方正小标宋_GBK" w:eastAsia="方正小标宋_GBK" w:cs="方正小标宋_GBK"/>
          <w:sz w:val="56"/>
          <w:szCs w:val="56"/>
        </w:rPr>
      </w:pPr>
    </w:p>
    <w:p>
      <w:pPr>
        <w:pStyle w:val="16"/>
        <w:jc w:val="center"/>
        <w:rPr>
          <w:sz w:val="56"/>
          <w:szCs w:val="56"/>
        </w:rPr>
      </w:pPr>
    </w:p>
    <w:p>
      <w:pPr>
        <w:pStyle w:val="16"/>
        <w:jc w:val="center"/>
        <w:rPr>
          <w:sz w:val="56"/>
          <w:szCs w:val="56"/>
        </w:rPr>
      </w:pPr>
    </w:p>
    <w:p>
      <w:pPr>
        <w:pStyle w:val="16"/>
        <w:jc w:val="center"/>
        <w:rPr>
          <w:sz w:val="56"/>
          <w:szCs w:val="56"/>
        </w:rPr>
      </w:pPr>
    </w:p>
    <w:p>
      <w:pPr>
        <w:pStyle w:val="16"/>
        <w:jc w:val="center"/>
        <w:rPr>
          <w:sz w:val="32"/>
          <w:szCs w:val="32"/>
        </w:rPr>
      </w:pPr>
    </w:p>
    <w:p>
      <w:pPr>
        <w:pStyle w:val="16"/>
        <w:jc w:val="center"/>
        <w:rPr>
          <w:sz w:val="32"/>
          <w:szCs w:val="32"/>
        </w:rPr>
      </w:pPr>
    </w:p>
    <w:p>
      <w:pPr>
        <w:pStyle w:val="16"/>
        <w:jc w:val="center"/>
        <w:rPr>
          <w:sz w:val="32"/>
          <w:szCs w:val="32"/>
        </w:rPr>
      </w:pPr>
    </w:p>
    <w:p>
      <w:pPr>
        <w:pStyle w:val="16"/>
        <w:spacing w:line="500" w:lineRule="exact"/>
        <w:jc w:val="both"/>
        <w:rPr>
          <w:b/>
          <w:sz w:val="36"/>
          <w:szCs w:val="28"/>
        </w:rPr>
      </w:pPr>
    </w:p>
    <w:p>
      <w:pPr>
        <w:pStyle w:val="16"/>
        <w:spacing w:line="500" w:lineRule="exact"/>
        <w:jc w:val="center"/>
        <w:rPr>
          <w:b/>
          <w:sz w:val="36"/>
          <w:szCs w:val="28"/>
        </w:rPr>
      </w:pPr>
      <w:r>
        <w:rPr>
          <w:rFonts w:hint="eastAsia"/>
          <w:b/>
          <w:sz w:val="36"/>
          <w:szCs w:val="28"/>
        </w:rPr>
        <w:t>目录</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b w:val="0"/>
          <w:bCs/>
          <w:sz w:val="28"/>
          <w:szCs w:val="28"/>
          <w:lang w:val="en-US" w:eastAsia="zh-CN"/>
        </w:rPr>
        <w:t>道县人民政府办公室</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6"/>
        <w:spacing w:line="500" w:lineRule="exact"/>
        <w:rPr>
          <w:rFonts w:hint="eastAsia" w:hAnsi="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6"/>
        <w:spacing w:line="500" w:lineRule="exact"/>
        <w:rPr>
          <w:rFonts w:hint="eastAsia" w:hAnsi="黑体" w:cs="黑体"/>
          <w:b w:val="0"/>
          <w:bCs/>
          <w:sz w:val="28"/>
          <w:szCs w:val="28"/>
          <w:lang w:eastAsia="zh-CN"/>
        </w:rPr>
      </w:pPr>
    </w:p>
    <w:p>
      <w:pPr>
        <w:pStyle w:val="5"/>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9"/>
        <w:rPr>
          <w:rFonts w:hint="eastAsia"/>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道县人民政府办公室</w:t>
      </w: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单位</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7"/>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根据《中共道县县委办公室道县人民政府办公室关于道县人民政府办公室职责和机构编制调整的通知》（道办发〔2019〕33号）规定，道县人民政府办公室主要工作职责是：</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⑴协助县政府领导同志组织起草或审核以县政府、县政府办公室名义发布的公文。</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⑵负责县政府会务工作，协助县政府领导同志组织实施会议决定事项。</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⑶督促检查县直部门和乡镇场、街道办事处对县政府决定事项及县政府领导同志有关指示的贯彻实施情况，促进工作落实。</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⑷组织办理人大代表建议、政协委员提案。</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⑸负责县政府值班工作，及时报告重要情况，传达和督促落实县政府领导同志指示；协助县政府领导同志组织处理突发事件的应急处理工作。</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⑹根据县政府的工作部署和县政府领导同志的指示，对涉及全县经济建设、社会发展、改革开放和社会稳定等全局性工作的重大课题进行调查研究，提出政策建议。</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⑺搜集、研究和综合经济社会发展的重要信息、动态，为县政府领导决策提供参考。</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    ⑻贯彻执行国家和省市有关金融工作的方针、政策和法律法规，组织拟定金融领域有关规范性文件。指导和协调全县金融工作。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⑼办理县政府和县政府领导同志交办的其它事项。</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道县人民政府办公室</w:t>
      </w:r>
      <w:r>
        <w:rPr>
          <w:rFonts w:hint="eastAsia" w:ascii="Times New Roman" w:hAnsi="Times New Roman" w:eastAsia="仿宋_GB2312" w:cs="仿宋_GB2312"/>
          <w:bCs/>
          <w:kern w:val="0"/>
          <w:sz w:val="32"/>
          <w:szCs w:val="32"/>
        </w:rPr>
        <w:t>内设机构包括：文秘室、县人民政府总值班室、综合调研室、督查室（道县人民政府督查室）、金融室（道县人民政府金融办公室）、机要保密室、政工室、行政室、政务联络室</w:t>
      </w:r>
      <w:r>
        <w:rPr>
          <w:rFonts w:hint="eastAsia" w:ascii="Times New Roman" w:hAnsi="Times New Roman" w:eastAsia="仿宋_GB2312" w:cs="仿宋_GB2312"/>
          <w:bCs/>
          <w:kern w:val="0"/>
          <w:sz w:val="32"/>
          <w:szCs w:val="32"/>
          <w:lang w:val="en-US" w:eastAsia="zh-CN"/>
        </w:rPr>
        <w:t>等</w:t>
      </w:r>
      <w:r>
        <w:rPr>
          <w:rFonts w:hint="eastAsia" w:ascii="Times New Roman" w:hAnsi="Times New Roman" w:eastAsia="仿宋_GB2312" w:cs="仿宋_GB2312"/>
          <w:bCs/>
          <w:kern w:val="0"/>
          <w:sz w:val="32"/>
          <w:szCs w:val="32"/>
        </w:rPr>
        <w:t>9个内部机构。</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道县人民政府办公室2025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道县人民政府办公室</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6"/>
        <w:jc w:val="center"/>
        <w:rPr>
          <w:rFonts w:hint="eastAsia" w:ascii="方正小标宋_GBK" w:hAnsi="方正小标宋_GBK" w:eastAsia="方正小标宋_GBK" w:cs="方正小标宋_GBK"/>
          <w:sz w:val="84"/>
          <w:szCs w:val="84"/>
        </w:rPr>
      </w:pPr>
    </w:p>
    <w:p>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963" w:type="dxa"/>
        <w:tblInd w:w="0" w:type="dxa"/>
        <w:tblLayout w:type="fixed"/>
        <w:tblCellMar>
          <w:top w:w="0" w:type="dxa"/>
          <w:left w:w="0" w:type="dxa"/>
          <w:bottom w:w="0" w:type="dxa"/>
          <w:right w:w="0" w:type="dxa"/>
        </w:tblCellMar>
      </w:tblPr>
      <w:tblGrid>
        <w:gridCol w:w="303"/>
        <w:gridCol w:w="683"/>
        <w:gridCol w:w="16"/>
        <w:gridCol w:w="557"/>
        <w:gridCol w:w="263"/>
        <w:gridCol w:w="1175"/>
        <w:gridCol w:w="306"/>
        <w:gridCol w:w="292"/>
        <w:gridCol w:w="436"/>
        <w:gridCol w:w="333"/>
        <w:gridCol w:w="745"/>
        <w:gridCol w:w="146"/>
        <w:gridCol w:w="350"/>
        <w:gridCol w:w="317"/>
        <w:gridCol w:w="1324"/>
        <w:gridCol w:w="231"/>
        <w:gridCol w:w="1043"/>
        <w:gridCol w:w="632"/>
        <w:gridCol w:w="85"/>
        <w:gridCol w:w="39"/>
        <w:gridCol w:w="311"/>
        <w:gridCol w:w="1488"/>
        <w:gridCol w:w="85"/>
        <w:gridCol w:w="68"/>
        <w:gridCol w:w="1326"/>
        <w:gridCol w:w="320"/>
        <w:gridCol w:w="345"/>
        <w:gridCol w:w="729"/>
        <w:gridCol w:w="1480"/>
        <w:gridCol w:w="93"/>
        <w:gridCol w:w="442"/>
      </w:tblGrid>
      <w:tr>
        <w:tblPrEx>
          <w:tblCellMar>
            <w:top w:w="0" w:type="dxa"/>
            <w:left w:w="0" w:type="dxa"/>
            <w:bottom w:w="0" w:type="dxa"/>
            <w:right w:w="0" w:type="dxa"/>
          </w:tblCellMar>
        </w:tblPrEx>
        <w:trPr>
          <w:gridAfter w:val="2"/>
          <w:wAfter w:w="535" w:type="dxa"/>
          <w:trHeight w:val="519" w:hRule="atLeast"/>
        </w:trPr>
        <w:tc>
          <w:tcPr>
            <w:tcW w:w="15428" w:type="dxa"/>
            <w:gridSpan w:val="29"/>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95"/>
              <w:gridCol w:w="608"/>
              <w:gridCol w:w="1270"/>
              <w:gridCol w:w="4698"/>
              <w:gridCol w:w="1415"/>
              <w:gridCol w:w="1714"/>
              <w:gridCol w:w="1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95"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60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27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69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3129"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598" w:type="dxa"/>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9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60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69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129"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98"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95"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部门：道县人民政府办公室</w:t>
                  </w:r>
                </w:p>
              </w:tc>
              <w:tc>
                <w:tcPr>
                  <w:tcW w:w="60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7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698"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129"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598"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597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82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62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7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890.48</w:t>
                  </w: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768.17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86.33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九、卫生健康支出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b/>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35.98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31</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32</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十三、交通运输支出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33</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14</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34</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16</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十六、金融支出</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36</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890.48</w:t>
                  </w: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本年支出合计</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890.48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98" w:type="dxa"/>
                <w:trHeight w:val="62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98" w:type="dxa"/>
                <w:trHeight w:val="448" w:hRule="atLeast"/>
              </w:trPr>
              <w:tc>
                <w:tcPr>
                  <w:tcW w:w="40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890.48</w:t>
                  </w:r>
                </w:p>
              </w:tc>
              <w:tc>
                <w:tcPr>
                  <w:tcW w:w="4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4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40</w:t>
                  </w:r>
                </w:p>
              </w:tc>
              <w:tc>
                <w:tcPr>
                  <w:tcW w:w="1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890.48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gridAfter w:val="2"/>
          <w:wAfter w:w="535" w:type="dxa"/>
          <w:trHeight w:val="285" w:hRule="atLeast"/>
        </w:trPr>
        <w:tc>
          <w:tcPr>
            <w:tcW w:w="30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69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9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67"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8"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gridAfter w:val="2"/>
          <w:wAfter w:w="535" w:type="dxa"/>
          <w:trHeight w:val="285" w:hRule="atLeast"/>
        </w:trPr>
        <w:tc>
          <w:tcPr>
            <w:tcW w:w="1002"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995"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道县人民政府办公室</w:t>
            </w:r>
            <w:r>
              <w:rPr>
                <w:rFonts w:hint="eastAsia"/>
              </w:rPr>
              <w:t>　</w:t>
            </w:r>
          </w:p>
        </w:tc>
        <w:tc>
          <w:tcPr>
            <w:tcW w:w="1367"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8"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5"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799"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gridAfter w:val="2"/>
          <w:wAfter w:w="535" w:type="dxa"/>
          <w:trHeight w:val="320" w:hRule="atLeast"/>
        </w:trPr>
        <w:tc>
          <w:tcPr>
            <w:tcW w:w="2997"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367"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558" w:type="dxa"/>
            <w:gridSpan w:val="4"/>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5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99"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9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99"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54"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gridAfter w:val="2"/>
          <w:wAfter w:w="535" w:type="dxa"/>
          <w:trHeight w:val="450" w:hRule="atLeast"/>
        </w:trPr>
        <w:tc>
          <w:tcPr>
            <w:tcW w:w="1002"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995" w:type="dxa"/>
            <w:gridSpan w:val="3"/>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367"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8"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4"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2"/>
          <w:wAfter w:w="535" w:type="dxa"/>
          <w:trHeight w:val="312" w:hRule="atLeast"/>
        </w:trPr>
        <w:tc>
          <w:tcPr>
            <w:tcW w:w="1002"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95" w:type="dxa"/>
            <w:gridSpan w:val="3"/>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67"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8"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4"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gridAfter w:val="2"/>
          <w:wAfter w:w="535" w:type="dxa"/>
          <w:trHeight w:val="345" w:hRule="atLeast"/>
        </w:trPr>
        <w:tc>
          <w:tcPr>
            <w:tcW w:w="2997"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367"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558"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5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799"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9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799"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54"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gridAfter w:val="2"/>
          <w:wAfter w:w="535" w:type="dxa"/>
          <w:trHeight w:val="345" w:hRule="atLeast"/>
        </w:trPr>
        <w:tc>
          <w:tcPr>
            <w:tcW w:w="2997"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890.48</w:t>
            </w:r>
            <w:r>
              <w:rPr>
                <w:rFonts w:hint="eastAsia"/>
              </w:rPr>
              <w:t>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890.48</w:t>
            </w:r>
            <w:r>
              <w:rPr>
                <w:rFonts w:hint="eastAsia"/>
              </w:rPr>
              <w:t>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390"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768.17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768.17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450"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color w:val="0000FF"/>
                <w:lang w:val="en-US" w:eastAsia="zh-CN"/>
              </w:rPr>
            </w:pPr>
            <w:r>
              <w:rPr>
                <w:rFonts w:hint="eastAsia"/>
                <w:lang w:val="en-US" w:eastAsia="zh-CN"/>
              </w:rPr>
              <w:t>768.17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color w:val="0000FF"/>
                <w:lang w:val="en-US" w:eastAsia="zh-CN"/>
              </w:rPr>
            </w:pPr>
            <w:r>
              <w:rPr>
                <w:rFonts w:hint="eastAsia"/>
                <w:lang w:val="en-US" w:eastAsia="zh-CN"/>
              </w:rPr>
              <w:t>768.17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330"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657.64</w:t>
            </w:r>
            <w:r>
              <w:rPr>
                <w:rFonts w:hint="eastAsia"/>
              </w:rPr>
              <w:t>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657.64</w:t>
            </w:r>
            <w:r>
              <w:rPr>
                <w:rFonts w:hint="eastAsia"/>
              </w:rPr>
              <w:t>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846"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110.53</w:t>
            </w:r>
            <w:r>
              <w:rPr>
                <w:rFonts w:hint="eastAsia"/>
              </w:rPr>
              <w:t>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110.53</w:t>
            </w:r>
            <w:r>
              <w:rPr>
                <w:rFonts w:hint="eastAsia"/>
              </w:rPr>
              <w:t>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504"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86.33</w:t>
            </w:r>
            <w:r>
              <w:rPr>
                <w:rFonts w:hint="eastAsia"/>
              </w:rPr>
              <w:t>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86.33</w:t>
            </w:r>
            <w:r>
              <w:rPr>
                <w:rFonts w:hint="eastAsia"/>
              </w:rPr>
              <w:t>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450"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65.84</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65.84</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2"/>
          <w:wAfter w:w="535" w:type="dxa"/>
          <w:trHeight w:val="771"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ind w:firstLine="220" w:firstLineChars="1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65.84</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65.84</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2"/>
          <w:wAfter w:w="535" w:type="dxa"/>
          <w:trHeight w:val="372"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抚恤</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20.49</w:t>
            </w:r>
            <w:r>
              <w:rPr>
                <w:rFonts w:hint="eastAsia"/>
              </w:rPr>
              <w:t>　</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20.49</w:t>
            </w:r>
            <w:r>
              <w:rPr>
                <w:rFonts w:hint="eastAsia"/>
              </w:rPr>
              <w:t>　</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gridAfter w:val="2"/>
          <w:wAfter w:w="535" w:type="dxa"/>
          <w:trHeight w:val="90"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20.49</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20.49</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2"/>
          <w:wAfter w:w="535" w:type="dxa"/>
          <w:trHeight w:val="435"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35.98</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35.98</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2"/>
          <w:wAfter w:w="535" w:type="dxa"/>
          <w:trHeight w:val="357"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35.98</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35.98</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2"/>
          <w:wAfter w:w="535" w:type="dxa"/>
          <w:trHeight w:val="390" w:hRule="atLeast"/>
        </w:trPr>
        <w:tc>
          <w:tcPr>
            <w:tcW w:w="1002"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1995"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ind w:firstLine="220" w:firstLineChars="1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367"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35.98</w:t>
            </w:r>
          </w:p>
        </w:tc>
        <w:tc>
          <w:tcPr>
            <w:tcW w:w="1558"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lang w:val="en-US" w:eastAsia="zh-CN"/>
              </w:rPr>
            </w:pPr>
            <w:r>
              <w:rPr>
                <w:rFonts w:hint="eastAsia"/>
                <w:lang w:val="en-US" w:eastAsia="zh-CN"/>
              </w:rPr>
              <w:t>35.98</w:t>
            </w:r>
          </w:p>
        </w:tc>
        <w:tc>
          <w:tcPr>
            <w:tcW w:w="155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99"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4"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gridAfter w:val="2"/>
          <w:wAfter w:w="535" w:type="dxa"/>
          <w:trHeight w:val="615" w:hRule="atLeast"/>
        </w:trPr>
        <w:tc>
          <w:tcPr>
            <w:tcW w:w="15428" w:type="dxa"/>
            <w:gridSpan w:val="29"/>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r>
        <w:tblPrEx>
          <w:tblCellMar>
            <w:top w:w="0" w:type="dxa"/>
            <w:left w:w="108" w:type="dxa"/>
            <w:bottom w:w="0" w:type="dxa"/>
            <w:right w:w="108" w:type="dxa"/>
          </w:tblCellMar>
        </w:tblPrEx>
        <w:trPr>
          <w:trHeight w:val="507" w:hRule="atLeast"/>
        </w:trPr>
        <w:tc>
          <w:tcPr>
            <w:tcW w:w="15963" w:type="dxa"/>
            <w:gridSpan w:val="3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559"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3303" w:type="dxa"/>
            <w:gridSpan w:val="7"/>
            <w:tcBorders>
              <w:top w:val="nil"/>
              <w:left w:val="nil"/>
              <w:bottom w:val="nil"/>
              <w:right w:val="nil"/>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道县人民政府办公室</w:t>
            </w:r>
          </w:p>
        </w:tc>
        <w:tc>
          <w:tcPr>
            <w:tcW w:w="1952"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4"/>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3303" w:type="dxa"/>
            <w:gridSpan w:val="7"/>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822"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gridSpan w:val="2"/>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822"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303"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gridSpan w:val="5"/>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gridSpan w:val="5"/>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17" w:hRule="atLeast"/>
        </w:trPr>
        <w:tc>
          <w:tcPr>
            <w:tcW w:w="3303" w:type="dxa"/>
            <w:gridSpan w:val="7"/>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rPr>
              <w:t>合计</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890.48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779.23</w:t>
            </w:r>
          </w:p>
        </w:tc>
        <w:tc>
          <w:tcPr>
            <w:tcW w:w="1991" w:type="dxa"/>
            <w:gridSpan w:val="4"/>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111.25</w:t>
            </w:r>
          </w:p>
        </w:tc>
        <w:tc>
          <w:tcPr>
            <w:tcW w:w="1991"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768.17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656.92</w:t>
            </w:r>
          </w:p>
        </w:tc>
        <w:tc>
          <w:tcPr>
            <w:tcW w:w="1991" w:type="dxa"/>
            <w:gridSpan w:val="4"/>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111.25</w:t>
            </w:r>
          </w:p>
        </w:tc>
        <w:tc>
          <w:tcPr>
            <w:tcW w:w="1991"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768.17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0.00</w:t>
            </w:r>
          </w:p>
        </w:tc>
        <w:tc>
          <w:tcPr>
            <w:tcW w:w="1991" w:type="dxa"/>
            <w:gridSpan w:val="4"/>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111.25</w:t>
            </w:r>
          </w:p>
        </w:tc>
        <w:tc>
          <w:tcPr>
            <w:tcW w:w="1991"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657.64</w:t>
            </w:r>
            <w:r>
              <w:rPr>
                <w:rFonts w:hint="eastAsia"/>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656.92</w:t>
            </w:r>
          </w:p>
        </w:tc>
        <w:tc>
          <w:tcPr>
            <w:tcW w:w="1991" w:type="dxa"/>
            <w:gridSpan w:val="4"/>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0.72</w:t>
            </w:r>
          </w:p>
        </w:tc>
        <w:tc>
          <w:tcPr>
            <w:tcW w:w="1991"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110.53</w:t>
            </w:r>
            <w:r>
              <w:rPr>
                <w:rFonts w:hint="eastAsia"/>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0.00</w:t>
            </w:r>
          </w:p>
        </w:tc>
        <w:tc>
          <w:tcPr>
            <w:tcW w:w="1991" w:type="dxa"/>
            <w:gridSpan w:val="4"/>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110.53</w:t>
            </w:r>
          </w:p>
        </w:tc>
        <w:tc>
          <w:tcPr>
            <w:tcW w:w="1991"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lang w:val="en-US" w:eastAsia="zh-CN"/>
              </w:rPr>
              <w:t>86.33</w:t>
            </w:r>
            <w:r>
              <w:rPr>
                <w:rFonts w:hint="eastAsia"/>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default" w:ascii="宋体" w:hAnsi="宋体" w:eastAsia="宋体" w:cs="宋体"/>
                <w:kern w:val="0"/>
                <w:sz w:val="24"/>
                <w:szCs w:val="24"/>
                <w:lang w:val="en-US"/>
              </w:rPr>
            </w:pPr>
            <w:r>
              <w:rPr>
                <w:rFonts w:hint="eastAsia"/>
                <w:lang w:val="en-US" w:eastAsia="zh-CN"/>
              </w:rPr>
              <w:t>86.33</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65.84</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65.84</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65.84</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65.84</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lang w:val="en-US" w:eastAsia="zh-CN"/>
              </w:rPr>
              <w:t>20.49</w:t>
            </w:r>
            <w:r>
              <w:rPr>
                <w:rFonts w:hint="eastAsia"/>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lang w:val="en-US" w:eastAsia="zh-CN"/>
              </w:rPr>
              <w:t>20.49</w:t>
            </w:r>
            <w:r>
              <w:rPr>
                <w:rFonts w:hint="eastAsia"/>
              </w:rPr>
              <w:t>　</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20.49</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20.49</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35.98</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35.98</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35.98</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35.98</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98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317" w:type="dxa"/>
            <w:gridSpan w:val="5"/>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ind w:firstLine="220" w:firstLineChars="10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952" w:type="dxa"/>
            <w:gridSpan w:val="5"/>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lang w:val="en-US" w:eastAsia="zh-CN"/>
              </w:rPr>
              <w:t>35.98</w:t>
            </w:r>
          </w:p>
        </w:tc>
        <w:tc>
          <w:tcPr>
            <w:tcW w:w="1991"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r>
              <w:rPr>
                <w:rFonts w:hint="eastAsia"/>
                <w:lang w:val="en-US" w:eastAsia="zh-CN"/>
              </w:rPr>
              <w:t>35.98</w:t>
            </w:r>
          </w:p>
        </w:tc>
        <w:tc>
          <w:tcPr>
            <w:tcW w:w="1991"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5"/>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gridSpan w:val="4"/>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963" w:type="dxa"/>
            <w:gridSpan w:val="3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blPrEx>
          <w:tblCellMar>
            <w:top w:w="0" w:type="dxa"/>
            <w:left w:w="108" w:type="dxa"/>
            <w:bottom w:w="0" w:type="dxa"/>
            <w:right w:w="108" w:type="dxa"/>
          </w:tblCellMar>
        </w:tblPrEx>
        <w:trPr>
          <w:gridAfter w:val="1"/>
          <w:wAfter w:w="442" w:type="dxa"/>
          <w:trHeight w:val="285" w:hRule="atLeast"/>
        </w:trPr>
        <w:tc>
          <w:tcPr>
            <w:tcW w:w="3595" w:type="dxa"/>
            <w:gridSpan w:val="8"/>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4"/>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5"/>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gridSpan w:val="3"/>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gridSpan w:val="3"/>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gridAfter w:val="1"/>
          <w:wAfter w:w="442" w:type="dxa"/>
          <w:trHeight w:val="360" w:hRule="atLeast"/>
        </w:trPr>
        <w:tc>
          <w:tcPr>
            <w:tcW w:w="15521" w:type="dxa"/>
            <w:gridSpan w:val="30"/>
            <w:tcBorders>
              <w:top w:val="nil"/>
              <w:left w:val="nil"/>
              <w:bottom w:val="nil"/>
              <w:right w:val="nil"/>
            </w:tcBorders>
            <w:shd w:val="clear" w:color="auto" w:fill="auto"/>
            <w:noWrap/>
            <w:vAlign w:val="center"/>
          </w:tcPr>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hint="eastAsia" w:ascii="华文中宋" w:hAnsi="华文中宋" w:eastAsia="华文中宋" w:cs="宋体"/>
                <w:color w:val="000000"/>
                <w:kern w:val="0"/>
                <w:sz w:val="32"/>
                <w:szCs w:val="32"/>
              </w:rPr>
            </w:pPr>
          </w:p>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gridAfter w:val="1"/>
          <w:wAfter w:w="442" w:type="dxa"/>
          <w:trHeight w:val="199" w:hRule="atLeast"/>
        </w:trPr>
        <w:tc>
          <w:tcPr>
            <w:tcW w:w="3595" w:type="dxa"/>
            <w:gridSpan w:val="8"/>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7"/>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gridAfter w:val="1"/>
          <w:wAfter w:w="442" w:type="dxa"/>
          <w:trHeight w:val="300" w:hRule="atLeast"/>
        </w:trPr>
        <w:tc>
          <w:tcPr>
            <w:tcW w:w="3595" w:type="dxa"/>
            <w:gridSpan w:val="8"/>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bidi="ar"/>
              </w:rPr>
              <w:t>道县人民政府办公室</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7"/>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442" w:type="dxa"/>
          <w:trHeight w:val="402" w:hRule="atLeast"/>
        </w:trPr>
        <w:tc>
          <w:tcPr>
            <w:tcW w:w="5109" w:type="dxa"/>
            <w:gridSpan w:val="11"/>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19"/>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gridAfter w:val="1"/>
          <w:wAfter w:w="442" w:type="dxa"/>
          <w:trHeight w:val="630"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890.48</w:t>
            </w: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768.17</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768.17</w:t>
            </w: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24</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25</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26</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27</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28</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29</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8</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30</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86.33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86.33</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9</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31</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35.98</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35.98</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10</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11</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12</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34</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13</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35</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14</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36</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15</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37</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16</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6"/>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lang w:val="en-US" w:eastAsia="zh-CN"/>
              </w:rPr>
              <w:t>38</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17</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890.48</w:t>
            </w: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39</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890.48</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890.48</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w:t>
            </w:r>
            <w:r>
              <w:rPr>
                <w:rFonts w:hint="eastAsia" w:ascii="宋体" w:hAnsi="宋体" w:eastAsia="宋体" w:cs="宋体"/>
                <w:kern w:val="0"/>
                <w:sz w:val="22"/>
              </w:rPr>
              <w:t>8</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40</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19</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41</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20</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21</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442" w:type="dxa"/>
          <w:trHeight w:val="402" w:hRule="atLeast"/>
        </w:trPr>
        <w:tc>
          <w:tcPr>
            <w:tcW w:w="3595" w:type="dxa"/>
            <w:gridSpan w:val="8"/>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22</w:t>
            </w:r>
          </w:p>
        </w:tc>
        <w:tc>
          <w:tcPr>
            <w:tcW w:w="107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890.48</w:t>
            </w:r>
            <w:r>
              <w:rPr>
                <w:rFonts w:hint="eastAsia" w:ascii="宋体" w:hAnsi="宋体" w:eastAsia="宋体" w:cs="宋体"/>
                <w:kern w:val="0"/>
                <w:sz w:val="22"/>
              </w:rPr>
              <w:t>　</w:t>
            </w:r>
          </w:p>
        </w:tc>
        <w:tc>
          <w:tcPr>
            <w:tcW w:w="3411" w:type="dxa"/>
            <w:gridSpan w:val="6"/>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44</w:t>
            </w:r>
          </w:p>
        </w:tc>
        <w:tc>
          <w:tcPr>
            <w:tcW w:w="1573"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890.48</w:t>
            </w: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890.48</w:t>
            </w:r>
            <w:r>
              <w:rPr>
                <w:rFonts w:hint="eastAsia" w:ascii="宋体" w:hAnsi="宋体" w:eastAsia="宋体" w:cs="宋体"/>
                <w:kern w:val="0"/>
                <w:sz w:val="22"/>
              </w:rPr>
              <w:t>　</w:t>
            </w:r>
          </w:p>
        </w:tc>
        <w:tc>
          <w:tcPr>
            <w:tcW w:w="139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gridAfter w:val="1"/>
          <w:wAfter w:w="442" w:type="dxa"/>
          <w:trHeight w:val="585" w:hRule="atLeast"/>
        </w:trPr>
        <w:tc>
          <w:tcPr>
            <w:tcW w:w="15521" w:type="dxa"/>
            <w:gridSpan w:val="3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pStyle w:val="9"/>
        <w:rPr>
          <w:rFonts w:ascii="Times New Roman" w:hAnsi="Times New Roman" w:eastAsia="方正小标宋_GBK" w:cs="Times New Roman"/>
          <w:kern w:val="0"/>
          <w:sz w:val="36"/>
          <w:szCs w:val="36"/>
        </w:rPr>
      </w:pPr>
    </w:p>
    <w:p>
      <w:pPr>
        <w:pStyle w:val="5"/>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9"/>
        <w:rPr>
          <w:rFonts w:ascii="Times New Roman" w:hAnsi="Times New Roman" w:eastAsia="方正小标宋_GBK" w:cs="Times New Roman"/>
          <w:kern w:val="0"/>
          <w:sz w:val="36"/>
          <w:szCs w:val="36"/>
        </w:rPr>
      </w:pPr>
    </w:p>
    <w:p>
      <w:pPr>
        <w:pStyle w:val="5"/>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widowControl/>
        <w:jc w:val="both"/>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道县人民政府办公室</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center"/>
              <w:rPr>
                <w:rFonts w:ascii="宋体" w:hAnsi="宋体" w:eastAsia="宋体" w:cs="宋体"/>
                <w:kern w:val="0"/>
                <w:sz w:val="24"/>
                <w:szCs w:val="24"/>
                <w:lang w:val="en-US" w:eastAsia="zh-CN" w:bidi="ar-SA"/>
              </w:rPr>
            </w:pPr>
            <w:r>
              <w:rPr>
                <w:rFonts w:hint="eastAsia"/>
              </w:rPr>
              <w:t>合计</w:t>
            </w:r>
          </w:p>
        </w:tc>
        <w:tc>
          <w:tcPr>
            <w:tcW w:w="3527"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890.48　</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890.48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779.23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111.25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768.17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656.92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111.25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768.17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111.25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657.64</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656.92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0.72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110.53</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110.53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lang w:val="en-US" w:eastAsia="zh-CN"/>
              </w:rPr>
              <w:t>86.33</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lang w:val="en-US" w:eastAsia="zh-CN"/>
              </w:rPr>
              <w:t>86.33</w:t>
            </w: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lang w:val="en-US" w:eastAsia="zh-CN"/>
              </w:rPr>
              <w:t>65.84</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lang w:val="en-US" w:eastAsia="zh-CN"/>
              </w:rPr>
              <w:t>65.84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65.84</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65.84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20.49</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20.49</w:t>
            </w:r>
            <w:r>
              <w:rPr>
                <w:rFonts w:hint="eastAsia"/>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20.49</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20.49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35.98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35.98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35.98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lang w:val="en-US" w:eastAsia="zh-CN"/>
              </w:rPr>
            </w:pPr>
            <w:r>
              <w:rPr>
                <w:rFonts w:hint="eastAsia"/>
                <w:lang w:val="en-US" w:eastAsia="zh-CN"/>
              </w:rPr>
              <w:t>35.98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ind w:firstLine="220" w:firstLineChars="100"/>
              <w:jc w:val="left"/>
              <w:textAlignment w:val="center"/>
              <w:rPr>
                <w:rFonts w:hint="eastAsia" w:ascii="宋体" w:hAnsi="宋体" w:eastAsia="宋体" w:cs="宋体"/>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lang w:val="en-US" w:eastAsia="zh-CN"/>
              </w:rPr>
              <w:t>35.98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r>
              <w:rPr>
                <w:rFonts w:hint="eastAsia"/>
                <w:lang w:val="en-US" w:eastAsia="zh-CN"/>
              </w:rPr>
              <w:t>35.98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991"/>
        <w:gridCol w:w="181"/>
        <w:gridCol w:w="59"/>
        <w:gridCol w:w="1385"/>
        <w:gridCol w:w="2031"/>
        <w:gridCol w:w="77"/>
        <w:gridCol w:w="1076"/>
        <w:gridCol w:w="890"/>
        <w:gridCol w:w="306"/>
        <w:gridCol w:w="1979"/>
        <w:gridCol w:w="112"/>
        <w:gridCol w:w="1256"/>
        <w:gridCol w:w="838"/>
        <w:gridCol w:w="176"/>
        <w:gridCol w:w="1915"/>
        <w:gridCol w:w="1443"/>
        <w:gridCol w:w="648"/>
        <w:gridCol w:w="251"/>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道县人民政府办公室</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1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475"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5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8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6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35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700.17</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58.56</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286.73</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1.00</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117.11</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1.38</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131.46</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10.82</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3.50</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65.84</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4.05</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35.98</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8.02</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36.83</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rPr>
            </w:pPr>
            <w:r>
              <w:rPr>
                <w:rFonts w:hint="eastAsia" w:ascii="宋体" w:hAnsi="宋体" w:eastAsia="宋体" w:cs="宋体"/>
                <w:color w:val="000000"/>
                <w:kern w:val="0"/>
                <w:szCs w:val="20"/>
                <w:lang w:val="en-US" w:eastAsia="zh-CN"/>
              </w:rPr>
              <w:t>3.88</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20.49</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0.2</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lang w:val="en-US" w:eastAsia="zh-CN"/>
              </w:rPr>
              <w:t>20.49</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13.00</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38.33</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47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8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36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3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64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5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720.66</w:t>
            </w:r>
          </w:p>
        </w:tc>
        <w:tc>
          <w:tcPr>
            <w:tcW w:w="891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9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20"/>
                <w:lang w:val="en-US" w:eastAsia="zh-CN"/>
              </w:rPr>
              <w:t>58.56</w:t>
            </w:r>
            <w:r>
              <w:rPr>
                <w:rFonts w:hint="eastAsia" w:ascii="宋体" w:hAnsi="宋体" w:eastAsia="宋体" w:cs="宋体"/>
                <w:color w:val="000000"/>
                <w:kern w:val="0"/>
                <w:szCs w:val="18"/>
              </w:rPr>
              <w:t>　</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345" w:hRule="atLeast"/>
        </w:trPr>
        <w:tc>
          <w:tcPr>
            <w:tcW w:w="99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85"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0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4"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2616" w:type="dxa"/>
            <w:gridSpan w:val="4"/>
            <w:tcBorders>
              <w:top w:val="nil"/>
              <w:left w:val="nil"/>
              <w:bottom w:val="nil"/>
              <w:right w:val="nil"/>
            </w:tcBorders>
            <w:shd w:val="clear" w:color="auto" w:fill="FFFFFF"/>
            <w:noWrap/>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部门：道县人民政府办公室</w:t>
            </w:r>
          </w:p>
        </w:tc>
        <w:tc>
          <w:tcPr>
            <w:tcW w:w="210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4"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5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9"/>
                <w:lang w:val="en-US" w:eastAsia="zh-CN" w:bidi="ar"/>
              </w:rPr>
              <w:t xml:space="preserve">   </w:t>
            </w:r>
            <w:r>
              <w:rPr>
                <w:rStyle w:val="20"/>
                <w:lang w:val="en-US" w:eastAsia="zh-CN" w:bidi="ar"/>
              </w:rPr>
              <w:t>目</w:t>
            </w:r>
          </w:p>
        </w:tc>
        <w:tc>
          <w:tcPr>
            <w:tcW w:w="2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09" w:hRule="atLeast"/>
        </w:trPr>
        <w:tc>
          <w:tcPr>
            <w:tcW w:w="12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09" w:hRule="atLeast"/>
        </w:trPr>
        <w:tc>
          <w:tcPr>
            <w:tcW w:w="12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645"/>
        <w:gridCol w:w="2076"/>
        <w:gridCol w:w="2979"/>
        <w:gridCol w:w="2979"/>
        <w:gridCol w:w="38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部门：道县人民政府办公室</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1183"/>
        <w:gridCol w:w="1095"/>
        <w:gridCol w:w="1095"/>
        <w:gridCol w:w="1096"/>
        <w:gridCol w:w="1162"/>
        <w:gridCol w:w="1162"/>
        <w:gridCol w:w="1184"/>
        <w:gridCol w:w="1096"/>
        <w:gridCol w:w="1096"/>
        <w:gridCol w:w="1096"/>
        <w:gridCol w:w="12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61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8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6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6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84"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部门：道县人民政府办公室</w:t>
            </w:r>
          </w:p>
        </w:tc>
        <w:tc>
          <w:tcPr>
            <w:tcW w:w="118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6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6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184"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09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824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68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2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2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1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1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2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1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26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2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4.00</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0.00</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6"/>
        <w:rPr>
          <w:sz w:val="72"/>
          <w:szCs w:val="72"/>
        </w:rPr>
      </w:pPr>
    </w:p>
    <w:p>
      <w:pPr>
        <w:pStyle w:val="16"/>
        <w:rPr>
          <w:sz w:val="72"/>
          <w:szCs w:val="72"/>
        </w:rPr>
      </w:pPr>
    </w:p>
    <w:p>
      <w:pPr>
        <w:pStyle w:val="16"/>
        <w:rPr>
          <w:sz w:val="72"/>
          <w:szCs w:val="72"/>
        </w:rPr>
      </w:pPr>
    </w:p>
    <w:p>
      <w:pPr>
        <w:pStyle w:val="16"/>
        <w:rPr>
          <w:sz w:val="72"/>
          <w:szCs w:val="72"/>
        </w:rPr>
      </w:pPr>
    </w:p>
    <w:p>
      <w:pPr>
        <w:pStyle w:val="16"/>
        <w:jc w:val="center"/>
        <w:rPr>
          <w:sz w:val="72"/>
          <w:szCs w:val="72"/>
        </w:rPr>
      </w:pPr>
    </w:p>
    <w:p>
      <w:pPr>
        <w:pStyle w:val="16"/>
        <w:jc w:val="center"/>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6"/>
        <w:jc w:val="center"/>
        <w:rPr>
          <w:rFonts w:hint="eastAsia" w:ascii="方正小标宋_GBK" w:hAnsi="方正小标宋_GBK" w:eastAsia="方正小标宋_GBK" w:cs="方正小标宋_GBK"/>
          <w:sz w:val="70"/>
          <w:szCs w:val="70"/>
        </w:rPr>
      </w:pPr>
    </w:p>
    <w:p>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万元。与上年</w:t>
      </w:r>
      <w:r>
        <w:rPr>
          <w:rFonts w:hint="eastAsia" w:ascii="Times New Roman" w:hAnsi="Times New Roman" w:eastAsia="仿宋_GB2312"/>
          <w:sz w:val="32"/>
          <w:szCs w:val="32"/>
          <w:lang w:val="en-US" w:eastAsia="zh-CN"/>
        </w:rPr>
        <w:t>1027.94</w:t>
      </w:r>
      <w:r>
        <w:rPr>
          <w:rFonts w:hint="eastAsia" w:ascii="Times New Roman" w:hAnsi="Times New Roman" w:eastAsia="仿宋_GB2312"/>
          <w:sz w:val="32"/>
          <w:szCs w:val="32"/>
        </w:rPr>
        <w:t>万元相比，减少</w:t>
      </w:r>
      <w:r>
        <w:rPr>
          <w:rFonts w:hint="eastAsia" w:ascii="Times New Roman" w:hAnsi="Times New Roman" w:eastAsia="仿宋_GB2312"/>
          <w:sz w:val="32"/>
          <w:szCs w:val="32"/>
          <w:lang w:val="en-US" w:eastAsia="zh-CN"/>
        </w:rPr>
        <w:t>137.46</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13.37</w:t>
      </w:r>
      <w:r>
        <w:rPr>
          <w:rFonts w:hint="eastAsia" w:ascii="Times New Roman" w:hAnsi="Times New Roman" w:eastAsia="仿宋_GB2312"/>
          <w:sz w:val="32"/>
          <w:szCs w:val="32"/>
        </w:rPr>
        <w:t>%，主要是因为按照县财政要求，压缩了经费标准。</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779.23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87.51</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111.25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12.49</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6"/>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万元，与上年</w:t>
      </w:r>
      <w:r>
        <w:rPr>
          <w:rFonts w:hint="eastAsia" w:ascii="Times New Roman" w:hAnsi="Times New Roman" w:eastAsia="仿宋_GB2312"/>
          <w:sz w:val="32"/>
          <w:szCs w:val="32"/>
          <w:lang w:val="en-US" w:eastAsia="zh-CN"/>
        </w:rPr>
        <w:t>1027.94</w:t>
      </w:r>
      <w:r>
        <w:rPr>
          <w:rFonts w:hint="eastAsia" w:ascii="Times New Roman" w:hAnsi="Times New Roman" w:eastAsia="仿宋_GB2312"/>
          <w:sz w:val="32"/>
          <w:szCs w:val="32"/>
        </w:rPr>
        <w:t>万元相比，减少</w:t>
      </w:r>
      <w:r>
        <w:rPr>
          <w:rFonts w:hint="eastAsia" w:ascii="Times New Roman" w:hAnsi="Times New Roman" w:eastAsia="仿宋_GB2312"/>
          <w:sz w:val="32"/>
          <w:szCs w:val="32"/>
          <w:lang w:val="en-US" w:eastAsia="zh-CN"/>
        </w:rPr>
        <w:t>137.46</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13.37</w:t>
      </w:r>
      <w:r>
        <w:rPr>
          <w:rFonts w:hint="eastAsia" w:ascii="Times New Roman" w:hAnsi="Times New Roman" w:eastAsia="仿宋_GB2312"/>
          <w:sz w:val="32"/>
          <w:szCs w:val="32"/>
        </w:rPr>
        <w:t>%，主要是因为按照县财政要求，压缩了经费标准。</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1027.94</w:t>
      </w:r>
      <w:r>
        <w:rPr>
          <w:rFonts w:hint="eastAsia" w:ascii="Times New Roman" w:hAnsi="Times New Roman" w:eastAsia="仿宋_GB2312"/>
          <w:sz w:val="32"/>
          <w:szCs w:val="32"/>
        </w:rPr>
        <w:t>万元相比，财政拨款支出</w:t>
      </w:r>
      <w:r>
        <w:rPr>
          <w:rFonts w:hint="eastAsia" w:ascii="Times New Roman" w:hAnsi="Times New Roman" w:eastAsia="仿宋_GB2312"/>
          <w:sz w:val="32"/>
          <w:szCs w:val="32"/>
          <w:lang w:val="en-US" w:eastAsia="zh-CN"/>
        </w:rPr>
        <w:t>减少137.46</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13.37</w:t>
      </w:r>
      <w:r>
        <w:rPr>
          <w:rFonts w:hint="eastAsia" w:ascii="Times New Roman" w:hAnsi="Times New Roman" w:eastAsia="仿宋_GB2312"/>
          <w:sz w:val="32"/>
          <w:szCs w:val="32"/>
        </w:rPr>
        <w:t>%，主要是因为按照县财政要求，压缩了经费标准。</w:t>
      </w:r>
    </w:p>
    <w:p>
      <w:pPr>
        <w:pStyle w:val="16"/>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768.17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86.26</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86.33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9.70</w:t>
      </w:r>
      <w:r>
        <w:rPr>
          <w:rFonts w:hint="eastAsia" w:ascii="Times New Roman" w:hAnsi="Times New Roman" w:eastAsia="仿宋_GB2312"/>
          <w:sz w:val="32"/>
          <w:szCs w:val="32"/>
        </w:rPr>
        <w:t>%；卫生健康支出35.98万元，占总收入比重是4.04%。</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Times New Roman" w:hAnsi="Times New Roman" w:eastAsia="仿宋_GB2312"/>
          <w:color w:val="auto"/>
          <w:sz w:val="32"/>
          <w:szCs w:val="32"/>
        </w:rPr>
        <w:t>度财政拨款支出年初预算数为</w:t>
      </w:r>
      <w:r>
        <w:rPr>
          <w:rFonts w:hint="eastAsia" w:ascii="Times New Roman" w:hAnsi="Times New Roman" w:eastAsia="仿宋_GB2312"/>
          <w:color w:val="auto"/>
          <w:sz w:val="32"/>
          <w:szCs w:val="32"/>
          <w:lang w:val="en-US" w:eastAsia="zh-CN"/>
        </w:rPr>
        <w:t>864.10</w:t>
      </w:r>
      <w:r>
        <w:rPr>
          <w:rFonts w:hint="eastAsia" w:ascii="Times New Roman" w:hAnsi="Times New Roman" w:eastAsia="仿宋_GB2312"/>
          <w:color w:val="auto"/>
          <w:sz w:val="32"/>
          <w:szCs w:val="32"/>
        </w:rPr>
        <w:t>万元，支出决算数为</w:t>
      </w:r>
      <w:r>
        <w:rPr>
          <w:rFonts w:hint="eastAsia" w:ascii="Times New Roman" w:hAnsi="Times New Roman" w:eastAsia="仿宋_GB2312"/>
          <w:color w:val="auto"/>
          <w:sz w:val="32"/>
          <w:szCs w:val="32"/>
          <w:lang w:val="en-US" w:eastAsia="zh-CN"/>
        </w:rPr>
        <w:t>890.48</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103.05</w:t>
      </w:r>
      <w:r>
        <w:rPr>
          <w:rFonts w:hint="eastAsia" w:ascii="Times New Roman" w:hAnsi="Times New Roman" w:eastAsia="仿宋_GB2312"/>
          <w:color w:val="auto"/>
          <w:sz w:val="32"/>
          <w:szCs w:val="32"/>
        </w:rPr>
        <w:t>%，其中：</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1、一般公共服务</w:t>
      </w:r>
      <w:r>
        <w:rPr>
          <w:rFonts w:hint="eastAsia" w:ascii="Times New Roman" w:hAnsi="Times New Roman" w:eastAsia="仿宋_GB2312"/>
          <w:color w:val="auto"/>
          <w:sz w:val="32"/>
          <w:szCs w:val="32"/>
          <w:lang w:val="en-US" w:eastAsia="zh-CN"/>
        </w:rPr>
        <w:t>支出</w:t>
      </w:r>
      <w:r>
        <w:rPr>
          <w:rFonts w:hint="eastAsia" w:ascii="Times New Roman" w:hAnsi="Times New Roman" w:eastAsia="仿宋_GB2312"/>
          <w:color w:val="auto"/>
          <w:sz w:val="32"/>
          <w:szCs w:val="32"/>
        </w:rPr>
        <w:t>（类）政府办公厅（室）及相关机构事务（款）行政运行（项）。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727.61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656.92</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90.28</w:t>
      </w:r>
      <w:r>
        <w:rPr>
          <w:rFonts w:hint="eastAsia" w:ascii="Times New Roman" w:hAnsi="Times New Roman" w:eastAsia="仿宋_GB2312"/>
          <w:color w:val="auto"/>
          <w:sz w:val="32"/>
          <w:szCs w:val="32"/>
        </w:rPr>
        <w:t>%，决算数小于年初预算数的主要原因是：按照县财政要求，压缩了经费标准</w:t>
      </w:r>
      <w:r>
        <w:rPr>
          <w:rFonts w:hint="eastAsia" w:ascii="Times New Roman" w:hAnsi="Times New Roman" w:eastAsia="仿宋_GB2312"/>
          <w:color w:val="auto"/>
          <w:sz w:val="32"/>
          <w:szCs w:val="32"/>
          <w:lang w:val="en-US"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2、一般公共服务</w:t>
      </w:r>
      <w:r>
        <w:rPr>
          <w:rFonts w:hint="eastAsia" w:ascii="Times New Roman" w:hAnsi="Times New Roman" w:eastAsia="仿宋_GB2312"/>
          <w:color w:val="auto"/>
          <w:sz w:val="32"/>
          <w:szCs w:val="32"/>
          <w:lang w:val="en-US" w:eastAsia="zh-CN"/>
        </w:rPr>
        <w:t>支出</w:t>
      </w:r>
      <w:r>
        <w:rPr>
          <w:rFonts w:hint="eastAsia" w:ascii="Times New Roman" w:hAnsi="Times New Roman" w:eastAsia="仿宋_GB2312"/>
          <w:color w:val="auto"/>
          <w:sz w:val="32"/>
          <w:szCs w:val="32"/>
        </w:rPr>
        <w:t>（类）政府办公厅（室）及相关机构事务（款）</w:t>
      </w:r>
      <w:r>
        <w:rPr>
          <w:rFonts w:hint="eastAsia" w:ascii="Times New Roman" w:hAnsi="Times New Roman" w:eastAsia="仿宋_GB2312"/>
          <w:color w:val="auto"/>
          <w:sz w:val="32"/>
          <w:szCs w:val="32"/>
          <w:lang w:val="en-US" w:eastAsia="zh-CN"/>
        </w:rPr>
        <w:t>其他</w:t>
      </w:r>
      <w:r>
        <w:rPr>
          <w:rFonts w:hint="eastAsia" w:ascii="Times New Roman" w:hAnsi="Times New Roman" w:eastAsia="仿宋_GB2312"/>
          <w:color w:val="auto"/>
          <w:sz w:val="32"/>
          <w:szCs w:val="32"/>
        </w:rPr>
        <w:t>政府办公厅（室）及相关机构事务（项）。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111.25</w:t>
      </w:r>
      <w:r>
        <w:rPr>
          <w:rFonts w:hint="eastAsia" w:ascii="Times New Roman" w:hAnsi="Times New Roman" w:eastAsia="仿宋_GB2312"/>
          <w:color w:val="auto"/>
          <w:sz w:val="32"/>
          <w:szCs w:val="32"/>
        </w:rPr>
        <w:t>万元，无法计算完成比率，决算数大于预算数的主要原因是：</w:t>
      </w:r>
      <w:r>
        <w:rPr>
          <w:rFonts w:hint="eastAsia" w:ascii="Times New Roman" w:hAnsi="Times New Roman" w:eastAsia="仿宋_GB2312"/>
          <w:color w:val="auto"/>
          <w:sz w:val="32"/>
          <w:szCs w:val="32"/>
          <w:lang w:val="en-US" w:eastAsia="zh-CN"/>
        </w:rPr>
        <w:t>县财政下拨指标时支出功能分类科目代码有所调整（</w:t>
      </w:r>
      <w:r>
        <w:rPr>
          <w:rFonts w:hint="eastAsia" w:ascii="Times New Roman" w:hAnsi="Times New Roman" w:eastAsia="仿宋_GB2312"/>
          <w:color w:val="auto"/>
          <w:sz w:val="32"/>
          <w:szCs w:val="32"/>
        </w:rPr>
        <w:t>一般公共服务支出（类）</w:t>
      </w:r>
      <w:r>
        <w:rPr>
          <w:rFonts w:hint="eastAsia" w:ascii="Times New Roman" w:hAnsi="Times New Roman" w:eastAsia="仿宋_GB2312"/>
          <w:color w:val="auto"/>
          <w:sz w:val="32"/>
          <w:szCs w:val="32"/>
          <w:lang w:eastAsia="zh-CN"/>
        </w:rPr>
        <w:t>政府办公</w:t>
      </w:r>
      <w:r>
        <w:rPr>
          <w:rFonts w:hint="eastAsia" w:ascii="Times New Roman" w:hAnsi="Times New Roman" w:eastAsia="仿宋_GB2312"/>
          <w:color w:val="auto"/>
          <w:sz w:val="32"/>
          <w:szCs w:val="32"/>
          <w:lang w:val="en-US" w:eastAsia="zh-CN"/>
        </w:rPr>
        <w:t>厅（</w:t>
      </w:r>
      <w:r>
        <w:rPr>
          <w:rFonts w:hint="eastAsia" w:ascii="Times New Roman" w:hAnsi="Times New Roman" w:eastAsia="仿宋_GB2312"/>
          <w:color w:val="auto"/>
          <w:sz w:val="32"/>
          <w:szCs w:val="32"/>
          <w:lang w:eastAsia="zh-CN"/>
        </w:rPr>
        <w:t>室</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及相关机构事务</w:t>
      </w:r>
      <w:r>
        <w:rPr>
          <w:rFonts w:hint="eastAsia" w:ascii="Times New Roman" w:hAnsi="Times New Roman" w:eastAsia="仿宋_GB2312"/>
          <w:color w:val="auto"/>
          <w:sz w:val="32"/>
          <w:szCs w:val="32"/>
        </w:rPr>
        <w:t>（款）其他政府办公厅（室）及相关机构事务支出（项）</w:t>
      </w:r>
      <w:r>
        <w:rPr>
          <w:rFonts w:hint="eastAsia" w:ascii="Times New Roman" w:hAnsi="Times New Roman" w:eastAsia="仿宋_GB2312"/>
          <w:color w:val="auto"/>
          <w:sz w:val="32"/>
          <w:szCs w:val="32"/>
          <w:lang w:eastAsia="zh-CN"/>
        </w:rPr>
        <w:t>在预算时，</w:t>
      </w:r>
      <w:r>
        <w:rPr>
          <w:rFonts w:hint="eastAsia" w:ascii="Times New Roman" w:hAnsi="Times New Roman" w:eastAsia="仿宋_GB2312"/>
          <w:color w:val="auto"/>
          <w:sz w:val="32"/>
          <w:szCs w:val="32"/>
        </w:rPr>
        <w:t>包含在一般公共服务（类）政府办公</w:t>
      </w:r>
      <w:r>
        <w:rPr>
          <w:rFonts w:hint="eastAsia" w:ascii="Times New Roman" w:hAnsi="Times New Roman" w:eastAsia="仿宋_GB2312"/>
          <w:color w:val="auto"/>
          <w:sz w:val="32"/>
          <w:szCs w:val="32"/>
          <w:lang w:val="en-US" w:eastAsia="zh-CN"/>
        </w:rPr>
        <w:t>厅（</w:t>
      </w:r>
      <w:r>
        <w:rPr>
          <w:rFonts w:hint="eastAsia" w:ascii="Times New Roman" w:hAnsi="Times New Roman" w:eastAsia="仿宋_GB2312"/>
          <w:color w:val="auto"/>
          <w:sz w:val="32"/>
          <w:szCs w:val="32"/>
        </w:rPr>
        <w:t>室</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rPr>
        <w:t>及相关机构事务（款）行政运行（项</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中</w:t>
      </w:r>
      <w:r>
        <w:rPr>
          <w:rFonts w:hint="eastAsia" w:ascii="Times New Roman" w:hAnsi="Times New Roman" w:eastAsia="仿宋_GB2312"/>
          <w:color w:val="auto"/>
          <w:sz w:val="32"/>
          <w:szCs w:val="32"/>
          <w:lang w:val="en-US" w:eastAsia="zh-CN"/>
        </w:rPr>
        <w:t>），故属于</w:t>
      </w:r>
      <w:r>
        <w:rPr>
          <w:rFonts w:hint="eastAsia" w:ascii="Times New Roman" w:hAnsi="Times New Roman" w:eastAsia="仿宋_GB2312"/>
          <w:color w:val="auto"/>
          <w:sz w:val="32"/>
          <w:szCs w:val="32"/>
        </w:rPr>
        <w:t>新增</w:t>
      </w:r>
      <w:r>
        <w:rPr>
          <w:rFonts w:hint="eastAsia" w:ascii="Times New Roman" w:hAnsi="Times New Roman" w:eastAsia="仿宋_GB2312"/>
          <w:color w:val="auto"/>
          <w:sz w:val="32"/>
          <w:szCs w:val="32"/>
          <w:lang w:val="en-US" w:eastAsia="zh-CN"/>
        </w:rPr>
        <w:t>的</w:t>
      </w:r>
      <w:r>
        <w:rPr>
          <w:rFonts w:hint="eastAsia" w:ascii="Times New Roman" w:hAnsi="Times New Roman" w:eastAsia="仿宋_GB2312"/>
          <w:color w:val="auto"/>
          <w:sz w:val="32"/>
          <w:szCs w:val="32"/>
        </w:rPr>
        <w:t>项目。</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、社会保障和就业支出（类）</w:t>
      </w:r>
      <w:r>
        <w:rPr>
          <w:rFonts w:hint="eastAsia" w:ascii="Times New Roman" w:hAnsi="Times New Roman" w:eastAsia="仿宋_GB2312"/>
          <w:color w:val="auto"/>
          <w:sz w:val="32"/>
          <w:szCs w:val="32"/>
          <w:lang w:val="en-US" w:eastAsia="zh-CN"/>
        </w:rPr>
        <w:t>行政事业单位养老支出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机关事业单位基本养老保险缴费支出</w:t>
      </w:r>
      <w:r>
        <w:rPr>
          <w:rFonts w:hint="eastAsia" w:ascii="Times New Roman" w:hAnsi="Times New Roman" w:eastAsia="仿宋_GB2312"/>
          <w:color w:val="auto"/>
          <w:sz w:val="32"/>
          <w:szCs w:val="32"/>
        </w:rPr>
        <w:t>（项）。</w:t>
      </w:r>
    </w:p>
    <w:p>
      <w:pPr>
        <w:numPr>
          <w:ilvl w:val="0"/>
          <w:numId w:val="0"/>
        </w:numPr>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60.47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65.84</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108.88</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于预算数的主要原因是：</w:t>
      </w:r>
      <w:r>
        <w:rPr>
          <w:rFonts w:hint="eastAsia" w:ascii="仿宋_GB2312" w:hAnsi="仿宋_GB2312" w:eastAsia="仿宋_GB2312" w:cs="仿宋_GB2312"/>
          <w:color w:val="auto"/>
          <w:sz w:val="32"/>
          <w:szCs w:val="32"/>
          <w:lang w:val="en-US" w:eastAsia="zh-CN"/>
        </w:rPr>
        <w:t>人员增加，工资及社保基数调增导致，且财政局也增拨了社保指标部分差额</w:t>
      </w:r>
      <w:r>
        <w:rPr>
          <w:rFonts w:hint="eastAsia" w:ascii="Times New Roman" w:hAnsi="Times New Roman" w:eastAsia="仿宋_GB2312"/>
          <w:color w:val="auto"/>
          <w:sz w:val="32"/>
          <w:szCs w:val="32"/>
          <w:lang w:val="en-US"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社会保障和就业支出（类）</w:t>
      </w:r>
      <w:r>
        <w:rPr>
          <w:rFonts w:hint="eastAsia" w:ascii="Times New Roman" w:hAnsi="Times New Roman" w:eastAsia="仿宋_GB2312"/>
          <w:color w:val="auto"/>
          <w:sz w:val="32"/>
          <w:szCs w:val="32"/>
          <w:lang w:val="en-US" w:eastAsia="zh-CN"/>
        </w:rPr>
        <w:t>抚恤</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死亡抚恤</w:t>
      </w:r>
      <w:r>
        <w:rPr>
          <w:rFonts w:hint="eastAsia" w:ascii="Times New Roman" w:hAnsi="Times New Roman" w:eastAsia="仿宋_GB2312"/>
          <w:color w:val="auto"/>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20.49</w:t>
      </w:r>
      <w:r>
        <w:rPr>
          <w:rFonts w:hint="eastAsia" w:ascii="Times New Roman" w:hAnsi="Times New Roman" w:eastAsia="仿宋_GB2312"/>
          <w:color w:val="auto"/>
          <w:sz w:val="32"/>
          <w:szCs w:val="32"/>
        </w:rPr>
        <w:t>万元，无法计算完成比率，决算数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于年初预算数的主要原因是：死亡抚恤</w:t>
      </w:r>
      <w:r>
        <w:rPr>
          <w:rFonts w:hint="eastAsia" w:ascii="Times New Roman" w:hAnsi="Times New Roman" w:eastAsia="仿宋_GB2312"/>
          <w:color w:val="auto"/>
          <w:sz w:val="32"/>
          <w:szCs w:val="32"/>
          <w:lang w:eastAsia="zh-CN"/>
        </w:rPr>
        <w:t>是在全县的大预算中列支的，单位没有单独做预算</w:t>
      </w:r>
      <w:r>
        <w:rPr>
          <w:rFonts w:hint="eastAsia" w:ascii="Times New Roman" w:hAnsi="Times New Roman" w:eastAsia="仿宋_GB2312"/>
          <w:color w:val="auto"/>
          <w:sz w:val="32"/>
          <w:szCs w:val="32"/>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卫生健康</w:t>
      </w:r>
      <w:r>
        <w:rPr>
          <w:rFonts w:hint="eastAsia" w:ascii="Times New Roman" w:hAnsi="Times New Roman" w:eastAsia="仿宋_GB2312"/>
          <w:color w:val="auto"/>
          <w:sz w:val="32"/>
          <w:szCs w:val="32"/>
        </w:rPr>
        <w:t>支出（类）</w:t>
      </w:r>
      <w:r>
        <w:rPr>
          <w:rFonts w:hint="eastAsia" w:ascii="Times New Roman" w:hAnsi="Times New Roman" w:eastAsia="仿宋_GB2312"/>
          <w:color w:val="auto"/>
          <w:sz w:val="32"/>
          <w:szCs w:val="32"/>
          <w:lang w:val="en-US" w:eastAsia="zh-CN"/>
        </w:rPr>
        <w:t>行政事业单位医疗</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行政单位医疗</w:t>
      </w:r>
      <w:r>
        <w:rPr>
          <w:rFonts w:hint="eastAsia" w:ascii="Times New Roman" w:hAnsi="Times New Roman" w:eastAsia="仿宋_GB2312"/>
          <w:color w:val="auto"/>
          <w:sz w:val="32"/>
          <w:szCs w:val="32"/>
        </w:rPr>
        <w:t>（项）。</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32.88</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35.98</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109.43</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val="en-US" w:eastAsia="zh-CN"/>
        </w:rPr>
        <w:t>大</w:t>
      </w:r>
      <w:r>
        <w:rPr>
          <w:rFonts w:hint="eastAsia" w:ascii="Times New Roman" w:hAnsi="Times New Roman" w:eastAsia="仿宋_GB2312"/>
          <w:color w:val="auto"/>
          <w:sz w:val="32"/>
          <w:szCs w:val="32"/>
        </w:rPr>
        <w:t>于预算数的主要原因是：</w:t>
      </w:r>
      <w:r>
        <w:rPr>
          <w:rFonts w:hint="eastAsia" w:ascii="仿宋_GB2312" w:hAnsi="仿宋_GB2312" w:eastAsia="仿宋_GB2312" w:cs="仿宋_GB2312"/>
          <w:color w:val="auto"/>
          <w:sz w:val="32"/>
          <w:szCs w:val="32"/>
          <w:lang w:val="en-US" w:eastAsia="zh-CN"/>
        </w:rPr>
        <w:t>人员增加，工资及社保基数调增导致，且财政局也增拨了社保指标部分差额</w:t>
      </w:r>
      <w:r>
        <w:rPr>
          <w:rFonts w:hint="eastAsia" w:ascii="Times New Roman" w:hAnsi="Times New Roman" w:eastAsia="仿宋_GB2312"/>
          <w:color w:val="auto"/>
          <w:sz w:val="32"/>
          <w:szCs w:val="32"/>
          <w:lang w:val="en-US"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住房保障支出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住房改革支出</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住房公积金</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w:t>
      </w:r>
      <w:r>
        <w:rPr>
          <w:rFonts w:hint="eastAsia" w:ascii="Times New Roman" w:hAnsi="Times New Roman" w:eastAsia="仿宋_GB2312"/>
          <w:color w:val="auto"/>
          <w:sz w:val="32"/>
          <w:szCs w:val="32"/>
          <w:lang w:val="en-US" w:eastAsia="zh-CN"/>
        </w:rPr>
        <w:t>单位部分</w:t>
      </w:r>
      <w:r>
        <w:rPr>
          <w:rFonts w:hint="eastAsia" w:ascii="Times New Roman" w:hAnsi="Times New Roman" w:eastAsia="仿宋_GB2312"/>
          <w:color w:val="auto"/>
          <w:sz w:val="32"/>
          <w:szCs w:val="32"/>
        </w:rPr>
        <w:t>为</w:t>
      </w:r>
      <w:r>
        <w:rPr>
          <w:rFonts w:hint="eastAsia" w:ascii="Times New Roman" w:hAnsi="Times New Roman" w:eastAsia="仿宋_GB2312"/>
          <w:color w:val="auto"/>
          <w:sz w:val="32"/>
          <w:szCs w:val="32"/>
          <w:lang w:val="en-US" w:eastAsia="zh-CN"/>
        </w:rPr>
        <w:t>43.14</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0.00</w:t>
      </w:r>
      <w:r>
        <w:rPr>
          <w:rFonts w:hint="eastAsia" w:ascii="Times New Roman" w:hAnsi="Times New Roman" w:eastAsia="仿宋_GB2312"/>
          <w:color w:val="auto"/>
          <w:sz w:val="32"/>
          <w:szCs w:val="32"/>
        </w:rPr>
        <w:t>%，决算数小于年初预算数的主要原因是：</w:t>
      </w:r>
      <w:r>
        <w:rPr>
          <w:rFonts w:hint="eastAsia" w:ascii="Times New Roman" w:hAnsi="Times New Roman" w:eastAsia="仿宋_GB2312"/>
          <w:color w:val="auto"/>
          <w:sz w:val="32"/>
          <w:szCs w:val="32"/>
          <w:lang w:val="en-US" w:eastAsia="zh-CN"/>
        </w:rPr>
        <w:t>县财政统筹管理此项项目，将其指标直接划拨至相应收缴单位。</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779.23</w:t>
      </w:r>
      <w:r>
        <w:rPr>
          <w:rFonts w:hint="eastAsia" w:ascii="Times New Roman" w:hAnsi="Times New Roman" w:eastAsia="仿宋_GB2312"/>
          <w:sz w:val="32"/>
          <w:szCs w:val="32"/>
        </w:rPr>
        <w:t>万元，其中：</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720.67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92.48</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绩效工资、机关事业单位基本养老保险缴费、职业年金缴费、职工基本医疗保险缴费、其他社会保障缴费、其他工资福利支出、抚恤金。</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58.56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7.52</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val="en-US" w:eastAsia="zh-CN"/>
        </w:rPr>
        <w:t>差旅费</w:t>
      </w:r>
      <w:r>
        <w:rPr>
          <w:rFonts w:hint="eastAsia" w:ascii="Times New Roman" w:hAnsi="Times New Roman" w:eastAsia="仿宋_GB2312"/>
          <w:sz w:val="32"/>
          <w:szCs w:val="32"/>
        </w:rPr>
        <w:t>、维修（护）费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培训费、公务接待费、工会经费、福利费、其他交通费用、其他商品和服务支出</w:t>
      </w:r>
      <w:r>
        <w:rPr>
          <w:rFonts w:hint="eastAsia" w:ascii="Times New Roman" w:hAnsi="Times New Roman" w:eastAsia="仿宋_GB2312"/>
          <w:sz w:val="32"/>
          <w:szCs w:val="32"/>
        </w:rPr>
        <w:t>。</w:t>
      </w:r>
    </w:p>
    <w:p>
      <w:pPr>
        <w:pStyle w:val="16"/>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6"/>
        <w:keepNext w:val="0"/>
        <w:keepLines w:val="0"/>
        <w:pageBreakBefore w:val="0"/>
        <w:widowControl w:val="0"/>
        <w:numPr>
          <w:numId w:val="0"/>
        </w:numPr>
        <w:kinsoku/>
        <w:wordWrap/>
        <w:overflowPunct/>
        <w:topLinePunct w:val="0"/>
        <w:bidi w:val="0"/>
        <w:snapToGrid/>
        <w:spacing w:line="600" w:lineRule="exact"/>
        <w:ind w:firstLine="960" w:firstLineChars="3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sz w:val="32"/>
          <w:szCs w:val="32"/>
        </w:rPr>
        <w:t>“</w:t>
      </w:r>
      <w:r>
        <w:rPr>
          <w:rFonts w:hint="eastAsia" w:ascii="Times New Roman" w:hAnsi="Times New Roman" w:eastAsia="仿宋_GB2312"/>
          <w:b w:val="0"/>
          <w:bCs w:val="0"/>
          <w:sz w:val="32"/>
          <w:szCs w:val="32"/>
        </w:rPr>
        <w:t>三公”经费财政拨款支出预算为</w:t>
      </w:r>
      <w:r>
        <w:rPr>
          <w:rFonts w:hint="eastAsia" w:ascii="Times New Roman" w:hAnsi="Times New Roman" w:eastAsia="仿宋_GB2312"/>
          <w:b w:val="0"/>
          <w:bCs w:val="0"/>
          <w:sz w:val="32"/>
          <w:szCs w:val="32"/>
          <w:lang w:val="en-US" w:eastAsia="zh-CN"/>
        </w:rPr>
        <w:t>4.00</w:t>
      </w:r>
      <w:r>
        <w:rPr>
          <w:rFonts w:hint="eastAsia" w:ascii="Times New Roman" w:hAnsi="Times New Roman" w:eastAsia="仿宋_GB2312"/>
          <w:b w:val="0"/>
          <w:bCs w:val="0"/>
          <w:sz w:val="32"/>
          <w:szCs w:val="32"/>
        </w:rPr>
        <w:t>万元，支出决算为</w:t>
      </w:r>
      <w:r>
        <w:rPr>
          <w:rFonts w:hint="eastAsia" w:ascii="Times New Roman" w:hAnsi="Times New Roman" w:eastAsia="仿宋_GB2312"/>
          <w:b w:val="0"/>
          <w:bCs w:val="0"/>
          <w:sz w:val="32"/>
          <w:szCs w:val="32"/>
          <w:lang w:val="en-US" w:eastAsia="zh-CN"/>
        </w:rPr>
        <w:t>0.00</w:t>
      </w:r>
      <w:r>
        <w:rPr>
          <w:rFonts w:hint="eastAsia" w:ascii="Times New Roman" w:hAnsi="Times New Roman" w:eastAsia="仿宋_GB2312"/>
          <w:b w:val="0"/>
          <w:bCs w:val="0"/>
          <w:sz w:val="32"/>
          <w:szCs w:val="32"/>
        </w:rPr>
        <w:t>万元</w:t>
      </w:r>
      <w:r>
        <w:rPr>
          <w:rFonts w:hint="eastAsia" w:ascii="Times New Roman" w:hAnsi="Times New Roman" w:eastAsia="仿宋_GB2312"/>
          <w:b w:val="0"/>
          <w:bCs w:val="0"/>
          <w:color w:val="auto"/>
          <w:sz w:val="32"/>
          <w:szCs w:val="32"/>
        </w:rPr>
        <w:t>，完成预算的</w:t>
      </w:r>
      <w:r>
        <w:rPr>
          <w:rFonts w:hint="eastAsia" w:ascii="Times New Roman" w:hAnsi="Times New Roman" w:eastAsia="仿宋_GB2312"/>
          <w:b w:val="0"/>
          <w:bCs w:val="0"/>
          <w:color w:val="auto"/>
          <w:sz w:val="32"/>
          <w:szCs w:val="32"/>
          <w:lang w:val="en-US" w:eastAsia="zh-CN"/>
        </w:rPr>
        <w:t>0</w:t>
      </w:r>
      <w:r>
        <w:rPr>
          <w:rFonts w:hint="eastAsia" w:ascii="Times New Roman" w:hAnsi="Times New Roman" w:eastAsia="仿宋_GB2312"/>
          <w:b w:val="0"/>
          <w:bCs w:val="0"/>
          <w:color w:val="auto"/>
          <w:sz w:val="32"/>
          <w:szCs w:val="32"/>
        </w:rPr>
        <w:t>%，主要原因是本单位严格执行中央八项规定，</w:t>
      </w:r>
      <w:r>
        <w:rPr>
          <w:rFonts w:hint="eastAsia" w:ascii="Times New Roman" w:hAnsi="Times New Roman" w:eastAsia="仿宋_GB2312"/>
          <w:b w:val="0"/>
          <w:bCs w:val="0"/>
          <w:color w:val="auto"/>
          <w:sz w:val="32"/>
          <w:szCs w:val="32"/>
          <w:lang w:val="en-US" w:eastAsia="zh-CN"/>
        </w:rPr>
        <w:t>严格按照预决算标准执行</w:t>
      </w:r>
      <w:r>
        <w:rPr>
          <w:rFonts w:hint="eastAsia" w:ascii="Times New Roman" w:hAnsi="Times New Roman" w:eastAsia="仿宋_GB2312"/>
          <w:b w:val="0"/>
          <w:bCs w:val="0"/>
          <w:color w:val="auto"/>
          <w:sz w:val="32"/>
          <w:szCs w:val="32"/>
          <w:lang w:eastAsia="zh-CN"/>
        </w:rPr>
        <w:t>。</w:t>
      </w:r>
      <w:r>
        <w:rPr>
          <w:rFonts w:hint="eastAsia" w:ascii="Times New Roman" w:hAnsi="Times New Roman" w:eastAsia="仿宋_GB2312"/>
          <w:b w:val="0"/>
          <w:bCs w:val="0"/>
          <w:color w:val="auto"/>
          <w:sz w:val="32"/>
          <w:szCs w:val="32"/>
          <w:lang w:val="en-US" w:eastAsia="zh-CN"/>
        </w:rPr>
        <w:t>与上年度的12</w:t>
      </w:r>
      <w:r>
        <w:rPr>
          <w:rFonts w:hint="eastAsia" w:ascii="Times New Roman" w:hAnsi="Times New Roman" w:eastAsia="仿宋_GB2312"/>
          <w:b w:val="0"/>
          <w:bCs w:val="0"/>
          <w:color w:val="auto"/>
          <w:sz w:val="32"/>
          <w:szCs w:val="32"/>
          <w:lang w:eastAsia="zh-CN"/>
        </w:rPr>
        <w:t>.00万元对比减少</w:t>
      </w:r>
      <w:r>
        <w:rPr>
          <w:rFonts w:hint="eastAsia" w:ascii="Times New Roman" w:hAnsi="Times New Roman" w:eastAsia="仿宋_GB2312"/>
          <w:b w:val="0"/>
          <w:bCs w:val="0"/>
          <w:color w:val="auto"/>
          <w:sz w:val="32"/>
          <w:szCs w:val="32"/>
          <w:lang w:val="en-US" w:eastAsia="zh-CN"/>
        </w:rPr>
        <w:t>12</w:t>
      </w:r>
      <w:r>
        <w:rPr>
          <w:rFonts w:hint="eastAsia" w:ascii="Times New Roman" w:hAnsi="Times New Roman" w:eastAsia="仿宋_GB2312"/>
          <w:b w:val="0"/>
          <w:bCs w:val="0"/>
          <w:color w:val="auto"/>
          <w:sz w:val="32"/>
          <w:szCs w:val="32"/>
          <w:lang w:eastAsia="zh-CN"/>
        </w:rPr>
        <w:t>.00万元，</w:t>
      </w:r>
      <w:r>
        <w:rPr>
          <w:rFonts w:hint="eastAsia" w:ascii="Times New Roman" w:hAnsi="Times New Roman" w:eastAsia="仿宋_GB2312"/>
          <w:b w:val="0"/>
          <w:bCs w:val="0"/>
          <w:color w:val="auto"/>
          <w:sz w:val="32"/>
          <w:szCs w:val="32"/>
          <w:lang w:val="en-US" w:eastAsia="zh-CN"/>
        </w:rPr>
        <w:t>减少100</w:t>
      </w:r>
      <w:r>
        <w:rPr>
          <w:rFonts w:hint="eastAsia" w:ascii="Times New Roman" w:hAnsi="Times New Roman" w:eastAsia="仿宋_GB2312"/>
          <w:b w:val="0"/>
          <w:bCs w:val="0"/>
          <w:color w:val="auto"/>
          <w:sz w:val="32"/>
          <w:szCs w:val="32"/>
        </w:rPr>
        <w:t>%</w:t>
      </w:r>
      <w:r>
        <w:rPr>
          <w:rFonts w:hint="eastAsia" w:ascii="Times New Roman" w:hAnsi="Times New Roman" w:eastAsia="仿宋_GB2312"/>
          <w:b w:val="0"/>
          <w:bCs w:val="0"/>
          <w:color w:val="auto"/>
          <w:sz w:val="32"/>
          <w:szCs w:val="32"/>
          <w:lang w:eastAsia="zh-CN"/>
        </w:rPr>
        <w:t>，</w:t>
      </w:r>
      <w:r>
        <w:rPr>
          <w:rFonts w:hint="eastAsia" w:ascii="Times New Roman" w:hAnsi="Times New Roman" w:eastAsia="仿宋_GB2312"/>
          <w:b w:val="0"/>
          <w:bCs w:val="0"/>
          <w:color w:val="auto"/>
          <w:sz w:val="32"/>
          <w:szCs w:val="32"/>
          <w:lang w:val="en-US" w:eastAsia="zh-CN"/>
        </w:rPr>
        <w:t>减少的主要原因是</w:t>
      </w:r>
      <w:r>
        <w:rPr>
          <w:rFonts w:hint="eastAsia" w:ascii="Times New Roman" w:hAnsi="Times New Roman" w:eastAsia="仿宋_GB2312"/>
          <w:b w:val="0"/>
          <w:bCs w:val="0"/>
          <w:color w:val="auto"/>
          <w:sz w:val="32"/>
          <w:szCs w:val="32"/>
          <w:lang w:eastAsia="zh-CN"/>
        </w:rPr>
        <w:t>本单位严格执行中央八项规定，实现公务零招待规定。</w:t>
      </w:r>
      <w:r>
        <w:rPr>
          <w:rFonts w:hint="eastAsia" w:ascii="Times New Roman" w:hAnsi="Times New Roman" w:eastAsia="仿宋_GB2312"/>
          <w:b w:val="0"/>
          <w:bCs w:val="0"/>
          <w:color w:val="auto"/>
          <w:sz w:val="32"/>
          <w:szCs w:val="32"/>
          <w:lang w:val="en-US" w:eastAsia="zh-CN"/>
        </w:rPr>
        <w:t>其中</w:t>
      </w:r>
      <w:r>
        <w:rPr>
          <w:rFonts w:hint="eastAsia" w:ascii="Times New Roman" w:hAnsi="Times New Roman" w:eastAsia="仿宋_GB2312"/>
          <w:color w:val="auto"/>
          <w:sz w:val="32"/>
          <w:szCs w:val="32"/>
          <w:lang w:val="en-US"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本单位本年度无此项开支</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4.00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万元，主要原因是本单位严格执行中央八项规定，</w:t>
      </w:r>
      <w:r>
        <w:rPr>
          <w:rFonts w:hint="eastAsia" w:ascii="Times New Roman" w:hAnsi="Times New Roman" w:eastAsia="仿宋_GB2312"/>
          <w:sz w:val="32"/>
          <w:szCs w:val="32"/>
          <w:lang w:val="en-US" w:eastAsia="zh-CN"/>
        </w:rPr>
        <w:t>严格按照预决算标准执行</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本单位本年度无此项开支</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本单位本年度无此项开支</w:t>
      </w:r>
      <w:r>
        <w:rPr>
          <w:rFonts w:hint="eastAsia" w:ascii="Times New Roman" w:hAnsi="Times New Roman" w:eastAsia="仿宋_GB2312"/>
          <w:sz w:val="32"/>
          <w:szCs w:val="32"/>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val="en-US" w:eastAsia="zh-CN"/>
        </w:rPr>
        <w:t>无此项</w:t>
      </w:r>
      <w:r>
        <w:rPr>
          <w:rFonts w:hint="eastAsia" w:ascii="Times New Roman" w:hAnsi="Times New Roman" w:eastAsia="仿宋_GB2312"/>
          <w:sz w:val="32"/>
          <w:szCs w:val="32"/>
        </w:rPr>
        <w:t>开支</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bCs/>
          <w:color w:val="FF0000"/>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b w:val="0"/>
          <w:bCs w:val="0"/>
          <w:color w:val="auto"/>
          <w:sz w:val="32"/>
          <w:szCs w:val="32"/>
          <w:lang w:eastAsia="zh-CN"/>
        </w:rPr>
        <w:t>本单位严格执行中央八项规定，</w:t>
      </w:r>
      <w:r>
        <w:rPr>
          <w:rFonts w:hint="eastAsia" w:ascii="Times New Roman" w:hAnsi="Times New Roman" w:eastAsia="仿宋_GB2312"/>
          <w:b w:val="0"/>
          <w:bCs w:val="0"/>
          <w:color w:val="auto"/>
          <w:sz w:val="32"/>
          <w:szCs w:val="32"/>
          <w:lang w:val="en-US" w:eastAsia="zh-CN"/>
        </w:rPr>
        <w:t>没有</w:t>
      </w:r>
      <w:r>
        <w:rPr>
          <w:rFonts w:hint="eastAsia" w:ascii="Times New Roman" w:hAnsi="Times New Roman" w:eastAsia="仿宋_GB2312"/>
          <w:b w:val="0"/>
          <w:bCs w:val="0"/>
          <w:color w:val="auto"/>
          <w:sz w:val="32"/>
          <w:szCs w:val="32"/>
        </w:rPr>
        <w:t>发生接待支出。</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公务用车购置费及运行维护费支出决算为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w:t>
      </w:r>
      <w:r>
        <w:rPr>
          <w:rFonts w:hint="eastAsia" w:ascii="Times New Roman" w:hAnsi="Times New Roman" w:eastAsia="仿宋_GB2312"/>
          <w:sz w:val="32"/>
          <w:szCs w:val="32"/>
        </w:rPr>
        <w:t>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无此项</w:t>
      </w:r>
      <w:r>
        <w:rPr>
          <w:rFonts w:hint="eastAsia" w:ascii="Times New Roman" w:hAnsi="Times New Roman" w:eastAsia="仿宋_GB2312"/>
          <w:sz w:val="32"/>
          <w:szCs w:val="32"/>
        </w:rPr>
        <w:t>支出，截止202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w:t>
      </w:r>
      <w:r>
        <w:rPr>
          <w:rFonts w:hint="eastAsia" w:ascii="Times New Roman" w:hAnsi="Times New Roman" w:eastAsia="仿宋_GB2312"/>
          <w:sz w:val="32"/>
          <w:szCs w:val="32"/>
          <w:lang w:val="en-US" w:eastAsia="zh-CN"/>
        </w:rPr>
        <w:t>本单位未发生</w:t>
      </w:r>
      <w:r>
        <w:rPr>
          <w:rFonts w:hint="eastAsia" w:ascii="Times New Roman" w:hAnsi="Times New Roman" w:eastAsia="仿宋_GB2312"/>
          <w:sz w:val="32"/>
          <w:szCs w:val="32"/>
        </w:rPr>
        <w:t>政府性基金预算财政拨款收</w:t>
      </w:r>
      <w:r>
        <w:rPr>
          <w:rFonts w:hint="eastAsia" w:ascii="Times New Roman" w:hAnsi="Times New Roman" w:eastAsia="仿宋_GB2312"/>
          <w:sz w:val="32"/>
          <w:szCs w:val="32"/>
          <w:lang w:val="en-US" w:eastAsia="zh-CN"/>
        </w:rPr>
        <w:t>支</w:t>
      </w:r>
      <w:r>
        <w:rPr>
          <w:rFonts w:hint="eastAsia" w:ascii="Times New Roman" w:hAnsi="Times New Roman" w:eastAsia="仿宋_GB2312"/>
          <w:sz w:val="32"/>
          <w:szCs w:val="32"/>
          <w:lang w:eastAsia="zh-CN"/>
        </w:rPr>
        <w:t>。</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58.56</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val="en-US" w:eastAsia="zh-CN"/>
        </w:rPr>
        <w:t>121.90万元减少63.34</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51.96</w:t>
      </w:r>
      <w:r>
        <w:rPr>
          <w:rFonts w:hint="eastAsia" w:ascii="Times New Roman" w:hAnsi="Times New Roman" w:eastAsia="仿宋_GB2312"/>
          <w:sz w:val="32"/>
          <w:szCs w:val="32"/>
        </w:rPr>
        <w:t>%。主要是因为按照县财政要求，压缩了经费标准。</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万元，用于召开县政府廉政工作会、经济形势分析会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老年支部等</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68</w:t>
      </w:r>
      <w:r>
        <w:rPr>
          <w:rFonts w:hint="eastAsia" w:ascii="Times New Roman" w:hAnsi="Times New Roman" w:eastAsia="仿宋_GB2312"/>
          <w:sz w:val="32"/>
          <w:szCs w:val="32"/>
        </w:rPr>
        <w:t>人，内容为县政府廉政工作会、经济形势分析会、新政府工作报告撰写工作会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老年支部</w:t>
      </w:r>
      <w:r>
        <w:rPr>
          <w:rFonts w:hint="eastAsia" w:ascii="Times New Roman" w:hAnsi="Times New Roman" w:eastAsia="仿宋_GB2312"/>
          <w:sz w:val="32"/>
          <w:szCs w:val="32"/>
        </w:rPr>
        <w:t>等；开支培训费</w:t>
      </w:r>
      <w:r>
        <w:rPr>
          <w:rFonts w:hint="eastAsia" w:ascii="Times New Roman" w:hAnsi="Times New Roman" w:eastAsia="仿宋_GB2312"/>
          <w:sz w:val="32"/>
          <w:szCs w:val="32"/>
          <w:lang w:val="en-US" w:eastAsia="zh-CN"/>
        </w:rPr>
        <w:t>0.6</w:t>
      </w:r>
      <w:r>
        <w:rPr>
          <w:rFonts w:hint="eastAsia" w:ascii="Times New Roman" w:hAnsi="Times New Roman" w:eastAsia="仿宋_GB2312"/>
          <w:sz w:val="32"/>
          <w:szCs w:val="32"/>
        </w:rPr>
        <w:t>万元，用于开展金融工作业务等培训，人数</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人，内容为融资、经济形势分析等；未举办节庆、晚会、论坛、赛事活动。</w:t>
      </w:r>
    </w:p>
    <w:p>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45.32</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45.32</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45.32</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45.32</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本单位的绩效管理工作开展的非常好。</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Times New Roman" w:hAnsi="Times New Roman" w:eastAsia="仿宋_GB2312" w:cs="仿宋_GB2312"/>
          <w:color w:val="000000"/>
          <w:sz w:val="32"/>
          <w:szCs w:val="32"/>
          <w:lang w:val="en-US" w:eastAsia="zh-CN"/>
        </w:rPr>
      </w:pPr>
      <w:r>
        <w:rPr>
          <w:rFonts w:hint="eastAsia" w:ascii="楷体_GB2312" w:hAnsi="楷体_GB2312" w:eastAsia="楷体_GB2312" w:cs="楷体_GB2312"/>
          <w:b/>
          <w:bCs/>
          <w:sz w:val="32"/>
          <w:szCs w:val="32"/>
          <w:lang w:val="en-US" w:eastAsia="zh-CN"/>
        </w:rPr>
        <w:t>1.耕好“责任田”，党的建设展现新高度。</w:t>
      </w:r>
      <w:r>
        <w:rPr>
          <w:rFonts w:hint="eastAsia" w:ascii="Times New Roman" w:hAnsi="Times New Roman" w:eastAsia="仿宋_GB2312" w:cs="仿宋_GB2312"/>
          <w:b/>
          <w:bCs/>
          <w:color w:val="000000"/>
          <w:sz w:val="32"/>
          <w:szCs w:val="32"/>
          <w:lang w:val="en-US" w:eastAsia="zh-CN"/>
        </w:rPr>
        <w:t>政治把关严格化，</w:t>
      </w:r>
      <w:r>
        <w:rPr>
          <w:rFonts w:hint="eastAsia" w:ascii="Times New Roman" w:hAnsi="Times New Roman" w:eastAsia="仿宋_GB2312" w:cs="仿宋_GB2312"/>
          <w:color w:val="000000"/>
          <w:sz w:val="32"/>
          <w:szCs w:val="32"/>
          <w:lang w:val="en-US" w:eastAsia="zh-CN"/>
        </w:rPr>
        <w:t>及时跟进学习习近平总书记最新重要讲话重要指示精神，切实把做到“两个维护”融入血脉、植入灵魂。严把政治关口，建立全流程审核机制，全年审核各类文件、会议材料1000余份，未发生一起政治偏差。</w:t>
      </w:r>
      <w:r>
        <w:rPr>
          <w:rFonts w:hint="eastAsia" w:ascii="Times New Roman" w:hAnsi="Times New Roman" w:eastAsia="仿宋_GB2312" w:cs="仿宋_GB2312"/>
          <w:b/>
          <w:bCs/>
          <w:color w:val="000000"/>
          <w:sz w:val="32"/>
          <w:szCs w:val="32"/>
          <w:lang w:val="en-US" w:eastAsia="zh-CN"/>
        </w:rPr>
        <w:t>业务素养专业化，</w:t>
      </w:r>
      <w:r>
        <w:rPr>
          <w:rFonts w:hint="eastAsia" w:ascii="Times New Roman" w:hAnsi="Times New Roman" w:eastAsia="仿宋_GB2312" w:cs="仿宋_GB2312"/>
          <w:b w:val="0"/>
          <w:bCs w:val="0"/>
          <w:color w:val="000000"/>
          <w:sz w:val="32"/>
          <w:szCs w:val="32"/>
          <w:lang w:val="en-US" w:eastAsia="zh-CN"/>
        </w:rPr>
        <w:t>围绕中心工作，</w:t>
      </w:r>
      <w:r>
        <w:rPr>
          <w:rFonts w:hint="eastAsia" w:ascii="Times New Roman" w:hAnsi="Times New Roman" w:eastAsia="仿宋_GB2312" w:cs="仿宋_GB2312"/>
          <w:color w:val="000000"/>
          <w:sz w:val="32"/>
          <w:szCs w:val="32"/>
          <w:lang w:val="en-US" w:eastAsia="zh-CN"/>
        </w:rPr>
        <w:t>组织开展政策解读、公文写作专题培训10期，重点提升干部职工文稿起草、统筹协调、应急处置能力，推动理论学习与工作实践深度融合。</w:t>
      </w:r>
      <w:r>
        <w:rPr>
          <w:rFonts w:hint="eastAsia" w:ascii="Times New Roman" w:hAnsi="Times New Roman" w:eastAsia="仿宋_GB2312" w:cs="仿宋_GB2312"/>
          <w:b/>
          <w:bCs/>
          <w:color w:val="000000"/>
          <w:sz w:val="32"/>
          <w:szCs w:val="32"/>
          <w:lang w:val="en-US" w:eastAsia="zh-CN"/>
        </w:rPr>
        <w:t>理论学习常态化，</w:t>
      </w:r>
      <w:r>
        <w:rPr>
          <w:rFonts w:hint="eastAsia" w:ascii="Times New Roman" w:hAnsi="Times New Roman" w:eastAsia="仿宋_GB2312" w:cs="仿宋_GB2312"/>
          <w:color w:val="000000"/>
          <w:sz w:val="32"/>
          <w:szCs w:val="32"/>
          <w:lang w:val="en-US" w:eastAsia="zh-CN"/>
        </w:rPr>
        <w:t>严格落实“第一议题”制度，持续深化理论中心组学习，组织党组会议、专题学习、研讨交流等23次。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pacing w:val="0"/>
          <w:kern w:val="2"/>
          <w:sz w:val="32"/>
          <w:szCs w:val="32"/>
          <w:lang w:val="en-US" w:eastAsia="zh-CN" w:bidi="ar-SA"/>
        </w:rPr>
      </w:pPr>
      <w:r>
        <w:rPr>
          <w:rFonts w:hint="eastAsia" w:ascii="楷体_GB2312" w:hAnsi="楷体_GB2312" w:eastAsia="楷体_GB2312" w:cs="楷体_GB2312"/>
          <w:b/>
          <w:bCs/>
          <w:sz w:val="32"/>
          <w:szCs w:val="32"/>
          <w:lang w:val="en-US" w:eastAsia="zh-CN"/>
        </w:rPr>
        <w:t>2.做好“助推器”</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高质</w:t>
      </w:r>
      <w:r>
        <w:rPr>
          <w:rFonts w:hint="eastAsia" w:ascii="楷体_GB2312" w:hAnsi="楷体_GB2312" w:eastAsia="楷体_GB2312" w:cs="楷体_GB2312"/>
          <w:b/>
          <w:bCs/>
          <w:sz w:val="32"/>
          <w:szCs w:val="32"/>
        </w:rPr>
        <w:t>发展</w:t>
      </w:r>
      <w:r>
        <w:rPr>
          <w:rFonts w:hint="eastAsia" w:ascii="楷体_GB2312" w:hAnsi="楷体_GB2312" w:eastAsia="楷体_GB2312" w:cs="楷体_GB2312"/>
          <w:b/>
          <w:bCs/>
          <w:sz w:val="32"/>
          <w:szCs w:val="32"/>
          <w:lang w:val="en-US" w:eastAsia="zh-CN"/>
        </w:rPr>
        <w:t>迈出新步伐</w:t>
      </w:r>
      <w:r>
        <w:rPr>
          <w:rFonts w:hint="eastAsia" w:ascii="楷体_GB2312" w:hAnsi="楷体_GB2312" w:eastAsia="楷体_GB2312" w:cs="楷体_GB2312"/>
          <w:b/>
          <w:bCs/>
          <w:sz w:val="32"/>
          <w:szCs w:val="32"/>
        </w:rPr>
        <w:t>。</w:t>
      </w:r>
      <w:r>
        <w:rPr>
          <w:rFonts w:hint="eastAsia" w:ascii="Times New Roman" w:hAnsi="Times New Roman" w:eastAsia="仿宋_GB2312" w:cs="仿宋_GB2312"/>
          <w:color w:val="000000"/>
          <w:sz w:val="32"/>
          <w:szCs w:val="32"/>
          <w:lang w:val="en-US" w:eastAsia="zh-CN"/>
        </w:rPr>
        <w:t>围绕经济要稳住、发展要安全两件大事，协助政府加强对经济工作的全面领导，牵头组建“七大攻坚”和经济运行工作专班，有力助推全县经济高质量发展。坚持政府常务会每季度研究经济工作，落实“周调度、月推进、季讲评”经济运行调度机制，加大经济运行调度力度，加大对重点行业、重点企业的分析指导力度，协调服务政府县级领导调研检查重点项目建设150余次，积极解决困难问题，推动七大攻坚开展有序、项目建设推进有效，推动经济平稳增长。抓好2025年</w:t>
      </w:r>
      <w:r>
        <w:rPr>
          <w:rFonts w:hint="default" w:ascii="Times New Roman" w:hAnsi="Times New Roman" w:eastAsia="仿宋_GB2312" w:cs="仿宋_GB2312"/>
          <w:color w:val="000000"/>
          <w:sz w:val="32"/>
          <w:szCs w:val="32"/>
          <w:lang w:val="en-US" w:eastAsia="zh-CN"/>
        </w:rPr>
        <w:t>市对县高质量发展综合绩效评价指标</w:t>
      </w:r>
      <w:r>
        <w:rPr>
          <w:rFonts w:hint="eastAsia" w:ascii="Times New Roman" w:hAnsi="Times New Roman" w:eastAsia="仿宋_GB2312" w:cs="仿宋_GB2312"/>
          <w:color w:val="000000"/>
          <w:sz w:val="32"/>
          <w:szCs w:val="32"/>
          <w:lang w:val="en-US" w:eastAsia="zh-CN"/>
        </w:rPr>
        <w:t>争先创优工作，</w:t>
      </w:r>
      <w:r>
        <w:rPr>
          <w:rFonts w:hint="default" w:ascii="Times New Roman" w:hAnsi="Times New Roman" w:eastAsia="仿宋_GB2312" w:cs="仿宋_GB2312"/>
          <w:color w:val="000000"/>
          <w:sz w:val="32"/>
          <w:szCs w:val="32"/>
          <w:lang w:val="en-US" w:eastAsia="zh-CN"/>
        </w:rPr>
        <w:t>44项</w:t>
      </w:r>
      <w:r>
        <w:rPr>
          <w:rFonts w:hint="eastAsia" w:ascii="Times New Roman" w:hAnsi="Times New Roman" w:eastAsia="仿宋_GB2312" w:cs="仿宋_GB2312"/>
          <w:color w:val="000000"/>
          <w:sz w:val="32"/>
          <w:szCs w:val="32"/>
          <w:lang w:val="en-US" w:eastAsia="zh-CN"/>
        </w:rPr>
        <w:t>考核指标总体向好。</w:t>
      </w:r>
      <w:r>
        <w:rPr>
          <w:rFonts w:hint="eastAsia" w:ascii="Times New Roman" w:hAnsi="Times New Roman" w:eastAsia="仿宋_GB2312" w:cs="Times New Roman"/>
          <w:color w:val="000000"/>
          <w:spacing w:val="0"/>
          <w:kern w:val="2"/>
          <w:sz w:val="32"/>
          <w:szCs w:val="32"/>
          <w:lang w:val="en-US" w:eastAsia="zh-CN" w:bidi="ar-SA"/>
        </w:rPr>
        <w:t>深入开展禁毒宣教，发布4期原创《敦颐说禁毒》系列漫画，有效扩大禁毒宣传影响力，《中国禁毒报》、中国禁毒微博、《人民公安报》推介我县禁毒经验。</w:t>
      </w:r>
    </w:p>
    <w:p>
      <w:pPr>
        <w:pStyle w:val="22"/>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line="560" w:lineRule="exact"/>
        <w:ind w:right="0" w:rightChars="0" w:firstLine="640" w:firstLineChars="200"/>
        <w:jc w:val="both"/>
        <w:textAlignment w:val="auto"/>
        <w:rPr>
          <w:rFonts w:hint="eastAsia" w:ascii="Times New Roman" w:hAnsi="Times New Roman" w:eastAsia="仿宋_GB2312" w:cs="仿宋_GB2312"/>
          <w:color w:val="000000"/>
          <w:kern w:val="2"/>
          <w:sz w:val="32"/>
          <w:szCs w:val="32"/>
          <w:u w:val="none"/>
          <w:shd w:val="clear" w:color="auto" w:fill="auto"/>
          <w:lang w:val="en-US" w:eastAsia="zh-CN" w:bidi="ar-SA"/>
        </w:rPr>
      </w:pPr>
      <w:r>
        <w:rPr>
          <w:rFonts w:hint="eastAsia" w:ascii="楷体_GB2312" w:hAnsi="楷体_GB2312" w:eastAsia="楷体_GB2312" w:cs="楷体_GB2312"/>
          <w:b/>
          <w:bCs/>
          <w:sz w:val="32"/>
          <w:szCs w:val="32"/>
          <w:lang w:val="en-US" w:eastAsia="zh-CN"/>
        </w:rPr>
        <w:t>3.当好“智囊团”，</w:t>
      </w:r>
      <w:r>
        <w:rPr>
          <w:rFonts w:hint="eastAsia" w:ascii="楷体_GB2312" w:hAnsi="楷体_GB2312" w:eastAsia="楷体_GB2312" w:cs="楷体_GB2312"/>
          <w:b/>
          <w:bCs/>
          <w:sz w:val="32"/>
          <w:szCs w:val="32"/>
        </w:rPr>
        <w:t>参谋辅政</w:t>
      </w:r>
      <w:r>
        <w:rPr>
          <w:rFonts w:hint="eastAsia" w:ascii="楷体_GB2312" w:hAnsi="楷体_GB2312" w:eastAsia="楷体_GB2312" w:cs="楷体_GB2312"/>
          <w:b/>
          <w:bCs/>
          <w:sz w:val="32"/>
          <w:szCs w:val="32"/>
          <w:lang w:val="en-US" w:eastAsia="zh-CN"/>
        </w:rPr>
        <w:t>展现新作为。</w:t>
      </w:r>
      <w:r>
        <w:rPr>
          <w:rFonts w:hint="eastAsia" w:ascii="仿宋" w:hAnsi="仿宋" w:eastAsia="仿宋" w:cs="仿宋"/>
          <w:b/>
          <w:bCs/>
          <w:sz w:val="32"/>
          <w:szCs w:val="32"/>
          <w:lang w:val="en-US" w:eastAsia="zh-CN"/>
        </w:rPr>
        <w:t>高质量办理</w:t>
      </w:r>
      <w:r>
        <w:rPr>
          <w:rFonts w:hint="eastAsia" w:ascii="仿宋" w:hAnsi="仿宋" w:eastAsia="仿宋" w:cs="仿宋"/>
          <w:b/>
          <w:bCs/>
          <w:color w:val="000000"/>
          <w:kern w:val="2"/>
          <w:sz w:val="32"/>
          <w:szCs w:val="32"/>
          <w:u w:val="none"/>
          <w:shd w:val="clear" w:color="auto" w:fill="auto"/>
          <w:lang w:val="en-US" w:eastAsia="zh-CN" w:bidi="ar-SA"/>
        </w:rPr>
        <w:t>建议，</w:t>
      </w:r>
      <w:r>
        <w:rPr>
          <w:rFonts w:hint="eastAsia" w:ascii="Times New Roman" w:hAnsi="Times New Roman" w:eastAsia="仿宋_GB2312" w:cs="仿宋_GB2312"/>
          <w:color w:val="000000"/>
          <w:kern w:val="2"/>
          <w:sz w:val="32"/>
          <w:szCs w:val="32"/>
          <w:u w:val="none"/>
          <w:shd w:val="clear" w:color="auto" w:fill="auto"/>
          <w:lang w:val="en-US" w:eastAsia="zh-CN" w:bidi="ar-SA"/>
        </w:rPr>
        <w:t>共收集人大代表建议、批评和意见235件，政协委员提案122件，确定10件重点督办建议和10件重点提案，已全部办复完毕。</w:t>
      </w:r>
      <w:r>
        <w:rPr>
          <w:rFonts w:hint="eastAsia" w:ascii="仿宋" w:hAnsi="仿宋" w:eastAsia="仿宋" w:cs="仿宋"/>
          <w:b/>
          <w:bCs/>
          <w:sz w:val="32"/>
          <w:szCs w:val="32"/>
          <w:lang w:val="en-US" w:eastAsia="zh-CN"/>
        </w:rPr>
        <w:t>高标准办文办会</w:t>
      </w:r>
      <w:r>
        <w:rPr>
          <w:rFonts w:hint="eastAsia" w:ascii="Times New Roman" w:hAnsi="Times New Roman" w:eastAsia="仿宋_GB2312" w:cs="仿宋_GB2312"/>
          <w:b/>
          <w:bCs/>
          <w:color w:val="000000"/>
          <w:kern w:val="2"/>
          <w:sz w:val="32"/>
          <w:szCs w:val="32"/>
          <w:u w:val="none"/>
          <w:shd w:val="clear" w:color="auto" w:fill="auto"/>
          <w:lang w:val="en-US" w:eastAsia="zh-CN" w:bidi="ar-SA"/>
        </w:rPr>
        <w:t>，</w:t>
      </w:r>
      <w:r>
        <w:rPr>
          <w:rFonts w:hint="eastAsia" w:ascii="Times New Roman" w:hAnsi="Times New Roman" w:eastAsia="仿宋_GB2312" w:cs="仿宋_GB2312"/>
          <w:color w:val="000000"/>
          <w:kern w:val="2"/>
          <w:sz w:val="32"/>
          <w:szCs w:val="32"/>
          <w:u w:val="none"/>
          <w:shd w:val="clear" w:color="auto" w:fill="auto"/>
          <w:lang w:val="en-US" w:eastAsia="zh-CN" w:bidi="ar-SA"/>
        </w:rPr>
        <w:t>坚持以“压缩文件数量，提高文件质量”为原则，严格审签程序，注重办文效率。截止目前，共制发县政府和政府办文件272件。按照“精减文山会海”的要求，2025年制发规范性文同比下降8.5%。高质量承办县政府常务会议14次。编撰《道县政报》4期。向市政府报送高质量约稿信息100余篇，采用60篇。</w:t>
      </w:r>
      <w:r>
        <w:rPr>
          <w:rFonts w:hint="eastAsia" w:ascii="Times New Roman" w:hAnsi="Times New Roman" w:eastAsia="仿宋_GB2312" w:cs="仿宋_GB2312"/>
          <w:b/>
          <w:bCs/>
          <w:color w:val="000000"/>
          <w:kern w:val="2"/>
          <w:sz w:val="32"/>
          <w:szCs w:val="32"/>
          <w:u w:val="none"/>
          <w:shd w:val="clear" w:color="auto" w:fill="auto"/>
          <w:lang w:val="en-US" w:eastAsia="zh-CN" w:bidi="ar-SA"/>
        </w:rPr>
        <w:t>高效率值班值守，</w:t>
      </w:r>
      <w:r>
        <w:rPr>
          <w:rFonts w:hint="eastAsia" w:ascii="Times New Roman" w:hAnsi="Times New Roman" w:eastAsia="仿宋_GB2312" w:cs="仿宋_GB2312"/>
          <w:color w:val="000000"/>
          <w:kern w:val="2"/>
          <w:sz w:val="32"/>
          <w:szCs w:val="32"/>
          <w:u w:val="none"/>
          <w:shd w:val="clear" w:color="auto" w:fill="auto"/>
          <w:lang w:val="en-US" w:eastAsia="zh-CN" w:bidi="ar-SA"/>
        </w:rPr>
        <w:t>严格执行24小时在岗值班工作制，认真严谨细致做好通知下发、信访接待、文件处理等日常工作，全年接报各类突发公共事件251件，其中上报突发事件信息139件，无迟报、漏报、瞒报现象。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楷体_GB2312" w:hAnsi="楷体_GB2312" w:eastAsia="楷体_GB2312" w:cs="楷体_GB2312"/>
          <w:b/>
          <w:bCs/>
          <w:sz w:val="32"/>
          <w:szCs w:val="32"/>
          <w:lang w:val="en-US" w:eastAsia="zh-CN"/>
        </w:rPr>
        <w:t>4.织好“保障网”，真督实查取得新进展。</w:t>
      </w:r>
      <w:r>
        <w:rPr>
          <w:rFonts w:hint="eastAsia" w:ascii="Times New Roman" w:hAnsi="Times New Roman" w:eastAsia="仿宋_GB2312" w:cs="仿宋_GB2312"/>
          <w:color w:val="000000"/>
          <w:sz w:val="32"/>
          <w:szCs w:val="32"/>
          <w:lang w:val="en-US" w:eastAsia="zh-CN"/>
        </w:rPr>
        <w:t>始终把狠抓落实、强化执行放在重要位置，以钉钉子精神跑好推动落实“第一棒”。</w:t>
      </w:r>
      <w:r>
        <w:rPr>
          <w:rFonts w:hint="eastAsia" w:ascii="Times New Roman" w:hAnsi="Times New Roman" w:eastAsia="仿宋_GB2312" w:cs="仿宋_GB2312"/>
          <w:b/>
          <w:bCs/>
          <w:color w:val="000000"/>
          <w:sz w:val="32"/>
          <w:szCs w:val="32"/>
          <w:lang w:val="en-US" w:eastAsia="zh-CN"/>
        </w:rPr>
        <w:t>提高站位抓落实，</w:t>
      </w:r>
      <w:r>
        <w:rPr>
          <w:rFonts w:hint="eastAsia" w:ascii="Times New Roman" w:hAnsi="Times New Roman" w:eastAsia="仿宋_GB2312" w:cs="仿宋_GB2312"/>
          <w:color w:val="000000"/>
          <w:sz w:val="32"/>
          <w:szCs w:val="32"/>
          <w:lang w:val="en-US" w:eastAsia="zh-CN"/>
        </w:rPr>
        <w:t>把贯彻落实习近平总书记重要讲话重要指示批示精神作为首要任务，协助县政府领导深入开展“走找想促”蹲点调研，确保上级指示要求在道县见行见效。</w:t>
      </w:r>
      <w:r>
        <w:rPr>
          <w:rFonts w:hint="eastAsia" w:ascii="Times New Roman" w:hAnsi="Times New Roman" w:eastAsia="仿宋_GB2312" w:cs="仿宋_GB2312"/>
          <w:b/>
          <w:bCs/>
          <w:color w:val="000000"/>
          <w:sz w:val="32"/>
          <w:szCs w:val="32"/>
          <w:lang w:val="en-US" w:eastAsia="zh-CN"/>
        </w:rPr>
        <w:t>着眼大局抓落实，</w:t>
      </w:r>
      <w:r>
        <w:rPr>
          <w:rFonts w:hint="eastAsia" w:ascii="Times New Roman" w:hAnsi="Times New Roman" w:eastAsia="仿宋_GB2312" w:cs="仿宋_GB2312"/>
          <w:color w:val="000000"/>
          <w:sz w:val="32"/>
          <w:szCs w:val="32"/>
          <w:lang w:val="en-US" w:eastAsia="zh-CN"/>
        </w:rPr>
        <w:t>创新督查方式，推动各级领导批示精神落细落小，</w:t>
      </w:r>
      <w:r>
        <w:rPr>
          <w:rFonts w:hint="eastAsia" w:ascii="Times New Roman" w:hAnsi="Times New Roman" w:eastAsia="仿宋_GB2312" w:cs="Times New Roman"/>
          <w:bCs w:val="0"/>
          <w:color w:val="000000"/>
          <w:sz w:val="32"/>
          <w:szCs w:val="32"/>
          <w:lang w:eastAsia="zh-CN"/>
        </w:rPr>
        <w:t>市政府督查室交办</w:t>
      </w:r>
      <w:r>
        <w:rPr>
          <w:rFonts w:hint="eastAsia" w:ascii="Times New Roman" w:hAnsi="Times New Roman" w:eastAsia="仿宋_GB2312" w:cs="Times New Roman"/>
          <w:bCs w:val="0"/>
          <w:color w:val="000000"/>
          <w:sz w:val="32"/>
          <w:szCs w:val="32"/>
          <w:lang w:val="en-US" w:eastAsia="zh-CN"/>
        </w:rPr>
        <w:t>39项</w:t>
      </w:r>
      <w:r>
        <w:rPr>
          <w:rFonts w:hint="eastAsia" w:ascii="Times New Roman" w:hAnsi="Times New Roman" w:eastAsia="仿宋_GB2312" w:cs="Times New Roman"/>
          <w:bCs w:val="0"/>
          <w:color w:val="000000"/>
          <w:sz w:val="32"/>
          <w:szCs w:val="32"/>
          <w:lang w:eastAsia="zh-CN"/>
        </w:rPr>
        <w:t>事项</w:t>
      </w:r>
      <w:r>
        <w:rPr>
          <w:rFonts w:hint="eastAsia" w:ascii="Times New Roman" w:hAnsi="Times New Roman" w:eastAsia="仿宋_GB2312" w:cs="Times New Roman"/>
          <w:bCs w:val="0"/>
          <w:color w:val="000000"/>
          <w:sz w:val="32"/>
          <w:szCs w:val="32"/>
          <w:lang w:val="en-US" w:eastAsia="zh-CN"/>
        </w:rPr>
        <w:t>已全部办结</w:t>
      </w:r>
      <w:r>
        <w:rPr>
          <w:rFonts w:hint="eastAsia" w:ascii="Times New Roman" w:hAnsi="Times New Roman" w:eastAsia="仿宋_GB2312" w:cs="仿宋_GB2312"/>
          <w:color w:val="000000"/>
          <w:sz w:val="32"/>
          <w:szCs w:val="32"/>
          <w:lang w:val="en-US" w:eastAsia="zh-CN"/>
        </w:rPr>
        <w:t>；县长各类批示件959件均已落实。开展民生实事专项督查，重点核查网民反映突出的重要问题，现场协调解决新天地小区物业未退费、道县四小断头路等10余个问题，确保群众获得感持续增强。深入紫金锂业、上坦公路、零道高速等重点项目一线开展跟踪督查，推动项目实施需求清单问题32项得到有效及时解决。配合县委督查室开展教育公平、中央八项规定精神学习教育、违规吃喝等督查工作10余次。</w:t>
      </w:r>
      <w:r>
        <w:rPr>
          <w:rFonts w:hint="eastAsia" w:ascii="Times New Roman" w:hAnsi="Times New Roman" w:eastAsia="仿宋_GB2312" w:cs="仿宋_GB2312"/>
          <w:b/>
          <w:bCs/>
          <w:color w:val="000000"/>
          <w:sz w:val="32"/>
          <w:szCs w:val="32"/>
          <w:lang w:val="en-US" w:eastAsia="zh-CN"/>
        </w:rPr>
        <w:t>优化机制抓落实，</w:t>
      </w:r>
      <w:r>
        <w:rPr>
          <w:rFonts w:hint="eastAsia" w:ascii="Times New Roman" w:hAnsi="Times New Roman" w:eastAsia="仿宋_GB2312" w:cs="仿宋_GB2312"/>
          <w:color w:val="000000"/>
          <w:sz w:val="32"/>
          <w:szCs w:val="32"/>
          <w:lang w:val="en-US" w:eastAsia="zh-CN"/>
        </w:rPr>
        <w:t>围绕《政府工作报告》分解的194项重点任务，建立“季度调度+实地核查”机制，实行清单交办、销号管理，每季度通报进展情况，动态跟踪进度，目前已有21项任务提前完成，149项序时推进，19项存在滞后，对工作滞后的6项任务实行挂牌督办。</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cs="仿宋_GB2312"/>
          <w:color w:val="000000"/>
          <w:sz w:val="32"/>
          <w:szCs w:val="32"/>
          <w:lang w:val="en-US" w:eastAsia="zh-CN"/>
        </w:rPr>
      </w:pPr>
      <w:r>
        <w:rPr>
          <w:rFonts w:hint="eastAsia" w:ascii="楷体_GB2312" w:hAnsi="楷体_GB2312" w:eastAsia="楷体_GB2312" w:cs="楷体_GB2312"/>
          <w:b/>
          <w:bCs/>
          <w:sz w:val="32"/>
          <w:szCs w:val="32"/>
          <w:lang w:val="en-US" w:eastAsia="zh-CN"/>
        </w:rPr>
        <w:t>5.建好“先锋队”</w:t>
      </w:r>
      <w:r>
        <w:rPr>
          <w:rStyle w:val="12"/>
          <w:rFonts w:hint="eastAsia" w:ascii="楷体_GB2312" w:hAnsi="楷体_GB2312" w:eastAsia="楷体_GB2312" w:cs="楷体_GB2312"/>
          <w:sz w:val="32"/>
          <w:szCs w:val="32"/>
        </w:rPr>
        <w:t>，</w:t>
      </w:r>
      <w:r>
        <w:rPr>
          <w:rStyle w:val="12"/>
          <w:rFonts w:hint="eastAsia" w:ascii="楷体_GB2312" w:hAnsi="楷体_GB2312" w:eastAsia="楷体_GB2312" w:cs="楷体_GB2312"/>
          <w:sz w:val="32"/>
          <w:szCs w:val="32"/>
          <w:lang w:val="en-US" w:eastAsia="zh-CN"/>
        </w:rPr>
        <w:t>干部队伍焕发新形象。</w:t>
      </w:r>
      <w:r>
        <w:rPr>
          <w:rFonts w:hint="eastAsia" w:ascii="Times New Roman" w:hAnsi="Times New Roman" w:eastAsia="仿宋_GB2312" w:cs="仿宋_GB2312"/>
          <w:sz w:val="32"/>
          <w:szCs w:val="32"/>
          <w:lang w:val="en-US" w:eastAsia="zh-CN"/>
        </w:rPr>
        <w:t>认真落实从严治办要求，不断加强自身建设，激发干部队伍活力，在模范机关建设上勇争先、作示范。</w:t>
      </w:r>
      <w:r>
        <w:rPr>
          <w:rFonts w:hint="eastAsia" w:ascii="Times New Roman" w:hAnsi="Times New Roman" w:eastAsia="仿宋_GB2312" w:cs="仿宋_GB2312"/>
          <w:b/>
          <w:bCs/>
          <w:sz w:val="32"/>
          <w:szCs w:val="32"/>
          <w:lang w:val="en-US" w:eastAsia="zh-CN"/>
        </w:rPr>
        <w:t>严格治办，</w:t>
      </w:r>
      <w:r>
        <w:rPr>
          <w:rFonts w:hint="eastAsia" w:ascii="Times New Roman" w:hAnsi="Times New Roman" w:eastAsia="仿宋_GB2312" w:cs="仿宋_GB2312"/>
          <w:sz w:val="32"/>
          <w:szCs w:val="32"/>
          <w:lang w:val="en-US" w:eastAsia="zh-CN"/>
        </w:rPr>
        <w:t>严格执行中央八项规定及其实施细则精神，深入开展集中整治违规吃喝，召开专题警示教育会，开展全覆盖集中整治违规吃喝监督谈话。自觉履行主体责任，每季度党组织书记上1次廉政建设党课，办公室整体工作效能进一步提高。</w:t>
      </w:r>
      <w:r>
        <w:rPr>
          <w:rFonts w:hint="eastAsia" w:ascii="Times New Roman" w:hAnsi="Times New Roman" w:eastAsia="仿宋_GB2312" w:cs="仿宋_GB2312"/>
          <w:b/>
          <w:bCs/>
          <w:sz w:val="32"/>
          <w:szCs w:val="32"/>
          <w:lang w:val="en-US" w:eastAsia="zh-CN"/>
        </w:rPr>
        <w:t>严守纪律，</w:t>
      </w:r>
      <w:r>
        <w:rPr>
          <w:rFonts w:hint="eastAsia" w:ascii="Times New Roman" w:hAnsi="Times New Roman" w:eastAsia="仿宋_GB2312" w:cs="仿宋_GB2312"/>
          <w:sz w:val="32"/>
          <w:szCs w:val="32"/>
          <w:lang w:val="en-US" w:eastAsia="zh-CN"/>
        </w:rPr>
        <w:t>以中央八项规定精神学习</w:t>
      </w:r>
      <w:r>
        <w:rPr>
          <w:rFonts w:hint="eastAsia" w:ascii="Times New Roman" w:hAnsi="Times New Roman" w:eastAsia="仿宋_GB2312" w:cs="仿宋_GB2312"/>
          <w:color w:val="000000"/>
          <w:sz w:val="32"/>
          <w:szCs w:val="32"/>
          <w:lang w:val="en-US" w:eastAsia="zh-CN"/>
        </w:rPr>
        <w:t>教育为抓手，组织学习党纪法规12次，开展廉政警示教育3次，通报典型案例7起。县政府办党组共查摆问题8个，11条具体表现，已全部整改到位。全力支持配合好县委巡察工作，针对巡察过程中反馈的8个立行立改问题，已全部整改到位。加强对公务接待、公务用车、政府采购等方面的监督检查，办公室风清气正的政治生态得到进一步巩固和发展。</w:t>
      </w:r>
      <w:r>
        <w:rPr>
          <w:rFonts w:hint="eastAsia" w:ascii="Times New Roman" w:hAnsi="Times New Roman" w:eastAsia="仿宋_GB2312" w:cs="仿宋_GB2312"/>
          <w:b/>
          <w:bCs/>
          <w:color w:val="000000"/>
          <w:sz w:val="32"/>
          <w:szCs w:val="32"/>
          <w:lang w:val="en-US" w:eastAsia="zh-CN"/>
        </w:rPr>
        <w:t>严管干部，</w:t>
      </w:r>
      <w:r>
        <w:rPr>
          <w:rFonts w:hint="eastAsia" w:ascii="Times New Roman" w:hAnsi="Times New Roman" w:eastAsia="仿宋_GB2312" w:cs="仿宋_GB2312"/>
          <w:color w:val="000000"/>
          <w:sz w:val="32"/>
          <w:szCs w:val="32"/>
          <w:lang w:val="en-US" w:eastAsia="zh-CN"/>
        </w:rPr>
        <w:t>严格落实党员发展计划，转正党员1名，培养入党积极分子1名。开展廉政谈话38人次，层层传导压力、压实责任。职级晋升5人，提拔推荐晋升正科1人，交流重用正科2名，有效激发干部干事创业热情和活力。</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Times New Roman" w:hAnsi="Times New Roman" w:eastAsia="仿宋_GB2312"/>
          <w:sz w:val="32"/>
          <w:szCs w:val="32"/>
        </w:rPr>
        <w:t>县政府办202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年实际支出</w:t>
      </w:r>
      <w:r>
        <w:rPr>
          <w:rFonts w:hint="eastAsia" w:ascii="Times New Roman" w:hAnsi="Times New Roman" w:eastAsia="仿宋_GB2312"/>
          <w:sz w:val="32"/>
          <w:szCs w:val="32"/>
          <w:lang w:val="en-US" w:eastAsia="zh-CN"/>
        </w:rPr>
        <w:t>890.48</w:t>
      </w:r>
      <w:r>
        <w:rPr>
          <w:rFonts w:hint="eastAsia" w:ascii="Times New Roman" w:hAnsi="Times New Roman" w:eastAsia="仿宋_GB2312"/>
          <w:sz w:val="32"/>
          <w:szCs w:val="32"/>
        </w:rPr>
        <w:t>万元，202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年初预算只有</w:t>
      </w:r>
      <w:r>
        <w:rPr>
          <w:rFonts w:hint="eastAsia" w:ascii="Times New Roman" w:hAnsi="Times New Roman" w:eastAsia="仿宋_GB2312"/>
          <w:sz w:val="32"/>
          <w:szCs w:val="32"/>
          <w:lang w:val="en-US" w:eastAsia="zh-CN"/>
        </w:rPr>
        <w:t>864.10</w:t>
      </w:r>
      <w:r>
        <w:rPr>
          <w:rFonts w:hint="eastAsia" w:ascii="Times New Roman" w:hAnsi="Times New Roman" w:eastAsia="仿宋_GB2312"/>
          <w:sz w:val="32"/>
          <w:szCs w:val="32"/>
        </w:rPr>
        <w:t>万元，与年初预算相差</w:t>
      </w:r>
      <w:r>
        <w:rPr>
          <w:rFonts w:hint="eastAsia" w:ascii="Times New Roman" w:hAnsi="Times New Roman" w:eastAsia="仿宋_GB2312"/>
          <w:sz w:val="32"/>
          <w:szCs w:val="32"/>
          <w:lang w:val="en-US" w:eastAsia="zh-CN"/>
        </w:rPr>
        <w:t>26.38</w:t>
      </w:r>
      <w:r>
        <w:rPr>
          <w:rFonts w:hint="eastAsia" w:ascii="Times New Roman" w:hAnsi="Times New Roman" w:eastAsia="仿宋_GB2312"/>
          <w:sz w:val="32"/>
          <w:szCs w:val="32"/>
        </w:rPr>
        <w:t>万元，主要是</w:t>
      </w:r>
      <w:r>
        <w:rPr>
          <w:rFonts w:hint="eastAsia" w:ascii="仿宋_GB2312" w:hAnsi="仿宋_GB2312" w:eastAsia="仿宋_GB2312" w:cs="仿宋_GB2312"/>
          <w:sz w:val="32"/>
          <w:szCs w:val="32"/>
          <w:lang w:val="en-US" w:eastAsia="zh-CN"/>
        </w:rPr>
        <w:t>人员增加，工资及社保基数调增导致，且财政局也增拨了社保指标部分差额。</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pStyle w:val="16"/>
        <w:jc w:val="both"/>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both"/>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财政拨款收入：指单位本年度从同级财政部门取得的各类财政拨款。 </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事业收入：指事业单位开展专业业务活动及其辅助活动取得的收入，事业单位收到的财政专户实际核拨的教育收费等资金在此反映。</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经营收入：指事业单位在专业业务活动及其辅助活动之外开展非独立核算经营活动取得的收入。</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附属单位上缴收入：指事业单位附属独立核算单位按照有关规定上缴的收入。</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其他收入：指单位取得的除上述“财政拨款收入”、“事业收入”、“经营收入”等以外的各项收入。</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使用非财政拨款结余：指事业单位使用非财政拨款结余（原事业基金）弥补当年收支差额的数额。</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年初结转和结余：指单位上年结转本年使用的基本支出结转、项目支出结转和结余和经营结余。</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结余分配：指事业单位按规定对非财政拨款结余资金提取的专用基金、缴纳的所得税和转入非财政拨款结余等。</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年末结转和结余资金：指本年度或以前年度预算安排、因客观条件发生变化无法按原计划实施，需要延迟到以后年度按有关规定继续使用的资金。 </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基本支出：指为保障机构正常运转、完成日常工作任务而发生的支出，包括人员经费和公用经费。</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项目支出：指在为完成特定的工作任务和事业发展目标所发生的支出。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上缴上级支出：指事业单位按照财政部门和主管部门的规定上缴上级单位的支出。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经营支出：指事业单位在专业业务活动及其辅助活动之外开展非独立核算经营活动发生的支出。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对附属单位补助支出：指事业单位用财政拨款收入之外的收入对附属单位补助发生的支出。</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keepNext w:val="0"/>
        <w:keepLines w:val="0"/>
        <w:widowControl/>
        <w:numPr>
          <w:ilvl w:val="0"/>
          <w:numId w:val="3"/>
        </w:numPr>
        <w:suppressLineNumbers w:val="0"/>
        <w:jc w:val="left"/>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上级补助收入：指事业单位从主管部门和上级单位取得的非财政补助收入。</w:t>
      </w:r>
    </w:p>
    <w:p>
      <w:pPr>
        <w:pStyle w:val="16"/>
        <w:jc w:val="center"/>
        <w:rPr>
          <w:sz w:val="72"/>
          <w:szCs w:val="72"/>
        </w:rPr>
      </w:pPr>
    </w:p>
    <w:p>
      <w:pPr>
        <w:pStyle w:val="16"/>
        <w:jc w:val="center"/>
        <w:rPr>
          <w:sz w:val="72"/>
          <w:szCs w:val="72"/>
        </w:rPr>
      </w:pPr>
    </w:p>
    <w:p>
      <w:pPr>
        <w:pStyle w:val="16"/>
        <w:jc w:val="both"/>
        <w:rPr>
          <w:rFonts w:hint="eastAsia" w:ascii="方正小标宋_GBK" w:hAnsi="方正小标宋_GBK" w:eastAsia="方正小标宋_GBK" w:cs="方正小标宋_GBK"/>
          <w:sz w:val="72"/>
          <w:szCs w:val="72"/>
        </w:rPr>
      </w:pPr>
    </w:p>
    <w:p>
      <w:pPr>
        <w:pStyle w:val="16"/>
        <w:jc w:val="both"/>
        <w:rPr>
          <w:rFonts w:hint="eastAsia" w:ascii="方正小标宋_GBK" w:hAnsi="方正小标宋_GBK" w:eastAsia="方正小标宋_GBK" w:cs="方正小标宋_GBK"/>
          <w:sz w:val="72"/>
          <w:szCs w:val="72"/>
        </w:rPr>
      </w:pPr>
    </w:p>
    <w:p>
      <w:pPr>
        <w:pStyle w:val="16"/>
        <w:jc w:val="both"/>
        <w:rPr>
          <w:rFonts w:hint="eastAsia" w:ascii="方正小标宋_GBK" w:hAnsi="方正小标宋_GBK" w:eastAsia="方正小标宋_GBK" w:cs="方正小标宋_GBK"/>
          <w:sz w:val="72"/>
          <w:szCs w:val="72"/>
        </w:rPr>
      </w:pPr>
    </w:p>
    <w:p>
      <w:pPr>
        <w:pStyle w:val="16"/>
        <w:jc w:val="both"/>
        <w:rPr>
          <w:rFonts w:hint="eastAsia" w:ascii="方正小标宋_GBK" w:hAnsi="方正小标宋_GBK" w:eastAsia="方正小标宋_GBK" w:cs="方正小标宋_GBK"/>
          <w:sz w:val="72"/>
          <w:szCs w:val="72"/>
        </w:rPr>
      </w:pPr>
    </w:p>
    <w:p>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6"/>
        <w:jc w:val="center"/>
        <w:rPr>
          <w:rFonts w:hint="eastAsia" w:ascii="方正小标宋_GBK" w:hAnsi="方正小标宋_GBK" w:eastAsia="方正小标宋_GBK" w:cs="方正小标宋_GBK"/>
          <w:sz w:val="70"/>
          <w:szCs w:val="70"/>
        </w:rPr>
      </w:pPr>
    </w:p>
    <w:p>
      <w:pPr>
        <w:pStyle w:val="16"/>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pStyle w:val="16"/>
        <w:jc w:val="center"/>
        <w:rPr>
          <w:rFonts w:hint="eastAsia" w:ascii="方正小标宋_GBK" w:hAnsi="方正小标宋_GBK" w:eastAsia="方正小标宋_GBK" w:cs="方正小标宋_GBK"/>
          <w:sz w:val="70"/>
          <w:szCs w:val="70"/>
          <w:lang w:eastAsia="zh-CN"/>
        </w:rPr>
      </w:pPr>
      <w:bookmarkStart w:id="3" w:name="_GoBack"/>
      <w:bookmarkEnd w:id="3"/>
    </w:p>
    <w:p>
      <w:pPr>
        <w:pStyle w:val="16"/>
        <w:jc w:val="center"/>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6"/>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6"/>
        <w:jc w:val="center"/>
        <w:rPr>
          <w:sz w:val="72"/>
          <w:szCs w:val="72"/>
        </w:rPr>
      </w:pPr>
    </w:p>
    <w:p>
      <w:pPr>
        <w:pStyle w:val="16"/>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ingLiU">
    <w:panose1 w:val="02020509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F49C2"/>
    <w:multiLevelType w:val="singleLevel"/>
    <w:tmpl w:val="821F49C2"/>
    <w:lvl w:ilvl="0" w:tentative="0">
      <w:start w:val="7"/>
      <w:numFmt w:val="chineseCounting"/>
      <w:suff w:val="nothing"/>
      <w:lvlText w:val="%1、"/>
      <w:lvlJc w:val="left"/>
      <w:rPr>
        <w:rFonts w:hint="eastAsia"/>
      </w:rPr>
    </w:lvl>
  </w:abstractNum>
  <w:abstractNum w:abstractNumId="1">
    <w:nsid w:val="2C0D7392"/>
    <w:multiLevelType w:val="singleLevel"/>
    <w:tmpl w:val="2C0D7392"/>
    <w:lvl w:ilvl="0" w:tentative="0">
      <w:start w:val="1"/>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ODY1NTBhOThiNzA2ZjgyYjhjNjFiMWQ3ZDhkN2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1F52"/>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1E23"/>
    <w:rsid w:val="00A92E9F"/>
    <w:rsid w:val="00AB18FF"/>
    <w:rsid w:val="00B33BEA"/>
    <w:rsid w:val="00B57C9F"/>
    <w:rsid w:val="00B63572"/>
    <w:rsid w:val="00B635B1"/>
    <w:rsid w:val="00B845B3"/>
    <w:rsid w:val="00B85D8B"/>
    <w:rsid w:val="00BB4A40"/>
    <w:rsid w:val="00BD6C3E"/>
    <w:rsid w:val="00BE3674"/>
    <w:rsid w:val="00C10681"/>
    <w:rsid w:val="00C3049A"/>
    <w:rsid w:val="00C31B1E"/>
    <w:rsid w:val="00C53AD7"/>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776B0"/>
    <w:rsid w:val="00E8683C"/>
    <w:rsid w:val="00EA2B72"/>
    <w:rsid w:val="00F74360"/>
    <w:rsid w:val="00FB462F"/>
    <w:rsid w:val="00FE16FA"/>
    <w:rsid w:val="00FE328A"/>
    <w:rsid w:val="00FE6269"/>
    <w:rsid w:val="00FF5CD6"/>
    <w:rsid w:val="01D94A0C"/>
    <w:rsid w:val="02565543"/>
    <w:rsid w:val="031211BD"/>
    <w:rsid w:val="034C72DC"/>
    <w:rsid w:val="036913F5"/>
    <w:rsid w:val="03F47384"/>
    <w:rsid w:val="042C2130"/>
    <w:rsid w:val="043833BC"/>
    <w:rsid w:val="04697A1A"/>
    <w:rsid w:val="047311FB"/>
    <w:rsid w:val="050414F1"/>
    <w:rsid w:val="05145BD8"/>
    <w:rsid w:val="052669B9"/>
    <w:rsid w:val="05697868"/>
    <w:rsid w:val="05C84C14"/>
    <w:rsid w:val="05E37291"/>
    <w:rsid w:val="05EA2DDC"/>
    <w:rsid w:val="06190FCC"/>
    <w:rsid w:val="06C81949"/>
    <w:rsid w:val="06F531B0"/>
    <w:rsid w:val="0721282E"/>
    <w:rsid w:val="07632E46"/>
    <w:rsid w:val="07764F71"/>
    <w:rsid w:val="09306D58"/>
    <w:rsid w:val="09331E27"/>
    <w:rsid w:val="09694018"/>
    <w:rsid w:val="099E3CC2"/>
    <w:rsid w:val="099F6303"/>
    <w:rsid w:val="09DB29DF"/>
    <w:rsid w:val="09E75808"/>
    <w:rsid w:val="0A624370"/>
    <w:rsid w:val="0B043FF8"/>
    <w:rsid w:val="0B6C5C2F"/>
    <w:rsid w:val="0C9B7874"/>
    <w:rsid w:val="0CA05FA3"/>
    <w:rsid w:val="0D444B80"/>
    <w:rsid w:val="0D9E6EFA"/>
    <w:rsid w:val="0F4F1733"/>
    <w:rsid w:val="1018536D"/>
    <w:rsid w:val="10FD7E68"/>
    <w:rsid w:val="11162CD7"/>
    <w:rsid w:val="12555A81"/>
    <w:rsid w:val="128E7B0C"/>
    <w:rsid w:val="12BB3B36"/>
    <w:rsid w:val="13294F44"/>
    <w:rsid w:val="14186D67"/>
    <w:rsid w:val="1457163D"/>
    <w:rsid w:val="149A59CD"/>
    <w:rsid w:val="14BE16BC"/>
    <w:rsid w:val="14E54E9B"/>
    <w:rsid w:val="15E50ECA"/>
    <w:rsid w:val="15F45536"/>
    <w:rsid w:val="166841FD"/>
    <w:rsid w:val="16930926"/>
    <w:rsid w:val="17514A69"/>
    <w:rsid w:val="177578EF"/>
    <w:rsid w:val="17926EBC"/>
    <w:rsid w:val="17935082"/>
    <w:rsid w:val="17A70B2D"/>
    <w:rsid w:val="17D336D0"/>
    <w:rsid w:val="17E86A50"/>
    <w:rsid w:val="18441ED8"/>
    <w:rsid w:val="1A030DE0"/>
    <w:rsid w:val="1A165AF6"/>
    <w:rsid w:val="1A5F749D"/>
    <w:rsid w:val="1AB8095B"/>
    <w:rsid w:val="1ABD5F72"/>
    <w:rsid w:val="1AC029E0"/>
    <w:rsid w:val="1AE6196C"/>
    <w:rsid w:val="1AFF47DC"/>
    <w:rsid w:val="1C0F579A"/>
    <w:rsid w:val="1C876837"/>
    <w:rsid w:val="1CD11494"/>
    <w:rsid w:val="1D0D31E0"/>
    <w:rsid w:val="1D97DEFF"/>
    <w:rsid w:val="1DB72E78"/>
    <w:rsid w:val="1DFF72E5"/>
    <w:rsid w:val="1E0068A1"/>
    <w:rsid w:val="1EFC6F07"/>
    <w:rsid w:val="20572B95"/>
    <w:rsid w:val="20E634F8"/>
    <w:rsid w:val="214E201A"/>
    <w:rsid w:val="227C4964"/>
    <w:rsid w:val="22E76282"/>
    <w:rsid w:val="230B6414"/>
    <w:rsid w:val="23130E25"/>
    <w:rsid w:val="2329689A"/>
    <w:rsid w:val="239B0E1A"/>
    <w:rsid w:val="23E94043"/>
    <w:rsid w:val="2463402E"/>
    <w:rsid w:val="24C525F3"/>
    <w:rsid w:val="24EA02AB"/>
    <w:rsid w:val="24F108AD"/>
    <w:rsid w:val="255E0036"/>
    <w:rsid w:val="25F0369F"/>
    <w:rsid w:val="263251B0"/>
    <w:rsid w:val="26B81039"/>
    <w:rsid w:val="26D33207"/>
    <w:rsid w:val="27655D9C"/>
    <w:rsid w:val="27787DF0"/>
    <w:rsid w:val="27FF7BCA"/>
    <w:rsid w:val="28724840"/>
    <w:rsid w:val="290E0C11"/>
    <w:rsid w:val="29671ECA"/>
    <w:rsid w:val="29BA6CD3"/>
    <w:rsid w:val="29DF5F05"/>
    <w:rsid w:val="2A0F02AA"/>
    <w:rsid w:val="2A1C0F07"/>
    <w:rsid w:val="2A6603D4"/>
    <w:rsid w:val="2ACD65FF"/>
    <w:rsid w:val="2AE45217"/>
    <w:rsid w:val="2B3A100D"/>
    <w:rsid w:val="2B430804"/>
    <w:rsid w:val="2BA72A52"/>
    <w:rsid w:val="2BDA4BD6"/>
    <w:rsid w:val="2C90798A"/>
    <w:rsid w:val="2D9B0395"/>
    <w:rsid w:val="2DC41474"/>
    <w:rsid w:val="2DCF6290"/>
    <w:rsid w:val="2E1819E5"/>
    <w:rsid w:val="2E263226"/>
    <w:rsid w:val="2EFC4E63"/>
    <w:rsid w:val="2F4F1437"/>
    <w:rsid w:val="2F75733C"/>
    <w:rsid w:val="2FDF85B8"/>
    <w:rsid w:val="2FFFEE04"/>
    <w:rsid w:val="30FE56C5"/>
    <w:rsid w:val="31382864"/>
    <w:rsid w:val="3148438F"/>
    <w:rsid w:val="321F203B"/>
    <w:rsid w:val="32A57B7D"/>
    <w:rsid w:val="333F4E52"/>
    <w:rsid w:val="33BE7EEE"/>
    <w:rsid w:val="33D60378"/>
    <w:rsid w:val="33F1007A"/>
    <w:rsid w:val="34DF85B0"/>
    <w:rsid w:val="35380BBF"/>
    <w:rsid w:val="355A3930"/>
    <w:rsid w:val="35BF1F08"/>
    <w:rsid w:val="35F65B8B"/>
    <w:rsid w:val="36251143"/>
    <w:rsid w:val="36807657"/>
    <w:rsid w:val="379A790F"/>
    <w:rsid w:val="379F4F25"/>
    <w:rsid w:val="37F52D97"/>
    <w:rsid w:val="381A231E"/>
    <w:rsid w:val="39245CCA"/>
    <w:rsid w:val="39745D84"/>
    <w:rsid w:val="39E44E71"/>
    <w:rsid w:val="3A080B60"/>
    <w:rsid w:val="3A8A5A19"/>
    <w:rsid w:val="3A9B7C26"/>
    <w:rsid w:val="3AB605BC"/>
    <w:rsid w:val="3B714E2B"/>
    <w:rsid w:val="3B8F36BC"/>
    <w:rsid w:val="3C7438D9"/>
    <w:rsid w:val="3CF47AC1"/>
    <w:rsid w:val="3DC15BF5"/>
    <w:rsid w:val="3DCA2D68"/>
    <w:rsid w:val="3DEC2546"/>
    <w:rsid w:val="3DFE62E9"/>
    <w:rsid w:val="3E0A124F"/>
    <w:rsid w:val="3E1201FF"/>
    <w:rsid w:val="3E1D056B"/>
    <w:rsid w:val="3EA13331"/>
    <w:rsid w:val="3F3423F7"/>
    <w:rsid w:val="3FB57EC7"/>
    <w:rsid w:val="3FE47979"/>
    <w:rsid w:val="40095632"/>
    <w:rsid w:val="407451A1"/>
    <w:rsid w:val="40E95A84"/>
    <w:rsid w:val="41BA6DE2"/>
    <w:rsid w:val="42764AD5"/>
    <w:rsid w:val="42C278C0"/>
    <w:rsid w:val="42D53EF1"/>
    <w:rsid w:val="42E44134"/>
    <w:rsid w:val="43F87E97"/>
    <w:rsid w:val="446D6D8C"/>
    <w:rsid w:val="44C36A47"/>
    <w:rsid w:val="44D415B0"/>
    <w:rsid w:val="44FC01D3"/>
    <w:rsid w:val="454F3AE7"/>
    <w:rsid w:val="46277840"/>
    <w:rsid w:val="46BE34E7"/>
    <w:rsid w:val="46E83D20"/>
    <w:rsid w:val="46F81F5C"/>
    <w:rsid w:val="46F86101"/>
    <w:rsid w:val="476870E2"/>
    <w:rsid w:val="47EC09D3"/>
    <w:rsid w:val="47EE0AE2"/>
    <w:rsid w:val="4832071D"/>
    <w:rsid w:val="486E697A"/>
    <w:rsid w:val="48B132C9"/>
    <w:rsid w:val="48CE1DC2"/>
    <w:rsid w:val="48D41EFB"/>
    <w:rsid w:val="48F82C53"/>
    <w:rsid w:val="49044BE8"/>
    <w:rsid w:val="491FF225"/>
    <w:rsid w:val="4981448B"/>
    <w:rsid w:val="499A72FA"/>
    <w:rsid w:val="4AB80EF1"/>
    <w:rsid w:val="4AF01898"/>
    <w:rsid w:val="4AF23390"/>
    <w:rsid w:val="4B337A07"/>
    <w:rsid w:val="4B3D6AD7"/>
    <w:rsid w:val="4B431D6F"/>
    <w:rsid w:val="4BC30D8B"/>
    <w:rsid w:val="4BE551A5"/>
    <w:rsid w:val="4D7D140D"/>
    <w:rsid w:val="4DC808DA"/>
    <w:rsid w:val="4E5E502F"/>
    <w:rsid w:val="4E85523F"/>
    <w:rsid w:val="4E8A2033"/>
    <w:rsid w:val="4EA16165"/>
    <w:rsid w:val="4EA84268"/>
    <w:rsid w:val="4EA90BA8"/>
    <w:rsid w:val="4EDA7B07"/>
    <w:rsid w:val="4FBD153E"/>
    <w:rsid w:val="4FC4743C"/>
    <w:rsid w:val="4FEE57E5"/>
    <w:rsid w:val="4FFD214C"/>
    <w:rsid w:val="50935486"/>
    <w:rsid w:val="50EB3DFB"/>
    <w:rsid w:val="510A32A2"/>
    <w:rsid w:val="513D08B7"/>
    <w:rsid w:val="51976F41"/>
    <w:rsid w:val="51F429D5"/>
    <w:rsid w:val="525A1D1D"/>
    <w:rsid w:val="52E76C55"/>
    <w:rsid w:val="52EC7036"/>
    <w:rsid w:val="53793407"/>
    <w:rsid w:val="541C54DC"/>
    <w:rsid w:val="54441969"/>
    <w:rsid w:val="55821CB6"/>
    <w:rsid w:val="55EB785C"/>
    <w:rsid w:val="56116B96"/>
    <w:rsid w:val="562E7748"/>
    <w:rsid w:val="5632548A"/>
    <w:rsid w:val="5683450E"/>
    <w:rsid w:val="5777D4F5"/>
    <w:rsid w:val="5833388E"/>
    <w:rsid w:val="587873A1"/>
    <w:rsid w:val="59343BF3"/>
    <w:rsid w:val="597162CA"/>
    <w:rsid w:val="59AA5338"/>
    <w:rsid w:val="59C13417"/>
    <w:rsid w:val="59C3600D"/>
    <w:rsid w:val="59C4289D"/>
    <w:rsid w:val="59DD8326"/>
    <w:rsid w:val="5A1F5D26"/>
    <w:rsid w:val="5A20511E"/>
    <w:rsid w:val="5A995C2E"/>
    <w:rsid w:val="5ACB5F2F"/>
    <w:rsid w:val="5ADC379C"/>
    <w:rsid w:val="5B26204D"/>
    <w:rsid w:val="5B353885"/>
    <w:rsid w:val="5B4A5024"/>
    <w:rsid w:val="5B8F2A37"/>
    <w:rsid w:val="5BF97E99"/>
    <w:rsid w:val="5C0C22DA"/>
    <w:rsid w:val="5C1941DD"/>
    <w:rsid w:val="5C7B276E"/>
    <w:rsid w:val="5C8A31FF"/>
    <w:rsid w:val="5CFD1C22"/>
    <w:rsid w:val="5D0B2591"/>
    <w:rsid w:val="5D2378DB"/>
    <w:rsid w:val="5D812854"/>
    <w:rsid w:val="5DB83BD4"/>
    <w:rsid w:val="5DE80B25"/>
    <w:rsid w:val="5DEF592A"/>
    <w:rsid w:val="5E1454CF"/>
    <w:rsid w:val="5E3C457C"/>
    <w:rsid w:val="5E897C12"/>
    <w:rsid w:val="5EA3224C"/>
    <w:rsid w:val="5F54063F"/>
    <w:rsid w:val="5F775CBC"/>
    <w:rsid w:val="5F781A34"/>
    <w:rsid w:val="5FC6BB1E"/>
    <w:rsid w:val="5FF720F1"/>
    <w:rsid w:val="603040BD"/>
    <w:rsid w:val="606841E1"/>
    <w:rsid w:val="608153B4"/>
    <w:rsid w:val="611C2337"/>
    <w:rsid w:val="61425C78"/>
    <w:rsid w:val="619F73C4"/>
    <w:rsid w:val="61C6117D"/>
    <w:rsid w:val="61CD6067"/>
    <w:rsid w:val="621B6D30"/>
    <w:rsid w:val="626F5370"/>
    <w:rsid w:val="63730B22"/>
    <w:rsid w:val="641A0DCB"/>
    <w:rsid w:val="6445282D"/>
    <w:rsid w:val="644D2584"/>
    <w:rsid w:val="645442A7"/>
    <w:rsid w:val="64D03483"/>
    <w:rsid w:val="65033C7C"/>
    <w:rsid w:val="65815634"/>
    <w:rsid w:val="6675029F"/>
    <w:rsid w:val="6716225F"/>
    <w:rsid w:val="67D839B8"/>
    <w:rsid w:val="67FF5C0B"/>
    <w:rsid w:val="68476448"/>
    <w:rsid w:val="684E77D6"/>
    <w:rsid w:val="68AD274F"/>
    <w:rsid w:val="69206308"/>
    <w:rsid w:val="692C7B17"/>
    <w:rsid w:val="694974B7"/>
    <w:rsid w:val="69843021"/>
    <w:rsid w:val="69D65924"/>
    <w:rsid w:val="69E94AD1"/>
    <w:rsid w:val="6A8776BA"/>
    <w:rsid w:val="6AB204F0"/>
    <w:rsid w:val="6AB778B5"/>
    <w:rsid w:val="6B243BC3"/>
    <w:rsid w:val="6BAA11C7"/>
    <w:rsid w:val="6BAE1ABF"/>
    <w:rsid w:val="6D073578"/>
    <w:rsid w:val="6D7B72BF"/>
    <w:rsid w:val="6DE74955"/>
    <w:rsid w:val="6E027099"/>
    <w:rsid w:val="6EFC0924"/>
    <w:rsid w:val="6F050527"/>
    <w:rsid w:val="6FB74722"/>
    <w:rsid w:val="6FEF8B7E"/>
    <w:rsid w:val="703D5E0D"/>
    <w:rsid w:val="70BB7448"/>
    <w:rsid w:val="71A6591B"/>
    <w:rsid w:val="71E73175"/>
    <w:rsid w:val="727028F3"/>
    <w:rsid w:val="7277186F"/>
    <w:rsid w:val="72810C90"/>
    <w:rsid w:val="72D97771"/>
    <w:rsid w:val="73335F46"/>
    <w:rsid w:val="7375655F"/>
    <w:rsid w:val="737D59BA"/>
    <w:rsid w:val="73F77193"/>
    <w:rsid w:val="74411998"/>
    <w:rsid w:val="747C3E9C"/>
    <w:rsid w:val="75241FEA"/>
    <w:rsid w:val="76065172"/>
    <w:rsid w:val="76785206"/>
    <w:rsid w:val="76B16769"/>
    <w:rsid w:val="76E8442E"/>
    <w:rsid w:val="770245AD"/>
    <w:rsid w:val="77C37683"/>
    <w:rsid w:val="77F2263B"/>
    <w:rsid w:val="782236FC"/>
    <w:rsid w:val="78CB7931"/>
    <w:rsid w:val="78FA19E0"/>
    <w:rsid w:val="790740FD"/>
    <w:rsid w:val="797A667D"/>
    <w:rsid w:val="79986B03"/>
    <w:rsid w:val="79FF515B"/>
    <w:rsid w:val="7A130469"/>
    <w:rsid w:val="7A8B6668"/>
    <w:rsid w:val="7B8E13F6"/>
    <w:rsid w:val="7C5359B7"/>
    <w:rsid w:val="7CA35EEB"/>
    <w:rsid w:val="7CAB5E50"/>
    <w:rsid w:val="7CE02C9B"/>
    <w:rsid w:val="7D853842"/>
    <w:rsid w:val="7DC4436B"/>
    <w:rsid w:val="7E10135E"/>
    <w:rsid w:val="7E4454AB"/>
    <w:rsid w:val="7E635932"/>
    <w:rsid w:val="7E9E1962"/>
    <w:rsid w:val="7E9F11B4"/>
    <w:rsid w:val="7EFE1409"/>
    <w:rsid w:val="7F37EC1E"/>
    <w:rsid w:val="7F6A2CF0"/>
    <w:rsid w:val="7F7DCD9D"/>
    <w:rsid w:val="7F970A6F"/>
    <w:rsid w:val="7FAC50B6"/>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cs="仿宋_GB2312"/>
      <w:sz w:val="28"/>
      <w:szCs w:val="28"/>
    </w:rPr>
  </w:style>
  <w:style w:type="paragraph" w:styleId="3">
    <w:name w:val="Body Text First Indent"/>
    <w:basedOn w:val="2"/>
    <w:qFormat/>
    <w:uiPriority w:val="0"/>
    <w:pPr>
      <w:ind w:firstLine="100" w:firstLineChars="100"/>
    </w:pPr>
    <w:rPr>
      <w:rFonts w:ascii="Calibri" w:hAnsi="Calibri" w:eastAsia="微软雅黑" w:cs="Times New Roman"/>
      <w:lang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styleId="12">
    <w:name w:val="Strong"/>
    <w:basedOn w:val="11"/>
    <w:qFormat/>
    <w:uiPriority w:val="0"/>
    <w:rPr>
      <w:b/>
    </w:rPr>
  </w:style>
  <w:style w:type="paragraph" w:customStyle="1" w:styleId="13">
    <w:name w:val="样式2"/>
    <w:qFormat/>
    <w:uiPriority w:val="0"/>
    <w:pPr>
      <w:shd w:val="clear" w:color="auto" w:fill="FFFFFF"/>
      <w:spacing w:before="100" w:beforeAutospacing="1" w:after="100" w:afterAutospacing="1"/>
      <w:ind w:left="562"/>
      <w:jc w:val="center"/>
    </w:pPr>
    <w:rPr>
      <w:rFonts w:ascii="宋体" w:hAnsi="宋体" w:eastAsia="宋体" w:cs="Times New Roman"/>
      <w:b/>
      <w:bCs/>
      <w:kern w:val="2"/>
      <w:sz w:val="21"/>
      <w:szCs w:val="21"/>
      <w:lang w:val="en-US" w:eastAsia="zh-CN" w:bidi="ar-SA"/>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1"/>
    <w:link w:val="6"/>
    <w:semiHidden/>
    <w:qFormat/>
    <w:uiPriority w:val="99"/>
    <w:rPr>
      <w:sz w:val="18"/>
      <w:szCs w:val="18"/>
    </w:rPr>
  </w:style>
  <w:style w:type="character" w:customStyle="1" w:styleId="19">
    <w:name w:val="font0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4"/>
      <w:szCs w:val="24"/>
      <w:u w:val="none"/>
    </w:rPr>
  </w:style>
  <w:style w:type="character" w:customStyle="1" w:styleId="21">
    <w:name w:val="font11"/>
    <w:basedOn w:val="11"/>
    <w:qFormat/>
    <w:uiPriority w:val="0"/>
    <w:rPr>
      <w:rFonts w:hint="eastAsia" w:ascii="宋体" w:hAnsi="宋体" w:eastAsia="宋体" w:cs="宋体"/>
      <w:color w:val="000000"/>
      <w:sz w:val="24"/>
      <w:szCs w:val="24"/>
      <w:u w:val="none"/>
    </w:rPr>
  </w:style>
  <w:style w:type="paragraph" w:customStyle="1" w:styleId="22">
    <w:name w:val="Body text|1"/>
    <w:basedOn w:val="1"/>
    <w:qFormat/>
    <w:uiPriority w:val="0"/>
    <w:pPr>
      <w:widowControl w:val="0"/>
      <w:shd w:val="clear" w:color="auto" w:fill="auto"/>
      <w:spacing w:after="60" w:line="480" w:lineRule="auto"/>
      <w:ind w:firstLine="400"/>
    </w:pPr>
    <w:rPr>
      <w:rFonts w:ascii="MingLiU" w:hAnsi="MingLiU" w:eastAsia="MingLiU" w:cs="MingLiU"/>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2528</Words>
  <Characters>3064</Characters>
  <Lines>63</Lines>
  <Paragraphs>18</Paragraphs>
  <TotalTime>11</TotalTime>
  <ScaleCrop>false</ScaleCrop>
  <LinksUpToDate>false</LinksUpToDate>
  <CharactersWithSpaces>3642</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蒋琼</cp:lastModifiedBy>
  <cp:lastPrinted>2024-08-08T10:20:00Z</cp:lastPrinted>
  <dcterms:modified xsi:type="dcterms:W3CDTF">2026-09-15T03:32:42Z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4614E527DDC3447688902339FB4025AB_12</vt:lpwstr>
  </property>
  <property fmtid="{D5CDD505-2E9C-101B-9397-08002B2CF9AE}" pid="4" name="KSOTemplateDocerSaveRecord">
    <vt:lpwstr>eyJoZGlkIjoiMGU1ZWVhOGYwMjFlYTk4YWYyZWI3MjE2Yjk4OTM3ZTciLCJ1c2VySWQiOiI0Mjg1ODAwODIifQ==</vt:lpwstr>
  </property>
</Properties>
</file>