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rPr>
                            </w:pPr>
                            <w:r>
                              <w:rPr>
                                <w:rFonts w:hint="eastAsia" w:ascii="楷体" w:hAnsi="楷体" w:eastAsia="楷体" w:cs="楷体"/>
                                <w:sz w:val="30"/>
                                <w:szCs w:val="30"/>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rPr>
                      </w:pPr>
                      <w:r>
                        <w:rPr>
                          <w:rFonts w:hint="eastAsia" w:ascii="楷体" w:hAnsi="楷体" w:eastAsia="楷体" w:cs="楷体"/>
                          <w:sz w:val="30"/>
                          <w:szCs w:val="30"/>
                        </w:rPr>
                        <w:t>附件1：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2025年度</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道县林业局部门决算公开</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hAnsi="黑体"/>
          <w:bCs/>
          <w:sz w:val="28"/>
          <w:szCs w:val="28"/>
        </w:rPr>
      </w:pPr>
      <w:r>
        <w:rPr>
          <w:rFonts w:hint="eastAsia" w:hAnsi="黑体"/>
          <w:bCs/>
          <w:sz w:val="28"/>
          <w:szCs w:val="28"/>
        </w:rPr>
        <w:t>第一部分 道县林业局概况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3"/>
        <w:spacing w:line="500" w:lineRule="exact"/>
        <w:rPr>
          <w:rFonts w:hint="eastAsia" w:hAnsi="黑体"/>
          <w:bCs/>
          <w:sz w:val="28"/>
          <w:szCs w:val="28"/>
        </w:rPr>
      </w:pPr>
      <w:r>
        <w:rPr>
          <w:rFonts w:hint="eastAsia" w:hAnsi="黑体"/>
          <w:bCs/>
          <w:sz w:val="28"/>
          <w:szCs w:val="28"/>
        </w:rPr>
        <w:t>第二部分 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hAnsi="黑体"/>
          <w:bCs/>
          <w:sz w:val="28"/>
          <w:szCs w:val="28"/>
        </w:rPr>
      </w:pPr>
      <w:r>
        <w:rPr>
          <w:rFonts w:hint="eastAsia" w:hAnsi="黑体"/>
          <w:bCs/>
          <w:sz w:val="28"/>
          <w:szCs w:val="28"/>
        </w:rPr>
        <w:t>第三部分 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rPr>
        <w:t>2025年</w:t>
      </w:r>
      <w:r>
        <w:rPr>
          <w:rFonts w:hint="eastAsia" w:ascii="仿宋_GB2312" w:hAnsi="仿宋_GB2312" w:eastAsia="仿宋_GB2312" w:cs="仿宋_GB2312"/>
          <w:sz w:val="28"/>
          <w:szCs w:val="28"/>
        </w:rPr>
        <w:t>度预算绩效情况的说明</w:t>
      </w:r>
    </w:p>
    <w:p>
      <w:pPr>
        <w:pStyle w:val="13"/>
        <w:spacing w:line="500" w:lineRule="exact"/>
        <w:rPr>
          <w:rFonts w:hint="eastAsia" w:hAnsi="黑体"/>
          <w:bCs/>
          <w:sz w:val="28"/>
          <w:szCs w:val="28"/>
        </w:rPr>
      </w:pPr>
      <w:r>
        <w:rPr>
          <w:rFonts w:hint="eastAsia" w:hAnsi="黑体"/>
          <w:bCs/>
          <w:sz w:val="28"/>
          <w:szCs w:val="28"/>
        </w:rPr>
        <w:t>第四部分 名词解释</w:t>
      </w:r>
    </w:p>
    <w:p>
      <w:pPr>
        <w:pStyle w:val="13"/>
        <w:spacing w:line="500" w:lineRule="exact"/>
        <w:rPr>
          <w:rFonts w:hint="eastAsia" w:hAnsi="黑体"/>
          <w:bCs/>
          <w:sz w:val="28"/>
          <w:szCs w:val="28"/>
        </w:rPr>
      </w:pPr>
      <w:r>
        <w:rPr>
          <w:rFonts w:hint="eastAsia" w:hAnsi="黑体"/>
          <w:bCs/>
          <w:sz w:val="28"/>
          <w:szCs w:val="28"/>
        </w:rPr>
        <w:t>第五部分 附件</w:t>
      </w:r>
    </w:p>
    <w:p>
      <w:pPr>
        <w:pStyle w:val="13"/>
        <w:spacing w:line="500" w:lineRule="exact"/>
        <w:rPr>
          <w:rFonts w:hint="eastAsia"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道县林业局概况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4"/>
        <w:ind w:firstLine="640"/>
        <w:jc w:val="left"/>
        <w:rPr>
          <w:rFonts w:hint="eastAsia" w:ascii="仿宋_GB2312" w:hAnsi="仿宋_GB2312" w:eastAsia="仿宋_GB2312" w:cs="仿宋_GB2312"/>
          <w:color w:val="000000"/>
          <w:sz w:val="32"/>
          <w:szCs w:val="32"/>
          <w:shd w:val="clear" w:color="auto" w:fill="FFFFFF"/>
        </w:rPr>
      </w:pPr>
      <w:r>
        <w:rPr>
          <w:rFonts w:hint="eastAsia" w:ascii="黑体" w:hAnsi="黑体" w:eastAsia="黑体" w:cs="黑体"/>
          <w:sz w:val="32"/>
          <w:szCs w:val="32"/>
        </w:rPr>
        <w:t>一、本部门</w:t>
      </w:r>
      <w:r>
        <w:rPr>
          <w:rFonts w:hint="eastAsia" w:ascii="仿宋_GB2312" w:hAnsi="仿宋_GB2312" w:eastAsia="仿宋_GB2312" w:cs="仿宋_GB2312"/>
          <w:b/>
          <w:bCs/>
          <w:color w:val="000000"/>
          <w:sz w:val="32"/>
          <w:szCs w:val="32"/>
          <w:shd w:val="clear" w:color="auto" w:fill="FFFFFF"/>
        </w:rPr>
        <w:t>职能职责</w:t>
      </w:r>
      <w:r>
        <w:rPr>
          <w:rFonts w:hint="eastAsia" w:ascii="仿宋_GB2312" w:hAnsi="仿宋_GB2312" w:eastAsia="仿宋_GB2312" w:cs="仿宋_GB2312"/>
          <w:color w:val="000000"/>
          <w:sz w:val="32"/>
          <w:szCs w:val="32"/>
          <w:shd w:val="clear" w:color="auto" w:fill="FFFFFF"/>
        </w:rPr>
        <w:t>主要是：</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bookmarkStart w:id="0" w:name="FUNCRESP"/>
      <w:r>
        <w:rPr>
          <w:rFonts w:hint="eastAsia" w:ascii="仿宋_GB2312" w:hAnsi="仿宋_GB2312" w:eastAsia="仿宋_GB2312" w:cs="仿宋_GB2312"/>
          <w:color w:val="000000"/>
          <w:sz w:val="32"/>
          <w:szCs w:val="32"/>
          <w:shd w:val="clear" w:color="auto" w:fill="FFFFFF"/>
        </w:rPr>
        <w:t>负责林业及其生态保护修复的监督管理;负责监督管理石漠化防治工作;负责陆生野生动植物资源监督管理;负责监督管理各类自然保护地、负责推进林业改革相关工作、负责良种选育推广，负责落实综合防灾减灾规划相关要求，组织指导国有林场林区开展宣传教育、监测预警、督促检查等防火工作。</w:t>
      </w:r>
      <w:bookmarkEnd w:id="0"/>
    </w:p>
    <w:p>
      <w:pPr>
        <w:widowControl/>
        <w:spacing w:line="600" w:lineRule="exact"/>
        <w:ind w:firstLine="640" w:firstLineChars="200"/>
        <w:rPr>
          <w:rFonts w:hint="eastAsia"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spacing w:line="570" w:lineRule="atLeast"/>
        <w:ind w:left="640"/>
        <w:rPr>
          <w:rFonts w:hint="eastAsia" w:ascii="仿宋_GB2312" w:hAnsi="仿宋_GB2312" w:eastAsia="仿宋_GB2312" w:cs="仿宋_GB2312"/>
          <w:b/>
          <w:bCs/>
          <w:color w:val="000000"/>
          <w:sz w:val="32"/>
          <w:szCs w:val="32"/>
          <w:shd w:val="clear" w:color="auto" w:fill="FFFFFF"/>
        </w:rPr>
      </w:pPr>
      <w:r>
        <w:rPr>
          <w:rFonts w:hint="eastAsia" w:ascii="Times New Roman" w:hAnsi="Times New Roman" w:eastAsia="仿宋_GB2312" w:cs="仿宋_GB2312"/>
          <w:bCs/>
          <w:kern w:val="0"/>
          <w:sz w:val="32"/>
          <w:szCs w:val="32"/>
        </w:rPr>
        <w:t>（一）内设机构设置。</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bookmarkStart w:id="1" w:name="ORG_SET"/>
      <w:r>
        <w:rPr>
          <w:rFonts w:hint="eastAsia" w:ascii="仿宋_GB2312" w:hAnsi="仿宋_GB2312" w:eastAsia="仿宋_GB2312" w:cs="仿宋_GB2312"/>
          <w:color w:val="000000"/>
          <w:sz w:val="32"/>
          <w:szCs w:val="32"/>
          <w:shd w:val="clear" w:color="auto" w:fill="FFFFFF"/>
        </w:rPr>
        <w:t>道县林业局全额拨款行政单位，总编制135人，实有编制人员135人，其中行政编制11人，机关后勤事业编制2人，事业编制122人，合计135人，机动车辆2台。</w:t>
      </w:r>
      <w:bookmarkEnd w:id="1"/>
    </w:p>
    <w:p>
      <w:pPr>
        <w:widowControl/>
        <w:numPr>
          <w:ilvl w:val="0"/>
          <w:numId w:val="1"/>
        </w:numPr>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spacing w:line="600" w:lineRule="exact"/>
        <w:ind w:firstLine="960" w:firstLineChars="300"/>
        <w:rPr>
          <w:rFonts w:ascii="Times New Roman" w:hAnsi="Times New Roman" w:eastAsia="仿宋_GB2312" w:cs="仿宋_GB2312"/>
          <w:bCs/>
          <w:kern w:val="0"/>
          <w:sz w:val="32"/>
          <w:szCs w:val="32"/>
        </w:rPr>
      </w:pPr>
      <w:r>
        <w:rPr>
          <w:rFonts w:eastAsia="仿宋_GB2312"/>
          <w:color w:val="000000"/>
          <w:sz w:val="32"/>
          <w:szCs w:val="32"/>
        </w:rPr>
        <w:t>包括一般公共预算、政府性基金、国有资本经营预算等财政拨款收入，以及经营收入、事业收入等单位资金。</w:t>
      </w:r>
    </w:p>
    <w:p>
      <w:pPr>
        <w:jc w:val="left"/>
        <w:rPr>
          <w:rFonts w:hint="eastAsia" w:ascii="仿宋_GB2312" w:eastAsia="仿宋_GB2312" w:hAnsiTheme="minorEastAsia"/>
          <w:sz w:val="28"/>
          <w:szCs w:val="32"/>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hint="eastAsia" w:asciiTheme="minorEastAsia" w:hAnsiTheme="minorEastAsia"/>
          <w:sz w:val="32"/>
          <w:szCs w:val="32"/>
        </w:rPr>
        <w:sectPr>
          <w:pgSz w:w="11906" w:h="16838"/>
          <w:pgMar w:top="2041" w:right="1191" w:bottom="1191" w:left="1474" w:header="851" w:footer="992" w:gutter="0"/>
          <w:cols w:space="0" w:num="1"/>
          <w:docGrid w:type="lines" w:linePitch="312" w:charSpace="0"/>
        </w:sectPr>
      </w:pPr>
    </w:p>
    <w:p>
      <w:pPr>
        <w:pStyle w:val="2"/>
        <w:ind w:left="0" w:leftChars="0" w:firstLine="0" w:firstLineChars="0"/>
      </w:pPr>
      <w:bookmarkStart w:id="2" w:name="RANGE!A1:I22"/>
      <w:bookmarkEnd w:id="2"/>
    </w:p>
    <w:tbl>
      <w:tblPr>
        <w:tblStyle w:val="9"/>
        <w:tblW w:w="13956" w:type="dxa"/>
        <w:jc w:val="center"/>
        <w:tblLayout w:type="autofit"/>
        <w:tblCellMar>
          <w:top w:w="0" w:type="dxa"/>
          <w:left w:w="108" w:type="dxa"/>
          <w:bottom w:w="0" w:type="dxa"/>
          <w:right w:w="108" w:type="dxa"/>
        </w:tblCellMar>
      </w:tblPr>
      <w:tblGrid>
        <w:gridCol w:w="5291"/>
        <w:gridCol w:w="679"/>
        <w:gridCol w:w="1173"/>
        <w:gridCol w:w="4961"/>
        <w:gridCol w:w="679"/>
        <w:gridCol w:w="1173"/>
      </w:tblGrid>
      <w:tr>
        <w:tblPrEx>
          <w:tblCellMar>
            <w:top w:w="0" w:type="dxa"/>
            <w:left w:w="108" w:type="dxa"/>
            <w:bottom w:w="0" w:type="dxa"/>
            <w:right w:w="108" w:type="dxa"/>
          </w:tblCellMar>
        </w:tblPrEx>
        <w:trPr>
          <w:trHeight w:val="480" w:hRule="atLeast"/>
          <w:jc w:val="center"/>
        </w:trPr>
        <w:tc>
          <w:tcPr>
            <w:tcW w:w="13956" w:type="dxa"/>
            <w:gridSpan w:val="6"/>
            <w:tcBorders>
              <w:top w:val="nil"/>
              <w:left w:val="nil"/>
              <w:bottom w:val="nil"/>
              <w:right w:val="nil"/>
            </w:tcBorders>
            <w:noWrap/>
            <w:vAlign w:val="center"/>
          </w:tcPr>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r>
              <w:rPr>
                <w:rFonts w:ascii="宋体" w:hAnsi="宋体" w:eastAsia="宋体" w:cs="宋体"/>
                <w:color w:val="000000"/>
                <w:kern w:val="0"/>
                <w:sz w:val="22"/>
              </w:rPr>
              <w:t>收入支出决算批复表Z01</w:t>
            </w:r>
          </w:p>
        </w:tc>
      </w:tr>
      <w:tr>
        <w:tblPrEx>
          <w:tblCellMar>
            <w:top w:w="0" w:type="dxa"/>
            <w:left w:w="108" w:type="dxa"/>
            <w:bottom w:w="0" w:type="dxa"/>
            <w:right w:w="108" w:type="dxa"/>
          </w:tblCellMar>
        </w:tblPrEx>
        <w:trPr>
          <w:trHeight w:val="360" w:hRule="atLeast"/>
          <w:jc w:val="center"/>
        </w:trPr>
        <w:tc>
          <w:tcPr>
            <w:tcW w:w="7143"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收入</w:t>
            </w:r>
          </w:p>
        </w:tc>
        <w:tc>
          <w:tcPr>
            <w:tcW w:w="6813" w:type="dxa"/>
            <w:gridSpan w:val="3"/>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支出</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项目</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行次</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金额</w:t>
            </w:r>
          </w:p>
        </w:tc>
        <w:tc>
          <w:tcPr>
            <w:tcW w:w="496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项目</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行次</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金额</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栏次</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w:t>
            </w:r>
          </w:p>
        </w:tc>
        <w:tc>
          <w:tcPr>
            <w:tcW w:w="496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栏次</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一、一般公共预算财政拨款收入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一、一般公共服务支出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1715.05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二、政府性基金预算财政拨款收入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二、外交支出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33</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三、国有资本经营预算财政拨款收入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三、国防支出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34</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四、上级补助收入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四、公共安全支出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35</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五、事业收入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五、教育支出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36</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731.53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六、经营收入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六、科学技术支出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37</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七、附属单位上缴收入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7</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七、文化旅游体育与传媒支出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38</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八、其他收入</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8</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八、社会保障和就业支出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39</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223.99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9</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九、卫生健康支出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40</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93.60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10</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十、节能环保支出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344.44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十一、城乡社区支出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0.03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十二、农林水支出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43</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2271.38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13</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十三、交通运输支出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44</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14</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十四、资源勘探工业信息等支出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45</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15</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十五、商业服务业等支出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46</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16</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十六、金融支出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47</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17</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十七、援助其他地区支出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48</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18</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十八、自然资源海洋气象等支出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49</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19</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十九、住房保障支出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50</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20</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二十、粮油物资储备支出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1393.88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二十一、国有资本经营预算支出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二十二、灾害防治及应急管理支出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53</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23</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二十三、其他支出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54</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650.44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24</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二十四、债务还本支出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55</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25</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二十五、债务付息支出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56</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26</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二十六、抗疫特别国债安排的支出</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57</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0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本年收入合计</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27</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496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本年支出合计</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58</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使用非财政拨款结余（含专用结余）</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28</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结余分配</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59</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6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年初结转和结余</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29</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年末结转和结余</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60</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0.00 </w:t>
            </w:r>
          </w:p>
        </w:tc>
      </w:tr>
      <w:tr>
        <w:tblPrEx>
          <w:tblCellMar>
            <w:top w:w="0" w:type="dxa"/>
            <w:left w:w="108" w:type="dxa"/>
            <w:bottom w:w="0" w:type="dxa"/>
            <w:right w:w="108" w:type="dxa"/>
          </w:tblCellMar>
        </w:tblPrEx>
        <w:trPr>
          <w:trHeight w:val="222"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30</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300" w:hRule="atLeast"/>
          <w:jc w:val="center"/>
        </w:trPr>
        <w:tc>
          <w:tcPr>
            <w:tcW w:w="5291"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总计</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31</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496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总计</w:t>
            </w:r>
          </w:p>
        </w:tc>
        <w:tc>
          <w:tcPr>
            <w:tcW w:w="6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62</w:t>
            </w:r>
          </w:p>
        </w:tc>
        <w:tc>
          <w:tcPr>
            <w:tcW w:w="117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r>
      <w:tr>
        <w:tblPrEx>
          <w:tblCellMar>
            <w:top w:w="0" w:type="dxa"/>
            <w:left w:w="108" w:type="dxa"/>
            <w:bottom w:w="0" w:type="dxa"/>
            <w:right w:w="108" w:type="dxa"/>
          </w:tblCellMar>
        </w:tblPrEx>
        <w:trPr>
          <w:trHeight w:val="300" w:hRule="atLeast"/>
          <w:jc w:val="center"/>
        </w:trPr>
        <w:tc>
          <w:tcPr>
            <w:tcW w:w="13956" w:type="dxa"/>
            <w:gridSpan w:val="6"/>
            <w:tcBorders>
              <w:top w:val="nil"/>
              <w:left w:val="nil"/>
              <w:bottom w:val="nil"/>
              <w:right w:val="nil"/>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注：1.本表依据《收入支出决算总表》（财决01表）进行批复。</w:t>
            </w:r>
          </w:p>
        </w:tc>
      </w:tr>
      <w:tr>
        <w:tblPrEx>
          <w:tblCellMar>
            <w:top w:w="0" w:type="dxa"/>
            <w:left w:w="108" w:type="dxa"/>
            <w:bottom w:w="0" w:type="dxa"/>
            <w:right w:w="108" w:type="dxa"/>
          </w:tblCellMar>
        </w:tblPrEx>
        <w:trPr>
          <w:trHeight w:val="300" w:hRule="atLeast"/>
          <w:jc w:val="center"/>
        </w:trPr>
        <w:tc>
          <w:tcPr>
            <w:tcW w:w="13956" w:type="dxa"/>
            <w:gridSpan w:val="6"/>
            <w:tcBorders>
              <w:top w:val="nil"/>
              <w:left w:val="nil"/>
              <w:bottom w:val="nil"/>
              <w:right w:val="nil"/>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xml:space="preserve">    2.本表以“万元”为金额单位（保留两位小数）。</w:t>
            </w:r>
          </w:p>
        </w:tc>
      </w:tr>
      <w:tr>
        <w:tblPrEx>
          <w:tblCellMar>
            <w:top w:w="0" w:type="dxa"/>
            <w:left w:w="108" w:type="dxa"/>
            <w:bottom w:w="0" w:type="dxa"/>
            <w:right w:w="108" w:type="dxa"/>
          </w:tblCellMar>
        </w:tblPrEx>
        <w:trPr>
          <w:trHeight w:val="300" w:hRule="atLeast"/>
          <w:jc w:val="center"/>
        </w:trPr>
        <w:tc>
          <w:tcPr>
            <w:tcW w:w="13956" w:type="dxa"/>
            <w:gridSpan w:val="6"/>
            <w:tcBorders>
              <w:top w:val="nil"/>
              <w:left w:val="nil"/>
              <w:bottom w:val="nil"/>
              <w:right w:val="nil"/>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xml:space="preserve">    3.本套报表金额单位转换时可能存在尾数误差。</w:t>
            </w:r>
          </w:p>
        </w:tc>
      </w:tr>
    </w:tbl>
    <w:p>
      <w:pPr>
        <w:pStyle w:val="2"/>
      </w:pPr>
    </w:p>
    <w:p>
      <w:pPr>
        <w:pStyle w:val="2"/>
      </w:pPr>
    </w:p>
    <w:p>
      <w:pPr>
        <w:pStyle w:val="2"/>
      </w:pPr>
    </w:p>
    <w:p>
      <w:pPr>
        <w:pStyle w:val="2"/>
      </w:pPr>
    </w:p>
    <w:p>
      <w:pPr>
        <w:pStyle w:val="2"/>
      </w:pPr>
    </w:p>
    <w:p>
      <w:pPr>
        <w:pStyle w:val="2"/>
        <w:rPr>
          <w:rFonts w:hint="eastAsia"/>
        </w:rPr>
      </w:pPr>
    </w:p>
    <w:p>
      <w:pPr>
        <w:pStyle w:val="2"/>
      </w:pPr>
    </w:p>
    <w:p>
      <w:pPr>
        <w:pStyle w:val="2"/>
      </w:pPr>
    </w:p>
    <w:p>
      <w:pPr>
        <w:pStyle w:val="2"/>
      </w:pPr>
    </w:p>
    <w:p>
      <w:pPr>
        <w:pStyle w:val="2"/>
      </w:pPr>
    </w:p>
    <w:p>
      <w:pPr>
        <w:pStyle w:val="2"/>
        <w:rPr>
          <w:rFonts w:hint="eastAsia"/>
        </w:rPr>
      </w:pPr>
    </w:p>
    <w:p>
      <w:pPr>
        <w:pStyle w:val="2"/>
      </w:pPr>
    </w:p>
    <w:p>
      <w:pPr>
        <w:pStyle w:val="2"/>
      </w:pPr>
    </w:p>
    <w:p>
      <w:pPr>
        <w:pStyle w:val="2"/>
        <w:rPr>
          <w:rFonts w:hint="eastAsia"/>
        </w:rPr>
      </w:pPr>
    </w:p>
    <w:p>
      <w:pPr>
        <w:pStyle w:val="2"/>
      </w:pPr>
    </w:p>
    <w:p>
      <w:pPr>
        <w:pStyle w:val="2"/>
      </w:pPr>
    </w:p>
    <w:p>
      <w:pPr>
        <w:pStyle w:val="2"/>
      </w:pPr>
    </w:p>
    <w:p>
      <w:pPr>
        <w:pStyle w:val="2"/>
      </w:pPr>
    </w:p>
    <w:tbl>
      <w:tblPr>
        <w:tblStyle w:val="9"/>
        <w:tblW w:w="14502" w:type="dxa"/>
        <w:tblInd w:w="0" w:type="dxa"/>
        <w:tblLayout w:type="autofit"/>
        <w:tblCellMar>
          <w:top w:w="0" w:type="dxa"/>
          <w:left w:w="108" w:type="dxa"/>
          <w:bottom w:w="0" w:type="dxa"/>
          <w:right w:w="108" w:type="dxa"/>
        </w:tblCellMar>
      </w:tblPr>
      <w:tblGrid>
        <w:gridCol w:w="396"/>
        <w:gridCol w:w="396"/>
        <w:gridCol w:w="396"/>
        <w:gridCol w:w="3184"/>
        <w:gridCol w:w="1691"/>
        <w:gridCol w:w="1984"/>
        <w:gridCol w:w="1418"/>
        <w:gridCol w:w="992"/>
        <w:gridCol w:w="1134"/>
        <w:gridCol w:w="1134"/>
        <w:gridCol w:w="1134"/>
        <w:gridCol w:w="644"/>
      </w:tblGrid>
      <w:tr>
        <w:tblPrEx>
          <w:tblCellMar>
            <w:top w:w="0" w:type="dxa"/>
            <w:left w:w="108" w:type="dxa"/>
            <w:bottom w:w="0" w:type="dxa"/>
            <w:right w:w="108" w:type="dxa"/>
          </w:tblCellMar>
        </w:tblPrEx>
        <w:trPr>
          <w:gridAfter w:val="1"/>
          <w:wAfter w:w="644" w:type="dxa"/>
          <w:trHeight w:val="319" w:hRule="atLeast"/>
        </w:trPr>
        <w:tc>
          <w:tcPr>
            <w:tcW w:w="13858" w:type="dxa"/>
            <w:gridSpan w:val="11"/>
            <w:tcBorders>
              <w:top w:val="nil"/>
              <w:left w:val="nil"/>
              <w:bottom w:val="nil"/>
              <w:right w:val="nil"/>
            </w:tcBorders>
            <w:noWrap/>
            <w:vAlign w:val="center"/>
          </w:tcPr>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r>
              <w:rPr>
                <w:rFonts w:ascii="宋体" w:hAnsi="宋体" w:eastAsia="宋体" w:cs="宋体"/>
                <w:color w:val="000000"/>
                <w:kern w:val="0"/>
                <w:sz w:val="22"/>
              </w:rPr>
              <w:t>收入决算批复表Z03</w:t>
            </w:r>
          </w:p>
        </w:tc>
      </w:tr>
      <w:tr>
        <w:tblPrEx>
          <w:tblCellMar>
            <w:top w:w="0" w:type="dxa"/>
            <w:left w:w="108" w:type="dxa"/>
            <w:bottom w:w="0" w:type="dxa"/>
            <w:right w:w="108" w:type="dxa"/>
          </w:tblCellMar>
        </w:tblPrEx>
        <w:trPr>
          <w:gridAfter w:val="1"/>
          <w:wAfter w:w="644" w:type="dxa"/>
          <w:trHeight w:val="312" w:hRule="atLeast"/>
        </w:trPr>
        <w:tc>
          <w:tcPr>
            <w:tcW w:w="1187" w:type="dxa"/>
            <w:gridSpan w:val="3"/>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科目代码</w:t>
            </w:r>
          </w:p>
        </w:tc>
        <w:tc>
          <w:tcPr>
            <w:tcW w:w="3184" w:type="dxa"/>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科目名称</w:t>
            </w:r>
          </w:p>
        </w:tc>
        <w:tc>
          <w:tcPr>
            <w:tcW w:w="169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本年收入合计</w:t>
            </w:r>
          </w:p>
        </w:tc>
        <w:tc>
          <w:tcPr>
            <w:tcW w:w="198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财政拨款收入</w:t>
            </w:r>
          </w:p>
        </w:tc>
        <w:tc>
          <w:tcPr>
            <w:tcW w:w="141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上级补助收入</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事业收入</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经营收入</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附属单位上缴收入</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其他收入</w:t>
            </w:r>
          </w:p>
        </w:tc>
      </w:tr>
      <w:tr>
        <w:tblPrEx>
          <w:tblCellMar>
            <w:top w:w="0" w:type="dxa"/>
            <w:left w:w="108" w:type="dxa"/>
            <w:bottom w:w="0" w:type="dxa"/>
            <w:right w:w="108" w:type="dxa"/>
          </w:tblCellMar>
        </w:tblPrEx>
        <w:trPr>
          <w:trHeight w:val="222" w:hRule="atLeast"/>
        </w:trPr>
        <w:tc>
          <w:tcPr>
            <w:tcW w:w="1187"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1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644" w:type="dxa"/>
            <w:tcBorders>
              <w:top w:val="nil"/>
              <w:left w:val="nil"/>
              <w:bottom w:val="nil"/>
              <w:right w:val="nil"/>
            </w:tcBorders>
            <w:noWrap/>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60" w:hRule="atLeast"/>
        </w:trPr>
        <w:tc>
          <w:tcPr>
            <w:tcW w:w="1187"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1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644" w:type="dxa"/>
            <w:tcBorders>
              <w:top w:val="nil"/>
              <w:left w:val="nil"/>
              <w:bottom w:val="nil"/>
              <w:right w:val="nil"/>
            </w:tcBorders>
            <w:noWrap/>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199" w:hRule="atLeast"/>
        </w:trPr>
        <w:tc>
          <w:tcPr>
            <w:tcW w:w="1187"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1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644" w:type="dxa"/>
            <w:tcBorders>
              <w:top w:val="nil"/>
              <w:left w:val="nil"/>
              <w:bottom w:val="nil"/>
              <w:right w:val="nil"/>
            </w:tcBorders>
            <w:noWrap/>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42" w:hRule="atLeast"/>
        </w:trPr>
        <w:tc>
          <w:tcPr>
            <w:tcW w:w="395"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类</w:t>
            </w:r>
          </w:p>
        </w:tc>
        <w:tc>
          <w:tcPr>
            <w:tcW w:w="396"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款</w:t>
            </w:r>
          </w:p>
        </w:tc>
        <w:tc>
          <w:tcPr>
            <w:tcW w:w="396"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w:t>
            </w:r>
          </w:p>
        </w:tc>
        <w:tc>
          <w:tcPr>
            <w:tcW w:w="31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栏次</w:t>
            </w:r>
          </w:p>
        </w:tc>
        <w:tc>
          <w:tcPr>
            <w:tcW w:w="1691"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p>
        </w:tc>
        <w:tc>
          <w:tcPr>
            <w:tcW w:w="1984"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w:t>
            </w:r>
          </w:p>
        </w:tc>
        <w:tc>
          <w:tcPr>
            <w:tcW w:w="1418"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w:t>
            </w:r>
          </w:p>
        </w:tc>
        <w:tc>
          <w:tcPr>
            <w:tcW w:w="992"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4</w:t>
            </w:r>
          </w:p>
        </w:tc>
        <w:tc>
          <w:tcPr>
            <w:tcW w:w="1134"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p>
        </w:tc>
        <w:tc>
          <w:tcPr>
            <w:tcW w:w="1134"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6</w:t>
            </w:r>
          </w:p>
        </w:tc>
        <w:tc>
          <w:tcPr>
            <w:tcW w:w="1134"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7</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42" w:hRule="atLeast"/>
        </w:trPr>
        <w:tc>
          <w:tcPr>
            <w:tcW w:w="3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1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7,424.33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7,424.33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教育支出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教育管理事务</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2050101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社会保障和就业支出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223.99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223.99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20805</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themeColor="text1"/>
                <w:kern w:val="0"/>
                <w:sz w:val="18"/>
                <w:szCs w:val="18"/>
                <w14:textFill>
                  <w14:solidFill>
                    <w14:schemeClr w14:val="tx1"/>
                  </w14:solidFill>
                </w14:textFill>
              </w:rPr>
              <w:t>行政事业单位养老支出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2080505</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机关事业单位基本养老保险缴费支出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20808</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themeColor="text1"/>
                <w:kern w:val="0"/>
                <w:sz w:val="18"/>
                <w:szCs w:val="18"/>
                <w14:textFill>
                  <w14:solidFill>
                    <w14:schemeClr w14:val="tx1"/>
                  </w14:solidFill>
                </w14:textFill>
              </w:rPr>
              <w:t>抚恤</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2080801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死亡抚恤</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卫生健康支出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21011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themeColor="text1"/>
                <w:kern w:val="0"/>
                <w:sz w:val="18"/>
                <w:szCs w:val="18"/>
                <w14:textFill>
                  <w14:solidFill>
                    <w14:schemeClr w14:val="tx1"/>
                  </w14:solidFill>
                </w14:textFill>
              </w:rPr>
              <w:t>行政事业单位医疗</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2101101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行政单位医疗</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节能环保支出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21104</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自然生态保护</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2110499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其他自然生态保护支出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21105</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森林保护修复</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2110501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森林管护</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其他节能环保支出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2119999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其他节能环保支出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城乡社区支出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城乡社区管理事务</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2120101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农林水支出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2,271.38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2,271.38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农业农村</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520.08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520.08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2130119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防灾救灾</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林业和草原</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1,733.09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1,733.09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2130205</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森林资源培育</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森林生态效益补偿</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2130211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动植物保护</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2130221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产业化管理</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2130234</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林业草原防灾减灾</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其他林业和草原支出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其他农林水支出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2139999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其他农林水支出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粮油物资储备支出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22201</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粮油物资事务</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2220199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其他粮油物资事务支出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7"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2299999</w:t>
            </w:r>
          </w:p>
        </w:tc>
        <w:tc>
          <w:tcPr>
            <w:tcW w:w="3184"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69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98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9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34"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3858" w:type="dxa"/>
            <w:gridSpan w:val="11"/>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注：1.本表依据《收入决算表》（财决03表）进行批复。</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3858" w:type="dxa"/>
            <w:gridSpan w:val="11"/>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2.本表含一般公共预算财政拨款、政府性基金预算财政拨款和国有资本经营预算财政拨款。</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3858" w:type="dxa"/>
            <w:gridSpan w:val="11"/>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3.本表批复到项级科目。</w:t>
            </w:r>
          </w:p>
        </w:tc>
        <w:tc>
          <w:tcPr>
            <w:tcW w:w="644"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3858" w:type="dxa"/>
            <w:gridSpan w:val="11"/>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4.本表以“万元”为金额单位（保留两位小数）。</w:t>
            </w:r>
          </w:p>
        </w:tc>
        <w:tc>
          <w:tcPr>
            <w:tcW w:w="644" w:type="dxa"/>
            <w:vAlign w:val="center"/>
          </w:tcPr>
          <w:p>
            <w:pPr>
              <w:widowControl/>
              <w:jc w:val="left"/>
              <w:rPr>
                <w:rFonts w:ascii="Times New Roman" w:hAnsi="Times New Roman" w:eastAsia="Times New Roman" w:cs="Times New Roman"/>
                <w:kern w:val="0"/>
                <w:sz w:val="20"/>
                <w:szCs w:val="20"/>
              </w:rPr>
            </w:pPr>
          </w:p>
        </w:tc>
      </w:tr>
    </w:tbl>
    <w:p>
      <w:pPr>
        <w:pStyle w:val="2"/>
      </w:pPr>
    </w:p>
    <w:p>
      <w:pPr>
        <w:pStyle w:val="2"/>
      </w:pPr>
    </w:p>
    <w:p>
      <w:pPr>
        <w:pStyle w:val="2"/>
      </w:pPr>
    </w:p>
    <w:p>
      <w:pPr>
        <w:pStyle w:val="2"/>
      </w:pPr>
    </w:p>
    <w:p>
      <w:pPr>
        <w:pStyle w:val="2"/>
      </w:pPr>
    </w:p>
    <w:p>
      <w:pPr>
        <w:pStyle w:val="2"/>
      </w:pPr>
    </w:p>
    <w:p>
      <w:pPr>
        <w:pStyle w:val="2"/>
        <w:rPr>
          <w:rFonts w:hint="eastAsia"/>
        </w:rPr>
      </w:pPr>
    </w:p>
    <w:tbl>
      <w:tblPr>
        <w:tblStyle w:val="9"/>
        <w:tblpPr w:leftFromText="180" w:rightFromText="180" w:vertAnchor="text" w:horzAnchor="page" w:tblpX="1298" w:tblpY="202"/>
        <w:tblOverlap w:val="never"/>
        <w:tblW w:w="12745" w:type="dxa"/>
        <w:tblInd w:w="0" w:type="dxa"/>
        <w:tblLayout w:type="fixed"/>
        <w:tblCellMar>
          <w:top w:w="0" w:type="dxa"/>
          <w:left w:w="108" w:type="dxa"/>
          <w:bottom w:w="0" w:type="dxa"/>
          <w:right w:w="108" w:type="dxa"/>
        </w:tblCellMar>
      </w:tblPr>
      <w:tblGrid>
        <w:gridCol w:w="396"/>
        <w:gridCol w:w="396"/>
        <w:gridCol w:w="396"/>
        <w:gridCol w:w="4021"/>
        <w:gridCol w:w="1623"/>
        <w:gridCol w:w="1227"/>
        <w:gridCol w:w="1269"/>
        <w:gridCol w:w="1418"/>
        <w:gridCol w:w="913"/>
        <w:gridCol w:w="850"/>
        <w:gridCol w:w="236"/>
      </w:tblGrid>
      <w:tr>
        <w:tblPrEx>
          <w:tblCellMar>
            <w:top w:w="0" w:type="dxa"/>
            <w:left w:w="108" w:type="dxa"/>
            <w:bottom w:w="0" w:type="dxa"/>
            <w:right w:w="108" w:type="dxa"/>
          </w:tblCellMar>
        </w:tblPrEx>
        <w:trPr>
          <w:gridAfter w:val="1"/>
          <w:wAfter w:w="236" w:type="dxa"/>
          <w:trHeight w:val="642" w:hRule="atLeast"/>
        </w:trPr>
        <w:tc>
          <w:tcPr>
            <w:tcW w:w="12509" w:type="dxa"/>
            <w:gridSpan w:val="10"/>
            <w:tcBorders>
              <w:top w:val="nil"/>
              <w:left w:val="nil"/>
              <w:bottom w:val="nil"/>
              <w:right w:val="nil"/>
            </w:tcBorders>
            <w:noWrap/>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支出决算批复表Z04</w:t>
            </w:r>
          </w:p>
        </w:tc>
      </w:tr>
      <w:tr>
        <w:tblPrEx>
          <w:tblCellMar>
            <w:top w:w="0" w:type="dxa"/>
            <w:left w:w="108" w:type="dxa"/>
            <w:bottom w:w="0" w:type="dxa"/>
            <w:right w:w="108" w:type="dxa"/>
          </w:tblCellMar>
        </w:tblPrEx>
        <w:trPr>
          <w:gridAfter w:val="1"/>
          <w:wAfter w:w="236" w:type="dxa"/>
          <w:trHeight w:val="312" w:hRule="atLeast"/>
        </w:trPr>
        <w:tc>
          <w:tcPr>
            <w:tcW w:w="1188" w:type="dxa"/>
            <w:gridSpan w:val="3"/>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科目代码</w:t>
            </w:r>
          </w:p>
        </w:tc>
        <w:tc>
          <w:tcPr>
            <w:tcW w:w="4021" w:type="dxa"/>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科目名称</w:t>
            </w:r>
          </w:p>
        </w:tc>
        <w:tc>
          <w:tcPr>
            <w:tcW w:w="162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本年支出合计</w:t>
            </w:r>
          </w:p>
        </w:tc>
        <w:tc>
          <w:tcPr>
            <w:tcW w:w="122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基本支出</w:t>
            </w:r>
          </w:p>
        </w:tc>
        <w:tc>
          <w:tcPr>
            <w:tcW w:w="1269"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w:t>
            </w:r>
          </w:p>
        </w:tc>
        <w:tc>
          <w:tcPr>
            <w:tcW w:w="141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上缴上级支出</w:t>
            </w:r>
          </w:p>
        </w:tc>
        <w:tc>
          <w:tcPr>
            <w:tcW w:w="91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经营支出</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对附属单位补助支出</w:t>
            </w:r>
          </w:p>
        </w:tc>
      </w:tr>
      <w:tr>
        <w:tblPrEx>
          <w:tblCellMar>
            <w:top w:w="0" w:type="dxa"/>
            <w:left w:w="108" w:type="dxa"/>
            <w:bottom w:w="0" w:type="dxa"/>
            <w:right w:w="108" w:type="dxa"/>
          </w:tblCellMar>
        </w:tblPrEx>
        <w:trPr>
          <w:trHeight w:val="150" w:hRule="atLeast"/>
        </w:trPr>
        <w:tc>
          <w:tcPr>
            <w:tcW w:w="118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02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62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6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36" w:type="dxa"/>
            <w:tcBorders>
              <w:top w:val="nil"/>
              <w:left w:val="nil"/>
              <w:bottom w:val="nil"/>
              <w:right w:val="nil"/>
            </w:tcBorders>
            <w:noWrap/>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150" w:hRule="atLeast"/>
        </w:trPr>
        <w:tc>
          <w:tcPr>
            <w:tcW w:w="118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02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62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6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36" w:type="dxa"/>
            <w:tcBorders>
              <w:top w:val="nil"/>
              <w:left w:val="nil"/>
              <w:bottom w:val="nil"/>
              <w:right w:val="nil"/>
            </w:tcBorders>
            <w:noWrap/>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150" w:hRule="atLeast"/>
        </w:trPr>
        <w:tc>
          <w:tcPr>
            <w:tcW w:w="118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02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62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6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36" w:type="dxa"/>
            <w:tcBorders>
              <w:top w:val="nil"/>
              <w:left w:val="nil"/>
              <w:bottom w:val="nil"/>
              <w:right w:val="nil"/>
            </w:tcBorders>
            <w:noWrap/>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42" w:hRule="atLeast"/>
        </w:trPr>
        <w:tc>
          <w:tcPr>
            <w:tcW w:w="396"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类</w:t>
            </w:r>
          </w:p>
        </w:tc>
        <w:tc>
          <w:tcPr>
            <w:tcW w:w="396"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款</w:t>
            </w:r>
          </w:p>
        </w:tc>
        <w:tc>
          <w:tcPr>
            <w:tcW w:w="396"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w:t>
            </w:r>
          </w:p>
        </w:tc>
        <w:tc>
          <w:tcPr>
            <w:tcW w:w="402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栏次</w:t>
            </w:r>
          </w:p>
        </w:tc>
        <w:tc>
          <w:tcPr>
            <w:tcW w:w="1623"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p>
        </w:tc>
        <w:tc>
          <w:tcPr>
            <w:tcW w:w="122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w:t>
            </w:r>
          </w:p>
        </w:tc>
        <w:tc>
          <w:tcPr>
            <w:tcW w:w="126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w:t>
            </w:r>
          </w:p>
        </w:tc>
        <w:tc>
          <w:tcPr>
            <w:tcW w:w="1418"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4</w:t>
            </w:r>
          </w:p>
        </w:tc>
        <w:tc>
          <w:tcPr>
            <w:tcW w:w="913"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p>
        </w:tc>
        <w:tc>
          <w:tcPr>
            <w:tcW w:w="850"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6</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42" w:hRule="atLeast"/>
        </w:trPr>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02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7,424.33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1,715.05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5,709.28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教育支出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教育管理事务</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2050101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社会保障和就业支出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223.99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20805</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行政事业单位养老支出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2080505</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机关事业单位基本养老保险缴费支出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20808</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抚恤</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2080801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死亡抚恤</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卫生健康支出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21011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行政事业单位医疗</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2101101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行政单位医疗</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节能环保支出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21104</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自然生态保护</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2110499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其他自然生态保护支出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21105</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森林保护修复</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2110501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森林管护</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其他节能环保支出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2119999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其他节能环保支出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城乡社区支出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城乡社区管理事务</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2120101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农林水支出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2,271.38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717.38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1,554.00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农业农村</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520.08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2130119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防灾救灾</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林业和草原</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1,733.09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1,530.83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2130205</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森林资源培育</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森林生态效益补偿</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2130211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动植物保护</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2130221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产业化管理</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2130234</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林业草原防灾减灾</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其他林业和草原支出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其他农林水支出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2139999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其他农林水支出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粮油物资储备支出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22201</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粮油物资事务</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2220199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其他粮油物资事务支出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8"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2299999</w:t>
            </w:r>
          </w:p>
        </w:tc>
        <w:tc>
          <w:tcPr>
            <w:tcW w:w="4021"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62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22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26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1418"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913"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50"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2509" w:type="dxa"/>
            <w:gridSpan w:val="10"/>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注：1.本表依据《支出决算表》（财决04表）进行批复。</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2509" w:type="dxa"/>
            <w:gridSpan w:val="10"/>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2.本表含一般公共预算财政拨款、政府性基金预算财政拨款和国有资本经营预算财政拨款。</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2509" w:type="dxa"/>
            <w:gridSpan w:val="10"/>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3.本表批复到项级科目。</w:t>
            </w:r>
          </w:p>
        </w:tc>
        <w:tc>
          <w:tcPr>
            <w:tcW w:w="2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2509" w:type="dxa"/>
            <w:gridSpan w:val="10"/>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4.本表以“万元”为金额单位（保留两位小数）。</w:t>
            </w:r>
          </w:p>
        </w:tc>
        <w:tc>
          <w:tcPr>
            <w:tcW w:w="236" w:type="dxa"/>
            <w:vAlign w:val="center"/>
          </w:tcPr>
          <w:p>
            <w:pPr>
              <w:widowControl/>
              <w:jc w:val="left"/>
              <w:rPr>
                <w:rFonts w:ascii="Times New Roman" w:hAnsi="Times New Roman" w:eastAsia="Times New Roman" w:cs="Times New Roman"/>
                <w:kern w:val="0"/>
                <w:sz w:val="20"/>
                <w:szCs w:val="20"/>
              </w:rPr>
            </w:pP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rPr>
          <w:rFonts w:hint="eastAsia"/>
        </w:rPr>
      </w:pPr>
    </w:p>
    <w:p>
      <w:pPr>
        <w:pStyle w:val="2"/>
      </w:pPr>
    </w:p>
    <w:tbl>
      <w:tblPr>
        <w:tblStyle w:val="9"/>
        <w:tblW w:w="12256" w:type="dxa"/>
        <w:jc w:val="center"/>
        <w:tblLayout w:type="autofit"/>
        <w:tblCellMar>
          <w:top w:w="0" w:type="dxa"/>
          <w:left w:w="108" w:type="dxa"/>
          <w:bottom w:w="0" w:type="dxa"/>
          <w:right w:w="108" w:type="dxa"/>
        </w:tblCellMar>
      </w:tblPr>
      <w:tblGrid>
        <w:gridCol w:w="3010"/>
        <w:gridCol w:w="496"/>
        <w:gridCol w:w="1076"/>
        <w:gridCol w:w="3255"/>
        <w:gridCol w:w="496"/>
        <w:gridCol w:w="776"/>
        <w:gridCol w:w="1179"/>
        <w:gridCol w:w="922"/>
        <w:gridCol w:w="1025"/>
        <w:gridCol w:w="222"/>
      </w:tblGrid>
      <w:tr>
        <w:tblPrEx>
          <w:tblCellMar>
            <w:top w:w="0" w:type="dxa"/>
            <w:left w:w="108" w:type="dxa"/>
            <w:bottom w:w="0" w:type="dxa"/>
            <w:right w:w="108" w:type="dxa"/>
          </w:tblCellMar>
        </w:tblPrEx>
        <w:trPr>
          <w:gridAfter w:val="1"/>
          <w:wAfter w:w="36" w:type="dxa"/>
          <w:trHeight w:val="582" w:hRule="atLeast"/>
          <w:jc w:val="center"/>
        </w:trPr>
        <w:tc>
          <w:tcPr>
            <w:tcW w:w="12220" w:type="dxa"/>
            <w:gridSpan w:val="9"/>
            <w:tcBorders>
              <w:top w:val="nil"/>
              <w:left w:val="nil"/>
              <w:bottom w:val="nil"/>
              <w:right w:val="nil"/>
            </w:tcBorders>
            <w:noWrap/>
            <w:vAlign w:val="center"/>
          </w:tcPr>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r>
              <w:rPr>
                <w:rFonts w:ascii="宋体" w:hAnsi="宋体" w:eastAsia="宋体" w:cs="宋体"/>
                <w:color w:val="000000"/>
                <w:kern w:val="0"/>
                <w:sz w:val="22"/>
              </w:rPr>
              <w:t>财政拨款收入支出决算批复表Z01_1</w:t>
            </w:r>
          </w:p>
        </w:tc>
      </w:tr>
      <w:tr>
        <w:tblPrEx>
          <w:tblCellMar>
            <w:top w:w="0" w:type="dxa"/>
            <w:left w:w="108" w:type="dxa"/>
            <w:bottom w:w="0" w:type="dxa"/>
            <w:right w:w="108" w:type="dxa"/>
          </w:tblCellMar>
        </w:tblPrEx>
        <w:trPr>
          <w:gridAfter w:val="1"/>
          <w:wAfter w:w="36" w:type="dxa"/>
          <w:trHeight w:val="499" w:hRule="atLeast"/>
          <w:jc w:val="center"/>
        </w:trPr>
        <w:tc>
          <w:tcPr>
            <w:tcW w:w="4582"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收     入</w:t>
            </w:r>
          </w:p>
        </w:tc>
        <w:tc>
          <w:tcPr>
            <w:tcW w:w="7638" w:type="dxa"/>
            <w:gridSpan w:val="6"/>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支     出</w:t>
            </w:r>
          </w:p>
        </w:tc>
      </w:tr>
      <w:tr>
        <w:tblPrEx>
          <w:tblCellMar>
            <w:top w:w="0" w:type="dxa"/>
            <w:left w:w="108" w:type="dxa"/>
            <w:bottom w:w="0" w:type="dxa"/>
            <w:right w:w="108" w:type="dxa"/>
          </w:tblCellMar>
        </w:tblPrEx>
        <w:trPr>
          <w:gridAfter w:val="1"/>
          <w:wAfter w:w="36" w:type="dxa"/>
          <w:trHeight w:val="312" w:hRule="atLeast"/>
          <w:jc w:val="center"/>
        </w:trPr>
        <w:tc>
          <w:tcPr>
            <w:tcW w:w="301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项目</w:t>
            </w:r>
          </w:p>
        </w:tc>
        <w:tc>
          <w:tcPr>
            <w:tcW w:w="496"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行次</w:t>
            </w:r>
          </w:p>
        </w:tc>
        <w:tc>
          <w:tcPr>
            <w:tcW w:w="1076"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金额</w:t>
            </w:r>
          </w:p>
        </w:tc>
        <w:tc>
          <w:tcPr>
            <w:tcW w:w="3255"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项目</w:t>
            </w:r>
          </w:p>
        </w:tc>
        <w:tc>
          <w:tcPr>
            <w:tcW w:w="496"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行次</w:t>
            </w:r>
          </w:p>
        </w:tc>
        <w:tc>
          <w:tcPr>
            <w:tcW w:w="761"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合计</w:t>
            </w:r>
          </w:p>
        </w:tc>
        <w:tc>
          <w:tcPr>
            <w:tcW w:w="1179"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一般公共预算财政拨款</w:t>
            </w:r>
          </w:p>
        </w:tc>
        <w:tc>
          <w:tcPr>
            <w:tcW w:w="922"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政府性基金预算财政拨款</w:t>
            </w:r>
          </w:p>
        </w:tc>
        <w:tc>
          <w:tcPr>
            <w:tcW w:w="1025"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国有资本经营预算财政拨款</w:t>
            </w:r>
          </w:p>
        </w:tc>
      </w:tr>
      <w:tr>
        <w:tblPrEx>
          <w:tblCellMar>
            <w:top w:w="0" w:type="dxa"/>
            <w:left w:w="108" w:type="dxa"/>
            <w:bottom w:w="0" w:type="dxa"/>
            <w:right w:w="108" w:type="dxa"/>
          </w:tblCellMar>
        </w:tblPrEx>
        <w:trPr>
          <w:trHeight w:val="319" w:hRule="atLeast"/>
          <w:jc w:val="center"/>
        </w:trPr>
        <w:tc>
          <w:tcPr>
            <w:tcW w:w="30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4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07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325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4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76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2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0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36" w:type="dxa"/>
            <w:tcBorders>
              <w:top w:val="nil"/>
              <w:left w:val="nil"/>
              <w:bottom w:val="nil"/>
              <w:right w:val="nil"/>
            </w:tcBorders>
            <w:noWrap/>
            <w:vAlign w:val="center"/>
          </w:tcPr>
          <w:p>
            <w:pPr>
              <w:widowControl/>
              <w:jc w:val="center"/>
              <w:rPr>
                <w:rFonts w:ascii="宋体" w:hAnsi="宋体" w:eastAsia="宋体" w:cs="宋体"/>
                <w:color w:val="000000"/>
                <w:kern w:val="0"/>
                <w:sz w:val="16"/>
                <w:szCs w:val="16"/>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栏次</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7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w:t>
            </w:r>
          </w:p>
        </w:tc>
        <w:tc>
          <w:tcPr>
            <w:tcW w:w="325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栏次</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76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w:t>
            </w:r>
          </w:p>
        </w:tc>
        <w:tc>
          <w:tcPr>
            <w:tcW w:w="11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w:t>
            </w:r>
          </w:p>
        </w:tc>
        <w:tc>
          <w:tcPr>
            <w:tcW w:w="922"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w:t>
            </w:r>
          </w:p>
        </w:tc>
        <w:tc>
          <w:tcPr>
            <w:tcW w:w="102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一、一般公共预算财政拨款</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7424.33</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一、一般公共服务支出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33</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1715.05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1715.05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二、政府性基金预算财政拨款</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二、外交支出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34</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三、国有资本经营预算财政拨款</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三、国防支出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35</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四、公共安全支出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36</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五、教育支出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37</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731.53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731.53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六、科学技术支出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38</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7</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七、文化旅游体育与传媒支出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39</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8</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八、社会保障和就业支出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40</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223.99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223.99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9</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九、卫生健康支出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41</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93.60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93.60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10</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十、节能环保支出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42</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344.44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344.44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11</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十一、城乡社区支出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43</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0.03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0.03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12</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十二、农林水支出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44</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2271.38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2271.38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13</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十三、交通运输支出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45</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14</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十四、资源勘探工业信息等支出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46</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15</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十五、商业服务业等支出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47</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16</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十六、金融支出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48</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17</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十七、援助其他地区支出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49</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18</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十八、自然资源海洋气象等支出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50</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19</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十九、住房保障支出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51</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20</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二十、粮油物资储备支出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52</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1393.88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1393.88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21</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二十一、国有资本经营预算支出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53</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22</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二十二、灾害防治及应急管理支出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54</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23</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二十三、其他支出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55</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650.44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650.44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24</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二十四、债务还本支出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56</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25</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二十五、债务付息支出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57</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26</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二十六、抗疫特别国债安排的支出</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58</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本年收入合计</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27</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325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本年支出合计</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59</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0.00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年初结转和结余</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28</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年末结转和结余</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60</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xml:space="preserve">  一般公共预算财政拨款</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29</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61</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0.00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0.00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xml:space="preserve">  政府性基金预算财政拨款</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30</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62</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xml:space="preserve">  国有资本经营预算财政拨款</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31</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3255"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63</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19" w:hRule="atLeast"/>
          <w:jc w:val="center"/>
        </w:trPr>
        <w:tc>
          <w:tcPr>
            <w:tcW w:w="3010"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总计</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32</w:t>
            </w:r>
          </w:p>
        </w:tc>
        <w:tc>
          <w:tcPr>
            <w:tcW w:w="1076"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325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b/>
                <w:bCs/>
                <w:color w:val="000000"/>
                <w:kern w:val="0"/>
                <w:sz w:val="16"/>
                <w:szCs w:val="16"/>
              </w:rPr>
            </w:pPr>
            <w:r>
              <w:rPr>
                <w:rFonts w:ascii="宋体" w:hAnsi="宋体" w:eastAsia="宋体" w:cs="宋体"/>
                <w:b/>
                <w:bCs/>
                <w:color w:val="000000"/>
                <w:kern w:val="0"/>
                <w:sz w:val="16"/>
                <w:szCs w:val="16"/>
              </w:rPr>
              <w:t>总计</w:t>
            </w:r>
          </w:p>
        </w:tc>
        <w:tc>
          <w:tcPr>
            <w:tcW w:w="49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6"/>
                <w:szCs w:val="16"/>
              </w:rPr>
            </w:pPr>
            <w:r>
              <w:rPr>
                <w:rFonts w:ascii="宋体" w:hAnsi="宋体" w:eastAsia="宋体" w:cs="宋体"/>
                <w:color w:val="000000"/>
                <w:kern w:val="0"/>
                <w:sz w:val="16"/>
                <w:szCs w:val="16"/>
              </w:rPr>
              <w:t>64</w:t>
            </w:r>
          </w:p>
        </w:tc>
        <w:tc>
          <w:tcPr>
            <w:tcW w:w="76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1179"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7424.33 </w:t>
            </w:r>
          </w:p>
        </w:tc>
        <w:tc>
          <w:tcPr>
            <w:tcW w:w="922"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w:t>
            </w:r>
          </w:p>
        </w:tc>
        <w:tc>
          <w:tcPr>
            <w:tcW w:w="1025"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6"/>
                <w:szCs w:val="16"/>
              </w:rPr>
            </w:pPr>
            <w:r>
              <w:rPr>
                <w:rFonts w:ascii="宋体" w:hAnsi="宋体" w:eastAsia="宋体" w:cs="宋体"/>
                <w:color w:val="000000"/>
                <w:kern w:val="0"/>
                <w:sz w:val="16"/>
                <w:szCs w:val="16"/>
              </w:rPr>
              <w:t xml:space="preserve">0.00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jc w:val="center"/>
        </w:trPr>
        <w:tc>
          <w:tcPr>
            <w:tcW w:w="11195" w:type="dxa"/>
            <w:gridSpan w:val="8"/>
            <w:tcBorders>
              <w:top w:val="nil"/>
              <w:left w:val="nil"/>
              <w:bottom w:val="nil"/>
              <w:right w:val="nil"/>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注：1.本表依据《财政拨款收入支出决算总表》（财决01-1表）进行批复。</w:t>
            </w:r>
          </w:p>
        </w:tc>
        <w:tc>
          <w:tcPr>
            <w:tcW w:w="1025" w:type="dxa"/>
            <w:tcBorders>
              <w:top w:val="nil"/>
              <w:left w:val="nil"/>
              <w:bottom w:val="nil"/>
              <w:right w:val="nil"/>
            </w:tcBorders>
            <w:noWrap/>
            <w:vAlign w:val="center"/>
          </w:tcPr>
          <w:p>
            <w:pPr>
              <w:widowControl/>
              <w:jc w:val="left"/>
              <w:rPr>
                <w:rFonts w:ascii="宋体" w:hAnsi="宋体" w:eastAsia="宋体" w:cs="宋体"/>
                <w:color w:val="000000"/>
                <w:kern w:val="0"/>
                <w:sz w:val="16"/>
                <w:szCs w:val="16"/>
              </w:rPr>
            </w:pP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jc w:val="center"/>
        </w:trPr>
        <w:tc>
          <w:tcPr>
            <w:tcW w:w="11195" w:type="dxa"/>
            <w:gridSpan w:val="8"/>
            <w:tcBorders>
              <w:top w:val="nil"/>
              <w:left w:val="nil"/>
              <w:bottom w:val="nil"/>
              <w:right w:val="nil"/>
            </w:tcBorders>
            <w:noWrap/>
            <w:vAlign w:val="center"/>
          </w:tcPr>
          <w:p>
            <w:pPr>
              <w:widowControl/>
              <w:jc w:val="left"/>
              <w:rPr>
                <w:rFonts w:ascii="宋体" w:hAnsi="宋体" w:eastAsia="宋体" w:cs="宋体"/>
                <w:color w:val="000000"/>
                <w:kern w:val="0"/>
                <w:sz w:val="16"/>
                <w:szCs w:val="16"/>
              </w:rPr>
            </w:pPr>
            <w:r>
              <w:rPr>
                <w:rFonts w:ascii="宋体" w:hAnsi="宋体" w:eastAsia="宋体" w:cs="宋体"/>
                <w:color w:val="000000"/>
                <w:kern w:val="0"/>
                <w:sz w:val="16"/>
                <w:szCs w:val="16"/>
              </w:rPr>
              <w:t xml:space="preserve">    2.本表以“万元”为金额单位（保留两位小数）。</w:t>
            </w:r>
          </w:p>
        </w:tc>
        <w:tc>
          <w:tcPr>
            <w:tcW w:w="1025" w:type="dxa"/>
            <w:tcBorders>
              <w:top w:val="nil"/>
              <w:left w:val="nil"/>
              <w:bottom w:val="nil"/>
              <w:right w:val="nil"/>
            </w:tcBorders>
            <w:noWrap/>
            <w:vAlign w:val="center"/>
          </w:tcPr>
          <w:p>
            <w:pPr>
              <w:widowControl/>
              <w:jc w:val="left"/>
              <w:rPr>
                <w:rFonts w:ascii="宋体" w:hAnsi="宋体" w:eastAsia="宋体" w:cs="宋体"/>
                <w:color w:val="000000"/>
                <w:kern w:val="0"/>
                <w:sz w:val="16"/>
                <w:szCs w:val="16"/>
              </w:rPr>
            </w:pPr>
          </w:p>
        </w:tc>
        <w:tc>
          <w:tcPr>
            <w:tcW w:w="36" w:type="dxa"/>
            <w:vAlign w:val="center"/>
          </w:tcPr>
          <w:p>
            <w:pPr>
              <w:widowControl/>
              <w:jc w:val="left"/>
              <w:rPr>
                <w:rFonts w:ascii="Times New Roman" w:hAnsi="Times New Roman" w:eastAsia="Times New Roman" w:cs="Times New Roman"/>
                <w:kern w:val="0"/>
                <w:sz w:val="20"/>
                <w:szCs w:val="20"/>
              </w:rPr>
            </w:pP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rPr>
          <w:rFonts w:hint="eastAsia"/>
        </w:rPr>
      </w:pPr>
    </w:p>
    <w:p>
      <w:pPr>
        <w:pStyle w:val="2"/>
      </w:pPr>
    </w:p>
    <w:p>
      <w:pPr>
        <w:pStyle w:val="2"/>
      </w:pPr>
    </w:p>
    <w:p>
      <w:pPr>
        <w:pStyle w:val="2"/>
      </w:pPr>
    </w:p>
    <w:p>
      <w:pPr>
        <w:pStyle w:val="2"/>
      </w:pPr>
    </w:p>
    <w:p>
      <w:pPr>
        <w:pStyle w:val="2"/>
      </w:pPr>
    </w:p>
    <w:tbl>
      <w:tblPr>
        <w:tblStyle w:val="9"/>
        <w:tblW w:w="14410" w:type="dxa"/>
        <w:tblInd w:w="108" w:type="dxa"/>
        <w:tblLayout w:type="fixed"/>
        <w:tblCellMar>
          <w:top w:w="0" w:type="dxa"/>
          <w:left w:w="108" w:type="dxa"/>
          <w:bottom w:w="0" w:type="dxa"/>
          <w:right w:w="108" w:type="dxa"/>
        </w:tblCellMar>
      </w:tblPr>
      <w:tblGrid>
        <w:gridCol w:w="396"/>
        <w:gridCol w:w="396"/>
        <w:gridCol w:w="348"/>
        <w:gridCol w:w="2168"/>
        <w:gridCol w:w="11"/>
        <w:gridCol w:w="438"/>
        <w:gridCol w:w="11"/>
        <w:gridCol w:w="567"/>
        <w:gridCol w:w="11"/>
        <w:gridCol w:w="567"/>
        <w:gridCol w:w="11"/>
        <w:gridCol w:w="1045"/>
        <w:gridCol w:w="11"/>
        <w:gridCol w:w="1045"/>
        <w:gridCol w:w="11"/>
        <w:gridCol w:w="1045"/>
        <w:gridCol w:w="11"/>
        <w:gridCol w:w="1045"/>
        <w:gridCol w:w="11"/>
        <w:gridCol w:w="1045"/>
        <w:gridCol w:w="11"/>
        <w:gridCol w:w="1045"/>
        <w:gridCol w:w="11"/>
        <w:gridCol w:w="726"/>
        <w:gridCol w:w="11"/>
        <w:gridCol w:w="726"/>
        <w:gridCol w:w="11"/>
        <w:gridCol w:w="597"/>
        <w:gridCol w:w="681"/>
        <w:gridCol w:w="387"/>
        <w:gridCol w:w="11"/>
      </w:tblGrid>
      <w:tr>
        <w:trPr>
          <w:gridAfter w:val="2"/>
          <w:wAfter w:w="398" w:type="dxa"/>
          <w:trHeight w:val="480" w:hRule="atLeast"/>
        </w:trPr>
        <w:tc>
          <w:tcPr>
            <w:tcW w:w="14012" w:type="dxa"/>
            <w:gridSpan w:val="29"/>
            <w:tcBorders>
              <w:top w:val="nil"/>
              <w:left w:val="nil"/>
              <w:bottom w:val="nil"/>
              <w:right w:val="nil"/>
            </w:tcBorders>
            <w:noWrap/>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Z07 一般公共预算财政拨款收入支出决算批复表</w:t>
            </w:r>
          </w:p>
        </w:tc>
      </w:tr>
      <w:tr>
        <w:tblPrEx>
          <w:tblCellMar>
            <w:top w:w="0" w:type="dxa"/>
            <w:left w:w="108" w:type="dxa"/>
            <w:bottom w:w="0" w:type="dxa"/>
            <w:right w:w="108" w:type="dxa"/>
          </w:tblCellMar>
        </w:tblPrEx>
        <w:trPr>
          <w:gridAfter w:val="2"/>
          <w:wAfter w:w="398" w:type="dxa"/>
          <w:trHeight w:val="300" w:hRule="atLeast"/>
        </w:trPr>
        <w:tc>
          <w:tcPr>
            <w:tcW w:w="1140" w:type="dxa"/>
            <w:gridSpan w:val="3"/>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科目代码</w:t>
            </w:r>
          </w:p>
        </w:tc>
        <w:tc>
          <w:tcPr>
            <w:tcW w:w="216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科目名称</w:t>
            </w:r>
          </w:p>
        </w:tc>
        <w:tc>
          <w:tcPr>
            <w:tcW w:w="1605" w:type="dxa"/>
            <w:gridSpan w:val="6"/>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年初结转和结余</w:t>
            </w:r>
          </w:p>
        </w:tc>
        <w:tc>
          <w:tcPr>
            <w:tcW w:w="3168" w:type="dxa"/>
            <w:gridSpan w:val="6"/>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本年收入</w:t>
            </w:r>
          </w:p>
        </w:tc>
        <w:tc>
          <w:tcPr>
            <w:tcW w:w="3168" w:type="dxa"/>
            <w:gridSpan w:val="6"/>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本年支出</w:t>
            </w:r>
          </w:p>
        </w:tc>
        <w:tc>
          <w:tcPr>
            <w:tcW w:w="2763"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年末结转和结余</w:t>
            </w:r>
          </w:p>
        </w:tc>
      </w:tr>
      <w:tr>
        <w:trPr>
          <w:gridAfter w:val="2"/>
          <w:wAfter w:w="398" w:type="dxa"/>
          <w:trHeight w:val="300" w:hRule="atLeast"/>
        </w:trPr>
        <w:tc>
          <w:tcPr>
            <w:tcW w:w="114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1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49"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578"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基本支出结转</w:t>
            </w:r>
          </w:p>
        </w:tc>
        <w:tc>
          <w:tcPr>
            <w:tcW w:w="578"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项目支出结转和结余</w:t>
            </w:r>
          </w:p>
        </w:tc>
        <w:tc>
          <w:tcPr>
            <w:tcW w:w="105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105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基本支出</w:t>
            </w:r>
          </w:p>
        </w:tc>
        <w:tc>
          <w:tcPr>
            <w:tcW w:w="105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w:t>
            </w:r>
          </w:p>
        </w:tc>
        <w:tc>
          <w:tcPr>
            <w:tcW w:w="1056" w:type="dxa"/>
            <w:gridSpan w:val="2"/>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105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基本支出</w:t>
            </w:r>
          </w:p>
        </w:tc>
        <w:tc>
          <w:tcPr>
            <w:tcW w:w="105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w:t>
            </w:r>
          </w:p>
        </w:tc>
        <w:tc>
          <w:tcPr>
            <w:tcW w:w="737"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737"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基本支出结转</w:t>
            </w:r>
          </w:p>
        </w:tc>
        <w:tc>
          <w:tcPr>
            <w:tcW w:w="1289"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项目支出结转和结余</w:t>
            </w:r>
          </w:p>
        </w:tc>
      </w:tr>
      <w:tr>
        <w:tblPrEx>
          <w:tblCellMar>
            <w:top w:w="0" w:type="dxa"/>
            <w:left w:w="108" w:type="dxa"/>
            <w:bottom w:w="0" w:type="dxa"/>
            <w:right w:w="108" w:type="dxa"/>
          </w:tblCellMar>
        </w:tblPrEx>
        <w:trPr>
          <w:gridAfter w:val="2"/>
          <w:wAfter w:w="398" w:type="dxa"/>
          <w:trHeight w:val="312" w:hRule="atLeast"/>
        </w:trPr>
        <w:tc>
          <w:tcPr>
            <w:tcW w:w="114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1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4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57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57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3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3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608"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项目支出结转</w:t>
            </w:r>
          </w:p>
        </w:tc>
        <w:tc>
          <w:tcPr>
            <w:tcW w:w="6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项目支出结余</w:t>
            </w:r>
          </w:p>
        </w:tc>
      </w:tr>
      <w:tr>
        <w:trPr>
          <w:gridAfter w:val="1"/>
          <w:wAfter w:w="11" w:type="dxa"/>
          <w:trHeight w:val="600" w:hRule="atLeast"/>
        </w:trPr>
        <w:tc>
          <w:tcPr>
            <w:tcW w:w="114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1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449"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57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57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05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3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3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60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6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87" w:type="dxa"/>
            <w:tcBorders>
              <w:top w:val="nil"/>
              <w:left w:val="nil"/>
              <w:bottom w:val="nil"/>
              <w:right w:val="nil"/>
            </w:tcBorders>
            <w:noWrap/>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trPr>
        <w:tc>
          <w:tcPr>
            <w:tcW w:w="396"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类</w:t>
            </w:r>
          </w:p>
        </w:tc>
        <w:tc>
          <w:tcPr>
            <w:tcW w:w="396"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款</w:t>
            </w:r>
          </w:p>
        </w:tc>
        <w:tc>
          <w:tcPr>
            <w:tcW w:w="348"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项</w:t>
            </w:r>
          </w:p>
        </w:tc>
        <w:tc>
          <w:tcPr>
            <w:tcW w:w="2179"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栏次</w:t>
            </w:r>
          </w:p>
        </w:tc>
        <w:tc>
          <w:tcPr>
            <w:tcW w:w="449"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p>
        </w:tc>
        <w:tc>
          <w:tcPr>
            <w:tcW w:w="578"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w:t>
            </w:r>
          </w:p>
        </w:tc>
        <w:tc>
          <w:tcPr>
            <w:tcW w:w="578"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w:t>
            </w:r>
          </w:p>
        </w:tc>
        <w:tc>
          <w:tcPr>
            <w:tcW w:w="1056"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4</w:t>
            </w:r>
          </w:p>
        </w:tc>
        <w:tc>
          <w:tcPr>
            <w:tcW w:w="1056"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p>
        </w:tc>
        <w:tc>
          <w:tcPr>
            <w:tcW w:w="1056"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6</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7</w:t>
            </w:r>
          </w:p>
        </w:tc>
        <w:tc>
          <w:tcPr>
            <w:tcW w:w="1056"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8</w:t>
            </w:r>
          </w:p>
        </w:tc>
        <w:tc>
          <w:tcPr>
            <w:tcW w:w="1056"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9</w:t>
            </w:r>
          </w:p>
        </w:tc>
        <w:tc>
          <w:tcPr>
            <w:tcW w:w="737"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p>
        </w:tc>
        <w:tc>
          <w:tcPr>
            <w:tcW w:w="737" w:type="dxa"/>
            <w:gridSpan w:val="2"/>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11</w:t>
            </w:r>
          </w:p>
        </w:tc>
        <w:tc>
          <w:tcPr>
            <w:tcW w:w="597"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12</w:t>
            </w:r>
          </w:p>
        </w:tc>
        <w:tc>
          <w:tcPr>
            <w:tcW w:w="681"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13</w:t>
            </w:r>
          </w:p>
        </w:tc>
        <w:tc>
          <w:tcPr>
            <w:tcW w:w="398" w:type="dxa"/>
            <w:gridSpan w:val="2"/>
            <w:vAlign w:val="center"/>
          </w:tcPr>
          <w:p>
            <w:pPr>
              <w:widowControl/>
              <w:jc w:val="left"/>
              <w:rPr>
                <w:rFonts w:ascii="Times New Roman" w:hAnsi="Times New Roman" w:eastAsia="Times New Roman" w:cs="Times New Roman"/>
                <w:kern w:val="0"/>
                <w:sz w:val="20"/>
                <w:szCs w:val="20"/>
              </w:rPr>
            </w:pPr>
          </w:p>
        </w:tc>
      </w:tr>
      <w:tr>
        <w:trPr>
          <w:trHeight w:val="300" w:hRule="atLeast"/>
        </w:trPr>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9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4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179"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7,424.33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1,715.05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5,709.28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7,424.33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1,715.05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5,709.28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xml:space="preserve">0.00 </w:t>
            </w:r>
          </w:p>
        </w:tc>
        <w:tc>
          <w:tcPr>
            <w:tcW w:w="597"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b/>
                <w:bCs/>
                <w:color w:val="000000"/>
                <w:kern w:val="0"/>
                <w:sz w:val="18"/>
                <w:szCs w:val="18"/>
              </w:rPr>
            </w:pPr>
            <w:r>
              <w:rPr>
                <w:rFonts w:ascii="宋体" w:hAnsi="宋体" w:eastAsia="宋体" w:cs="宋体"/>
                <w:b/>
                <w:bCs/>
                <w:color w:val="000000"/>
                <w:kern w:val="0"/>
                <w:sz w:val="18"/>
                <w:szCs w:val="18"/>
              </w:rPr>
              <w:t>　</w:t>
            </w:r>
          </w:p>
        </w:tc>
        <w:tc>
          <w:tcPr>
            <w:tcW w:w="398" w:type="dxa"/>
            <w:gridSpan w:val="2"/>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30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教育支出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30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教育管理事务</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30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2050101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731.53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30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社会保障和就业支出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223.99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223.99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30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20805</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行政事业单位养老支出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2080505</w:t>
            </w:r>
          </w:p>
        </w:tc>
        <w:tc>
          <w:tcPr>
            <w:tcW w:w="2168"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机关事业单位基本养老保险缴费支出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20808</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抚恤</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2080801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死亡抚恤</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51.85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卫生健康支出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21011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行政事业单位医疗</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2101101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行政单位医疗</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节能环保支出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2,059.49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21104</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自然生态保护</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2110499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其他自然生态保护支出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507.16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21105</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森林保护修复</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2110501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森林管护</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624.78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其他节能环保支出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2119999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其他节能环保支出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927.55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城乡社区支出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城乡社区管理事务</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2120101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农林水支出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2,271.38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717.38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1,554.00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2,271.38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717.38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1,554.00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农业农村</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520.08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520.08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515.12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2130119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防灾救灾</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4.96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林业和草原</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1,733.09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1,530.83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1,733.09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1,530.83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行政运行</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202.26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2130205</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森林资源培育</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571.52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2130209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森林生态效益补偿</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52.73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2130211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动植物保护</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20.00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2130221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产业化管理</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75.00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2130234</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林业草原防灾减灾</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98.27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2130299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其他林业和草原支出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713.31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其他农林水支出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2139999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其他农林水支出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18.21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粮油物资储备支出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22201</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粮油物资事务</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2220199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其他粮油物资事务支出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1,393.88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140" w:type="dxa"/>
            <w:gridSpan w:val="3"/>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2299999</w:t>
            </w:r>
          </w:p>
        </w:tc>
        <w:tc>
          <w:tcPr>
            <w:tcW w:w="2168" w:type="dxa"/>
            <w:tcBorders>
              <w:top w:val="nil"/>
              <w:left w:val="nil"/>
              <w:bottom w:val="single" w:color="auto" w:sz="4" w:space="0"/>
              <w:right w:val="single" w:color="auto" w:sz="4" w:space="0"/>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449"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57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1056"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650.44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0.38 </w:t>
            </w:r>
          </w:p>
        </w:tc>
        <w:tc>
          <w:tcPr>
            <w:tcW w:w="1056"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650.05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737"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608" w:type="dxa"/>
            <w:gridSpan w:val="2"/>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681" w:type="dxa"/>
            <w:tcBorders>
              <w:top w:val="nil"/>
              <w:left w:val="nil"/>
              <w:bottom w:val="single" w:color="auto" w:sz="4" w:space="0"/>
              <w:right w:val="single" w:color="auto" w:sz="4" w:space="0"/>
            </w:tcBorders>
            <w:noWrap/>
            <w:vAlign w:val="center"/>
          </w:tcPr>
          <w:p>
            <w:pPr>
              <w:widowControl/>
              <w:jc w:val="righ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4012" w:type="dxa"/>
            <w:gridSpan w:val="29"/>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注：1.本表依据《一般公共预算财政拨款收入支出决算表》（财决07表）进行批复。</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4012" w:type="dxa"/>
            <w:gridSpan w:val="29"/>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2.本表批复到项级科目。</w:t>
            </w:r>
          </w:p>
        </w:tc>
        <w:tc>
          <w:tcPr>
            <w:tcW w:w="387" w:type="dxa"/>
            <w:vAlign w:val="center"/>
          </w:tcPr>
          <w:p>
            <w:pPr>
              <w:widowControl/>
              <w:jc w:val="left"/>
              <w:rPr>
                <w:rFonts w:ascii="Times New Roman" w:hAnsi="Times New Roman" w:eastAsia="Times New Roman" w:cs="Times New Roman"/>
                <w:kern w:val="0"/>
                <w:sz w:val="20"/>
                <w:szCs w:val="20"/>
              </w:rPr>
            </w:pPr>
          </w:p>
        </w:tc>
      </w:tr>
      <w:tr>
        <w:trPr>
          <w:gridAfter w:val="1"/>
          <w:wAfter w:w="11" w:type="dxa"/>
          <w:trHeight w:val="270" w:hRule="atLeast"/>
        </w:trPr>
        <w:tc>
          <w:tcPr>
            <w:tcW w:w="14012" w:type="dxa"/>
            <w:gridSpan w:val="29"/>
            <w:tcBorders>
              <w:top w:val="nil"/>
              <w:left w:val="nil"/>
              <w:bottom w:val="nil"/>
              <w:right w:val="nil"/>
            </w:tcBorders>
            <w:noWrap/>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3.本表以“万元”为金额单位（保留两位小数）。</w:t>
            </w:r>
          </w:p>
        </w:tc>
        <w:tc>
          <w:tcPr>
            <w:tcW w:w="387" w:type="dxa"/>
            <w:vAlign w:val="center"/>
          </w:tcPr>
          <w:p>
            <w:pPr>
              <w:widowControl/>
              <w:jc w:val="left"/>
              <w:rPr>
                <w:rFonts w:ascii="Times New Roman" w:hAnsi="Times New Roman" w:eastAsia="Times New Roman" w:cs="Times New Roman"/>
                <w:kern w:val="0"/>
                <w:sz w:val="20"/>
                <w:szCs w:val="20"/>
              </w:rPr>
            </w:pPr>
          </w:p>
        </w:tc>
      </w:tr>
    </w:tbl>
    <w:p>
      <w:pPr>
        <w:pStyle w:val="2"/>
      </w:pPr>
    </w:p>
    <w:p>
      <w:pPr>
        <w:pStyle w:val="2"/>
      </w:pPr>
    </w:p>
    <w:p>
      <w:pPr>
        <w:pStyle w:val="2"/>
      </w:pPr>
    </w:p>
    <w:tbl>
      <w:tblPr>
        <w:tblStyle w:val="9"/>
        <w:tblW w:w="12060" w:type="dxa"/>
        <w:jc w:val="center"/>
        <w:tblLayout w:type="autofit"/>
        <w:tblCellMar>
          <w:top w:w="0" w:type="dxa"/>
          <w:left w:w="108" w:type="dxa"/>
          <w:bottom w:w="0" w:type="dxa"/>
          <w:right w:w="108" w:type="dxa"/>
        </w:tblCellMar>
      </w:tblPr>
      <w:tblGrid>
        <w:gridCol w:w="735"/>
        <w:gridCol w:w="2239"/>
        <w:gridCol w:w="846"/>
        <w:gridCol w:w="737"/>
        <w:gridCol w:w="1971"/>
        <w:gridCol w:w="875"/>
        <w:gridCol w:w="737"/>
        <w:gridCol w:w="2438"/>
        <w:gridCol w:w="1260"/>
        <w:gridCol w:w="222"/>
      </w:tblGrid>
      <w:tr>
        <w:tblPrEx>
          <w:tblCellMar>
            <w:top w:w="0" w:type="dxa"/>
            <w:left w:w="108" w:type="dxa"/>
            <w:bottom w:w="0" w:type="dxa"/>
            <w:right w:w="108" w:type="dxa"/>
          </w:tblCellMar>
        </w:tblPrEx>
        <w:trPr>
          <w:gridAfter w:val="1"/>
          <w:wAfter w:w="36" w:type="dxa"/>
          <w:trHeight w:val="660" w:hRule="atLeast"/>
          <w:jc w:val="center"/>
        </w:trPr>
        <w:tc>
          <w:tcPr>
            <w:tcW w:w="12024" w:type="dxa"/>
            <w:gridSpan w:val="9"/>
            <w:tcBorders>
              <w:top w:val="nil"/>
              <w:left w:val="nil"/>
              <w:bottom w:val="nil"/>
              <w:right w:val="nil"/>
            </w:tcBorders>
            <w:vAlign w:val="center"/>
          </w:tcPr>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p>
          <w:p>
            <w:pPr>
              <w:widowControl/>
              <w:jc w:val="center"/>
              <w:rPr>
                <w:rFonts w:ascii="宋体" w:hAnsi="宋体" w:eastAsia="宋体" w:cs="宋体"/>
                <w:color w:val="000000"/>
                <w:kern w:val="0"/>
                <w:sz w:val="22"/>
              </w:rPr>
            </w:pPr>
            <w:r>
              <w:rPr>
                <w:rFonts w:ascii="宋体" w:hAnsi="宋体" w:eastAsia="宋体" w:cs="宋体"/>
                <w:color w:val="000000"/>
                <w:kern w:val="0"/>
                <w:sz w:val="22"/>
              </w:rPr>
              <w:t>Z08_1 一般公共预算财政拨款基本支出决算明细批复表</w:t>
            </w:r>
          </w:p>
        </w:tc>
      </w:tr>
      <w:tr>
        <w:tblPrEx>
          <w:tblCellMar>
            <w:top w:w="0" w:type="dxa"/>
            <w:left w:w="108" w:type="dxa"/>
            <w:bottom w:w="0" w:type="dxa"/>
            <w:right w:w="108" w:type="dxa"/>
          </w:tblCellMar>
        </w:tblPrEx>
        <w:trPr>
          <w:gridAfter w:val="1"/>
          <w:wAfter w:w="36" w:type="dxa"/>
          <w:trHeight w:val="270" w:hRule="atLeast"/>
          <w:jc w:val="center"/>
        </w:trPr>
        <w:tc>
          <w:tcPr>
            <w:tcW w:w="3868"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人员经费</w:t>
            </w:r>
          </w:p>
        </w:tc>
        <w:tc>
          <w:tcPr>
            <w:tcW w:w="8156" w:type="dxa"/>
            <w:gridSpan w:val="6"/>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公用经费</w:t>
            </w:r>
          </w:p>
        </w:tc>
      </w:tr>
      <w:tr>
        <w:tblPrEx>
          <w:tblCellMar>
            <w:top w:w="0" w:type="dxa"/>
            <w:left w:w="108" w:type="dxa"/>
            <w:bottom w:w="0" w:type="dxa"/>
            <w:right w:w="108" w:type="dxa"/>
          </w:tblCellMar>
        </w:tblPrEx>
        <w:trPr>
          <w:gridAfter w:val="1"/>
          <w:wAfter w:w="36" w:type="dxa"/>
          <w:trHeight w:val="312" w:hRule="atLeast"/>
          <w:jc w:val="center"/>
        </w:trPr>
        <w:tc>
          <w:tcPr>
            <w:tcW w:w="738"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科目编码</w:t>
            </w:r>
          </w:p>
        </w:tc>
        <w:tc>
          <w:tcPr>
            <w:tcW w:w="229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科目名称</w:t>
            </w:r>
          </w:p>
        </w:tc>
        <w:tc>
          <w:tcPr>
            <w:tcW w:w="839"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决算数</w:t>
            </w:r>
          </w:p>
        </w:tc>
        <w:tc>
          <w:tcPr>
            <w:tcW w:w="739"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科目编码</w:t>
            </w:r>
          </w:p>
        </w:tc>
        <w:tc>
          <w:tcPr>
            <w:tcW w:w="2013"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科目名称</w:t>
            </w:r>
          </w:p>
        </w:tc>
        <w:tc>
          <w:tcPr>
            <w:tcW w:w="879"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决算数</w:t>
            </w:r>
          </w:p>
        </w:tc>
        <w:tc>
          <w:tcPr>
            <w:tcW w:w="739"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科目编码</w:t>
            </w:r>
          </w:p>
        </w:tc>
        <w:tc>
          <w:tcPr>
            <w:tcW w:w="2509"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科目名称</w:t>
            </w:r>
          </w:p>
        </w:tc>
        <w:tc>
          <w:tcPr>
            <w:tcW w:w="1277"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决算数</w:t>
            </w:r>
          </w:p>
        </w:tc>
      </w:tr>
      <w:tr>
        <w:tblPrEx>
          <w:tblCellMar>
            <w:top w:w="0" w:type="dxa"/>
            <w:left w:w="108" w:type="dxa"/>
            <w:bottom w:w="0" w:type="dxa"/>
            <w:right w:w="108" w:type="dxa"/>
          </w:tblCellMar>
        </w:tblPrEx>
        <w:trPr>
          <w:trHeight w:val="270" w:hRule="atLeast"/>
          <w:jc w:val="center"/>
        </w:trPr>
        <w:tc>
          <w:tcPr>
            <w:tcW w:w="7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2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83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3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01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8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3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27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6" w:type="dxa"/>
            <w:tcBorders>
              <w:top w:val="nil"/>
              <w:left w:val="nil"/>
              <w:bottom w:val="nil"/>
              <w:right w:val="nil"/>
            </w:tcBorders>
            <w:noWrap/>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工资福利支出</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1523.28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商品和服务支出</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191.77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307</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债务利息及费用支出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30101</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基本工资</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881.07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30201</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办公费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13.18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30701</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国内债务付息</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30102</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津贴补贴</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206.99</w:t>
            </w:r>
            <w:r>
              <w:rPr>
                <w:rFonts w:ascii="宋体" w:hAnsi="宋体" w:eastAsia="宋体" w:cs="宋体"/>
                <w:color w:val="000000"/>
                <w:kern w:val="0"/>
                <w:sz w:val="18"/>
                <w:szCs w:val="18"/>
              </w:rPr>
              <w:t xml:space="preserve">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30202</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印刷费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5.82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30702</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国外债务付息</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30103</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奖金</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71.05</w:t>
            </w:r>
            <w:r>
              <w:rPr>
                <w:rFonts w:ascii="宋体" w:hAnsi="宋体" w:eastAsia="宋体" w:cs="宋体"/>
                <w:color w:val="000000"/>
                <w:kern w:val="0"/>
                <w:sz w:val="18"/>
                <w:szCs w:val="18"/>
              </w:rPr>
              <w:t xml:space="preserve">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30204</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手续费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资本性支出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30106</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伙食补助费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30205</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水费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1.85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31001</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房屋建筑物购建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30107</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绩效工资</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30206</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电费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13.04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31002</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办公设备购置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45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30108</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机关事业单位基本养老保险缴费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172.14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30207</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邮电费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2.30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31003</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专用设备购置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30109</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职业年金缴费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30208</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取暖费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31005</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基础设施建设</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30110</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职工基本医疗保险缴费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93.60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30209</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物业管理费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21.14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31006</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大型修缮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30111</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公务员医疗补助缴费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30211</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差旅费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8.74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31007</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信息网络及软件购置更新</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30112</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其他社会保障缴费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30212</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因公出国（境）费用</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31008</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物资储备</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30113</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住房公积金</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30213</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维修（护）费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31009</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土地补偿</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30114</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医疗费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30214</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租赁费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6.48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31010</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安置补助</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30199</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其他工资福利支出</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10.94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30215</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会议费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31011</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地上附着物和青苗补偿</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对个人和家庭的补助</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30216</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培训费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2.00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31012</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拆迁补偿</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30301</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离休费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30217</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公务接待费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31013</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公务用车购置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30302</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退休费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30218</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专用材料费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31019</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其他交通工具购置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30303</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退职（役）费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30224</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被装购置费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31021</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文物和陈列品购置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30304</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抚恤金</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30225</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专用燃料费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31022</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无形资产购置</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30305</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生活补助</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30226</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劳务费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6.08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31099</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其他资本性支出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30306</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救济费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30227</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委托业务费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42.96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399</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其他支出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30307</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医疗费补助</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30228</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工会经费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40.50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39907</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国家赔偿费用支出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45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30308</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助学金</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30229</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福利费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10.90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39908</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对民间非营利组织和群众性自治组织补贴</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30309</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奖励金</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30231</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公务用车运行维护费</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10.83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39909</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经常性赠与</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30310</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个人农业生产补贴</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30239</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其他交通费用</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3.98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39910</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资本性赠与</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30311</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代缴社会保险费</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30240</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税金及附加费用</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1.97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39999</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其他支出</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30399</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其他对个人和家庭的补助</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30299</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其他商品和服务支出</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738"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29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013"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87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73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2509"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302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人员经费合计</w:t>
            </w:r>
          </w:p>
        </w:tc>
        <w:tc>
          <w:tcPr>
            <w:tcW w:w="839"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1523.28 </w:t>
            </w:r>
          </w:p>
        </w:tc>
        <w:tc>
          <w:tcPr>
            <w:tcW w:w="6879" w:type="dxa"/>
            <w:gridSpan w:val="5"/>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公用经费合计</w:t>
            </w:r>
          </w:p>
        </w:tc>
        <w:tc>
          <w:tcPr>
            <w:tcW w:w="1277" w:type="dxa"/>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191.77 </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12024" w:type="dxa"/>
            <w:gridSpan w:val="9"/>
            <w:tcBorders>
              <w:top w:val="nil"/>
              <w:left w:val="nil"/>
              <w:bottom w:val="nil"/>
              <w:right w:val="nil"/>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注：1.本表依据《一般公共预算财政拨款基本支出决算明细表》（财决08-1表）进行批复。</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270" w:hRule="atLeast"/>
          <w:jc w:val="center"/>
        </w:trPr>
        <w:tc>
          <w:tcPr>
            <w:tcW w:w="12024" w:type="dxa"/>
            <w:gridSpan w:val="9"/>
            <w:tcBorders>
              <w:top w:val="nil"/>
              <w:left w:val="nil"/>
              <w:bottom w:val="nil"/>
              <w:right w:val="nil"/>
            </w:tcBorders>
            <w:vAlign w:val="center"/>
          </w:tcPr>
          <w:p>
            <w:pPr>
              <w:widowControl/>
              <w:jc w:val="left"/>
              <w:rPr>
                <w:rFonts w:ascii="宋体" w:hAnsi="宋体" w:eastAsia="宋体" w:cs="宋体"/>
                <w:color w:val="000000"/>
                <w:kern w:val="0"/>
                <w:sz w:val="18"/>
                <w:szCs w:val="18"/>
              </w:rPr>
            </w:pPr>
            <w:r>
              <w:rPr>
                <w:rFonts w:ascii="宋体" w:hAnsi="宋体" w:eastAsia="宋体" w:cs="宋体"/>
                <w:color w:val="000000"/>
                <w:kern w:val="0"/>
                <w:sz w:val="18"/>
                <w:szCs w:val="18"/>
              </w:rPr>
              <w:t xml:space="preserve">    2.本表以“万元”为金额单位（保留两位小数）。</w:t>
            </w:r>
          </w:p>
        </w:tc>
        <w:tc>
          <w:tcPr>
            <w:tcW w:w="36" w:type="dxa"/>
            <w:vAlign w:val="center"/>
          </w:tcPr>
          <w:p>
            <w:pPr>
              <w:widowControl/>
              <w:jc w:val="left"/>
              <w:rPr>
                <w:rFonts w:ascii="Times New Roman" w:hAnsi="Times New Roman" w:eastAsia="Times New Roman" w:cs="Times New Roman"/>
                <w:kern w:val="0"/>
                <w:sz w:val="20"/>
                <w:szCs w:val="20"/>
              </w:rPr>
            </w:pP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tbl>
      <w:tblPr>
        <w:tblStyle w:val="9"/>
        <w:tblW w:w="14196" w:type="dxa"/>
        <w:tblInd w:w="108" w:type="dxa"/>
        <w:tblLayout w:type="autofit"/>
        <w:tblCellMar>
          <w:top w:w="0" w:type="dxa"/>
          <w:left w:w="108" w:type="dxa"/>
          <w:bottom w:w="0" w:type="dxa"/>
          <w:right w:w="108" w:type="dxa"/>
        </w:tblCellMar>
      </w:tblPr>
      <w:tblGrid>
        <w:gridCol w:w="1180"/>
        <w:gridCol w:w="1180"/>
        <w:gridCol w:w="1180"/>
        <w:gridCol w:w="1180"/>
        <w:gridCol w:w="1180"/>
        <w:gridCol w:w="1180"/>
        <w:gridCol w:w="1180"/>
        <w:gridCol w:w="1180"/>
        <w:gridCol w:w="1180"/>
        <w:gridCol w:w="1180"/>
        <w:gridCol w:w="1180"/>
        <w:gridCol w:w="1180"/>
        <w:gridCol w:w="222"/>
      </w:tblGrid>
      <w:tr>
        <w:trPr>
          <w:gridAfter w:val="1"/>
          <w:wAfter w:w="36" w:type="dxa"/>
          <w:trHeight w:val="582" w:hRule="atLeast"/>
        </w:trPr>
        <w:tc>
          <w:tcPr>
            <w:tcW w:w="14160" w:type="dxa"/>
            <w:gridSpan w:val="12"/>
            <w:tcBorders>
              <w:top w:val="nil"/>
              <w:left w:val="nil"/>
              <w:bottom w:val="nil"/>
              <w:right w:val="nil"/>
            </w:tcBorders>
            <w:noWrap/>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 xml:space="preserve">财政拨款“三公”经费支出决算批复表F03 </w:t>
            </w:r>
          </w:p>
        </w:tc>
      </w:tr>
      <w:tr>
        <w:tblPrEx>
          <w:tblCellMar>
            <w:top w:w="0" w:type="dxa"/>
            <w:left w:w="108" w:type="dxa"/>
            <w:bottom w:w="0" w:type="dxa"/>
            <w:right w:w="108" w:type="dxa"/>
          </w:tblCellMar>
        </w:tblPrEx>
        <w:trPr>
          <w:gridAfter w:val="1"/>
          <w:wAfter w:w="36" w:type="dxa"/>
          <w:trHeight w:val="300" w:hRule="atLeast"/>
        </w:trPr>
        <w:tc>
          <w:tcPr>
            <w:tcW w:w="7080" w:type="dxa"/>
            <w:gridSpan w:val="6"/>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预算数</w:t>
            </w:r>
          </w:p>
        </w:tc>
        <w:tc>
          <w:tcPr>
            <w:tcW w:w="7080" w:type="dxa"/>
            <w:gridSpan w:val="6"/>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决算数</w:t>
            </w:r>
          </w:p>
        </w:tc>
      </w:tr>
      <w:tr>
        <w:tblPrEx>
          <w:tblCellMar>
            <w:top w:w="0" w:type="dxa"/>
            <w:left w:w="108" w:type="dxa"/>
            <w:bottom w:w="0" w:type="dxa"/>
            <w:right w:w="108" w:type="dxa"/>
          </w:tblCellMar>
        </w:tblPrEx>
        <w:trPr>
          <w:gridAfter w:val="1"/>
          <w:wAfter w:w="36" w:type="dxa"/>
          <w:trHeight w:val="300" w:hRule="atLeast"/>
        </w:trPr>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因公出国（境）费</w:t>
            </w:r>
          </w:p>
        </w:tc>
        <w:tc>
          <w:tcPr>
            <w:tcW w:w="354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公务用车购置及运行维护费</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公务接待费</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合计</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因公出国（境）费</w:t>
            </w:r>
          </w:p>
        </w:tc>
        <w:tc>
          <w:tcPr>
            <w:tcW w:w="354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公务用车购置及运行维护费</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公务接待费</w:t>
            </w:r>
          </w:p>
        </w:tc>
      </w:tr>
      <w:tr>
        <w:tblPrEx>
          <w:tblCellMar>
            <w:top w:w="0" w:type="dxa"/>
            <w:left w:w="108" w:type="dxa"/>
            <w:bottom w:w="0" w:type="dxa"/>
            <w:right w:w="108" w:type="dxa"/>
          </w:tblCellMar>
        </w:tblPrEx>
        <w:trPr>
          <w:gridAfter w:val="1"/>
          <w:wAfter w:w="36" w:type="dxa"/>
          <w:trHeight w:val="312" w:hRule="atLeast"/>
        </w:trPr>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小计</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公务用车购置费</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公务用车运行维护费</w:t>
            </w: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小计</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公务用车购置费</w:t>
            </w:r>
          </w:p>
        </w:tc>
        <w:tc>
          <w:tcPr>
            <w:tcW w:w="11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公务用车运行维护费</w:t>
            </w: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trPr>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11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36" w:type="dxa"/>
            <w:tcBorders>
              <w:top w:val="nil"/>
              <w:left w:val="nil"/>
              <w:bottom w:val="nil"/>
              <w:right w:val="nil"/>
            </w:tcBorders>
            <w:noWrap/>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trPr>
        <w:tc>
          <w:tcPr>
            <w:tcW w:w="1180"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4</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6</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7</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8</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9</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11</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12</w:t>
            </w:r>
          </w:p>
        </w:tc>
        <w:tc>
          <w:tcPr>
            <w:tcW w:w="36" w:type="dxa"/>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300" w:hRule="atLeast"/>
        </w:trPr>
        <w:tc>
          <w:tcPr>
            <w:tcW w:w="1180"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12.00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12.00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12.00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10.83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10.83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10.83 </w:t>
            </w:r>
          </w:p>
        </w:tc>
        <w:tc>
          <w:tcPr>
            <w:tcW w:w="1180"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 xml:space="preserve">0.00 </w:t>
            </w:r>
          </w:p>
        </w:tc>
        <w:tc>
          <w:tcPr>
            <w:tcW w:w="36" w:type="dxa"/>
            <w:vAlign w:val="center"/>
          </w:tcPr>
          <w:p>
            <w:pPr>
              <w:widowControl/>
              <w:jc w:val="left"/>
              <w:rPr>
                <w:rFonts w:ascii="Times New Roman" w:hAnsi="Times New Roman" w:eastAsia="Times New Roman" w:cs="Times New Roman"/>
                <w:kern w:val="0"/>
                <w:sz w:val="20"/>
                <w:szCs w:val="20"/>
              </w:rPr>
            </w:pP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ind w:firstLine="0"/>
        <w:rPr>
          <w:rFonts w:hint="eastAsia"/>
        </w:rPr>
        <w:sectPr>
          <w:pgSz w:w="16838" w:h="11906" w:orient="landscape"/>
          <w:pgMar w:top="1134" w:right="1191" w:bottom="907" w:left="1304" w:header="851" w:footer="992" w:gutter="0"/>
          <w:cols w:space="0" w:num="1"/>
          <w:docGrid w:type="lines" w:linePitch="312" w:charSpace="0"/>
        </w:sectPr>
      </w:pPr>
    </w:p>
    <w:p>
      <w:pPr>
        <w:pStyle w:val="13"/>
        <w:ind w:firstLine="2880" w:firstLineChars="400"/>
        <w:jc w:val="both"/>
        <w:rPr>
          <w:rFonts w:hint="eastAsia" w:ascii="方正小标宋_GBK" w:hAnsi="方正小标宋_GBK" w:eastAsia="方正小标宋_GBK" w:cs="方正小标宋_GBK"/>
          <w:sz w:val="72"/>
          <w:szCs w:val="72"/>
        </w:rPr>
      </w:pPr>
    </w:p>
    <w:p>
      <w:pPr>
        <w:pStyle w:val="13"/>
        <w:ind w:firstLine="2880" w:firstLineChars="400"/>
        <w:jc w:val="both"/>
        <w:rPr>
          <w:rFonts w:hint="eastAsia" w:ascii="方正小标宋_GBK" w:hAnsi="方正小标宋_GBK" w:eastAsia="方正小标宋_GBK" w:cs="方正小标宋_GBK"/>
          <w:sz w:val="72"/>
          <w:szCs w:val="72"/>
        </w:rPr>
      </w:pPr>
    </w:p>
    <w:p>
      <w:pPr>
        <w:pStyle w:val="13"/>
        <w:ind w:firstLine="2880" w:firstLineChars="400"/>
        <w:jc w:val="both"/>
        <w:rPr>
          <w:rFonts w:hint="eastAsia" w:ascii="方正小标宋_GBK" w:hAnsi="方正小标宋_GBK" w:eastAsia="方正小标宋_GBK" w:cs="方正小标宋_GBK"/>
          <w:sz w:val="72"/>
          <w:szCs w:val="72"/>
        </w:rPr>
      </w:pPr>
    </w:p>
    <w:p>
      <w:pPr>
        <w:pStyle w:val="13"/>
        <w:ind w:firstLine="2880" w:firstLineChars="400"/>
        <w:jc w:val="both"/>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ind w:firstLine="2880" w:firstLineChars="400"/>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2025年度部门决算情况说明</w:t>
      </w:r>
    </w:p>
    <w:p>
      <w:pPr>
        <w:widowControl/>
        <w:jc w:val="left"/>
        <w:rPr>
          <w:rFonts w:hint="eastAsia"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一、收入支出决算总体情况说明</w:t>
      </w:r>
    </w:p>
    <w:p>
      <w:pPr>
        <w:widowControl/>
        <w:spacing w:line="600" w:lineRule="exact"/>
        <w:ind w:firstLine="640" w:firstLineChars="200"/>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2025年度收、支总计</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万元。与上年相比，</w:t>
      </w:r>
      <w:r>
        <w:rPr>
          <w:rFonts w:hint="eastAsia" w:ascii="仿宋_GB2312" w:hAnsi="仿宋_GB2312" w:eastAsia="仿宋_GB2312" w:cs="仿宋_GB2312"/>
          <w:color w:val="000000" w:themeColor="text1"/>
          <w:sz w:val="32"/>
          <w:szCs w:val="32"/>
          <w14:textFill>
            <w14:solidFill>
              <w14:schemeClr w14:val="tx1"/>
            </w14:solidFill>
          </w14:textFill>
        </w:rPr>
        <w:t>增加2349.67万元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增加</w:t>
      </w:r>
      <w:r>
        <w:rPr>
          <w:rFonts w:hint="eastAsia" w:ascii="Times New Roman" w:hAnsi="Times New Roman" w:eastAsia="仿宋_GB2312"/>
          <w:color w:val="000000" w:themeColor="text1"/>
          <w:sz w:val="32"/>
          <w:szCs w:val="32"/>
          <w14:textFill>
            <w14:solidFill>
              <w14:schemeClr w14:val="tx1"/>
            </w14:solidFill>
          </w14:textFill>
        </w:rPr>
        <w:t>46.3%。主要是因为:</w:t>
      </w:r>
      <w:r>
        <w:rPr>
          <w:rFonts w:hint="eastAsia" w:ascii="仿宋_GB2312" w:hAnsi="仿宋_GB2312" w:eastAsia="仿宋_GB2312" w:cs="仿宋_GB2312"/>
          <w:bCs/>
          <w:color w:val="000000" w:themeColor="text1"/>
          <w:sz w:val="32"/>
          <w:szCs w:val="32"/>
          <w14:textFill>
            <w14:solidFill>
              <w14:schemeClr w14:val="tx1"/>
            </w14:solidFill>
          </w14:textFill>
        </w:rPr>
        <w:t>主要是因争资争项工作取得了显著成效。中央加大了林业生态保护和修复项目建设的投入。</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二、收入决算情况说明</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2025年度收入合计</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万元，其中：财政拨款收入</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万元，占100%；上级补助收入</w:t>
      </w:r>
      <w:r>
        <w:rPr>
          <w:rFonts w:hint="eastAsia" w:ascii="宋体" w:hAnsi="宋体" w:eastAsia="宋体" w:cs="宋体"/>
          <w:color w:val="000000" w:themeColor="text1"/>
          <w:sz w:val="32"/>
          <w:szCs w:val="32"/>
          <w:lang w:bidi="ar"/>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万元，占0；事业收入0万元，占0%；经营收入0万元，占0%；附属单位上缴收入0万元，占0%；其他收入0万元，占0%。</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三、支出决算情况说明</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2025年度支出合计</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万元，其中：基本支出</w:t>
      </w:r>
      <w:r>
        <w:rPr>
          <w:rFonts w:hint="eastAsia" w:ascii="Times New Roman" w:hAnsi="Times New Roman" w:eastAsia="仿宋_GB2312" w:cs="Times New Roman"/>
          <w:color w:val="000000" w:themeColor="text1"/>
          <w:sz w:val="32"/>
          <w:szCs w:val="32"/>
          <w14:textFill>
            <w14:solidFill>
              <w14:schemeClr w14:val="tx1"/>
            </w14:solidFill>
          </w14:textFill>
        </w:rPr>
        <w:t>1715.05</w:t>
      </w:r>
      <w:r>
        <w:rPr>
          <w:rFonts w:hint="eastAsia" w:ascii="Times New Roman" w:hAnsi="Times New Roman" w:eastAsia="仿宋_GB2312"/>
          <w:color w:val="000000" w:themeColor="text1"/>
          <w:sz w:val="32"/>
          <w:szCs w:val="32"/>
          <w14:textFill>
            <w14:solidFill>
              <w14:schemeClr w14:val="tx1"/>
            </w14:solidFill>
          </w14:textFill>
        </w:rPr>
        <w:t>万元，占23.1%；项目支出</w:t>
      </w:r>
      <w:r>
        <w:rPr>
          <w:rFonts w:hint="eastAsia" w:ascii="宋体" w:hAnsi="宋体" w:eastAsia="宋体" w:cs="宋体"/>
          <w:color w:val="000000" w:themeColor="text1"/>
          <w:sz w:val="32"/>
          <w:szCs w:val="32"/>
          <w:lang w:bidi="ar"/>
          <w14:textFill>
            <w14:solidFill>
              <w14:schemeClr w14:val="tx1"/>
            </w14:solidFill>
          </w14:textFill>
        </w:rPr>
        <w:t>5709.28</w:t>
      </w:r>
      <w:r>
        <w:rPr>
          <w:rFonts w:hint="eastAsia" w:ascii="Times New Roman" w:hAnsi="Times New Roman" w:eastAsia="仿宋_GB2312"/>
          <w:color w:val="000000" w:themeColor="text1"/>
          <w:sz w:val="32"/>
          <w:szCs w:val="32"/>
          <w14:textFill>
            <w14:solidFill>
              <w14:schemeClr w14:val="tx1"/>
            </w14:solidFill>
          </w14:textFill>
        </w:rPr>
        <w:t>万元，占76.9%；上缴上级支出0万元，占0%；经营支出0万元，占0%；对附属单位补助支出0万元，占0%。</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四、财政拨款收入支出决算总体情况说明</w:t>
      </w:r>
    </w:p>
    <w:p>
      <w:pPr>
        <w:widowControl/>
        <w:spacing w:line="600" w:lineRule="exact"/>
        <w:ind w:firstLine="640" w:firstLineChars="200"/>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 xml:space="preserve"> 2025年度财政拨款收、支总计</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万元，与上年相比，</w:t>
      </w:r>
      <w:r>
        <w:rPr>
          <w:rFonts w:hint="eastAsia" w:ascii="仿宋_GB2312" w:hAnsi="仿宋_GB2312" w:eastAsia="仿宋_GB2312" w:cs="仿宋_GB2312"/>
          <w:color w:val="000000" w:themeColor="text1"/>
          <w:sz w:val="32"/>
          <w:szCs w:val="32"/>
          <w14:textFill>
            <w14:solidFill>
              <w14:schemeClr w14:val="tx1"/>
            </w14:solidFill>
          </w14:textFill>
        </w:rPr>
        <w:t>增加2349.67 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增加</w:t>
      </w:r>
      <w:r>
        <w:rPr>
          <w:rFonts w:hint="eastAsia" w:ascii="Times New Roman" w:hAnsi="Times New Roman" w:eastAsia="仿宋_GB2312"/>
          <w:color w:val="000000" w:themeColor="text1"/>
          <w:sz w:val="32"/>
          <w:szCs w:val="32"/>
          <w14:textFill>
            <w14:solidFill>
              <w14:schemeClr w14:val="tx1"/>
            </w14:solidFill>
          </w14:textFill>
        </w:rPr>
        <w:t>46.3%。主要是因为:</w:t>
      </w:r>
      <w:r>
        <w:rPr>
          <w:rFonts w:hint="eastAsia" w:ascii="仿宋_GB2312" w:hAnsi="仿宋_GB2312" w:eastAsia="仿宋_GB2312" w:cs="仿宋_GB2312"/>
          <w:bCs/>
          <w:color w:val="000000" w:themeColor="text1"/>
          <w:sz w:val="32"/>
          <w:szCs w:val="32"/>
          <w14:textFill>
            <w14:solidFill>
              <w14:schemeClr w14:val="tx1"/>
            </w14:solidFill>
          </w14:textFill>
        </w:rPr>
        <w:t>主要是因中央加大了林业生态保护和修复项目建设的投入，争资争项工作取得了显著成效。</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五、一般公共预算财政拨款支出决算情况说明</w:t>
      </w:r>
    </w:p>
    <w:p>
      <w:pPr>
        <w:pStyle w:val="13"/>
        <w:spacing w:line="600" w:lineRule="exact"/>
        <w:ind w:firstLine="640" w:firstLineChars="200"/>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（一）一般公共预算财政拨款支出决算总体情况</w:t>
      </w:r>
    </w:p>
    <w:p>
      <w:pPr>
        <w:widowControl/>
        <w:spacing w:line="600" w:lineRule="exact"/>
        <w:ind w:firstLine="640" w:firstLineChars="200"/>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2025年度财政拨款支出</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万元，占本年支出合计的100%，与上年相比，</w:t>
      </w:r>
      <w:r>
        <w:rPr>
          <w:rFonts w:hint="eastAsia" w:ascii="仿宋_GB2312" w:hAnsi="仿宋_GB2312" w:eastAsia="仿宋_GB2312" w:cs="仿宋_GB2312"/>
          <w:color w:val="000000" w:themeColor="text1"/>
          <w:sz w:val="32"/>
          <w:szCs w:val="32"/>
          <w14:textFill>
            <w14:solidFill>
              <w14:schemeClr w14:val="tx1"/>
            </w14:solidFill>
          </w14:textFill>
        </w:rPr>
        <w:t>增加2349.67 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增加</w:t>
      </w:r>
      <w:r>
        <w:rPr>
          <w:rFonts w:hint="eastAsia" w:ascii="Times New Roman" w:hAnsi="Times New Roman" w:eastAsia="仿宋_GB2312"/>
          <w:color w:val="000000" w:themeColor="text1"/>
          <w:sz w:val="32"/>
          <w:szCs w:val="32"/>
          <w14:textFill>
            <w14:solidFill>
              <w14:schemeClr w14:val="tx1"/>
            </w14:solidFill>
          </w14:textFill>
        </w:rPr>
        <w:t>46.3%。主要是因为:</w:t>
      </w:r>
      <w:r>
        <w:rPr>
          <w:rFonts w:hint="eastAsia" w:ascii="仿宋_GB2312" w:hAnsi="仿宋_GB2312" w:eastAsia="仿宋_GB2312" w:cs="仿宋_GB2312"/>
          <w:bCs/>
          <w:color w:val="000000" w:themeColor="text1"/>
          <w:sz w:val="32"/>
          <w:szCs w:val="32"/>
          <w14:textFill>
            <w14:solidFill>
              <w14:schemeClr w14:val="tx1"/>
            </w14:solidFill>
          </w14:textFill>
        </w:rPr>
        <w:t>主要是因中央加大了林业生态保护和修复项目建设的投入，争资争项工作取得了显著成效。</w:t>
      </w:r>
    </w:p>
    <w:p>
      <w:pPr>
        <w:pStyle w:val="13"/>
        <w:spacing w:line="600" w:lineRule="exact"/>
        <w:ind w:firstLine="640" w:firstLineChars="200"/>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（二）一般公共预算财政拨款支出决算结构情况</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2025年度财政拨款支出</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万元，主要用于以下方面：一般公共服务（类）支出</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万元，占100%；其中：公用经费支出</w:t>
      </w:r>
      <w:r>
        <w:rPr>
          <w:rFonts w:hint="eastAsia" w:ascii="Times New Roman" w:hAnsi="Times New Roman" w:eastAsia="仿宋_GB2312" w:cs="Times New Roman"/>
          <w:color w:val="000000" w:themeColor="text1"/>
          <w:sz w:val="32"/>
          <w:szCs w:val="32"/>
          <w14:textFill>
            <w14:solidFill>
              <w14:schemeClr w14:val="tx1"/>
            </w14:solidFill>
          </w14:textFill>
        </w:rPr>
        <w:t>1715.05</w:t>
      </w:r>
      <w:r>
        <w:rPr>
          <w:rFonts w:hint="eastAsia" w:ascii="Times New Roman" w:hAnsi="Times New Roman" w:eastAsia="仿宋_GB2312"/>
          <w:color w:val="000000" w:themeColor="text1"/>
          <w:sz w:val="32"/>
          <w:szCs w:val="32"/>
          <w14:textFill>
            <w14:solidFill>
              <w14:schemeClr w14:val="tx1"/>
            </w14:solidFill>
          </w14:textFill>
        </w:rPr>
        <w:t>万元，占23.1%；项目支出</w:t>
      </w:r>
      <w:r>
        <w:rPr>
          <w:rFonts w:hint="eastAsia" w:ascii="宋体" w:hAnsi="宋体" w:eastAsia="宋体" w:cs="宋体"/>
          <w:color w:val="000000" w:themeColor="text1"/>
          <w:sz w:val="32"/>
          <w:szCs w:val="32"/>
          <w:lang w:bidi="ar"/>
          <w14:textFill>
            <w14:solidFill>
              <w14:schemeClr w14:val="tx1"/>
            </w14:solidFill>
          </w14:textFill>
        </w:rPr>
        <w:t>5709.28</w:t>
      </w:r>
      <w:r>
        <w:rPr>
          <w:rFonts w:hint="eastAsia" w:ascii="Times New Roman" w:hAnsi="Times New Roman" w:eastAsia="仿宋_GB2312"/>
          <w:color w:val="000000" w:themeColor="text1"/>
          <w:sz w:val="32"/>
          <w:szCs w:val="32"/>
          <w14:textFill>
            <w14:solidFill>
              <w14:schemeClr w14:val="tx1"/>
            </w14:solidFill>
          </w14:textFill>
        </w:rPr>
        <w:t>万元，占76.9%。</w:t>
      </w:r>
    </w:p>
    <w:p>
      <w:pPr>
        <w:pStyle w:val="13"/>
        <w:spacing w:line="600" w:lineRule="exact"/>
        <w:ind w:firstLine="640" w:firstLineChars="200"/>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（三）一般公共预算财政拨款支出决算具体情况</w:t>
      </w:r>
    </w:p>
    <w:p>
      <w:pPr>
        <w:pStyle w:val="13"/>
        <w:spacing w:line="600" w:lineRule="exact"/>
        <w:ind w:firstLine="800" w:firstLineChars="25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2025年度财政拨款支出年初预算数为</w:t>
      </w:r>
      <w:r>
        <w:rPr>
          <w:rFonts w:hint="eastAsia" w:ascii="仿宋_GB2312" w:hAnsi="仿宋_GB2312" w:eastAsia="仿宋_GB2312" w:cs="仿宋_GB2312"/>
          <w:color w:val="000000" w:themeColor="text1"/>
          <w:sz w:val="32"/>
          <w:szCs w:val="32"/>
          <w14:textFill>
            <w14:solidFill>
              <w14:schemeClr w14:val="tx1"/>
            </w14:solidFill>
          </w14:textFill>
        </w:rPr>
        <w:t>2488.88</w:t>
      </w:r>
      <w:r>
        <w:rPr>
          <w:rFonts w:hint="eastAsia" w:ascii="Times New Roman" w:hAnsi="Times New Roman" w:eastAsia="仿宋_GB2312"/>
          <w:color w:val="000000" w:themeColor="text1"/>
          <w:sz w:val="32"/>
          <w:szCs w:val="32"/>
          <w14:textFill>
            <w14:solidFill>
              <w14:schemeClr w14:val="tx1"/>
            </w14:solidFill>
          </w14:textFill>
        </w:rPr>
        <w:t>万元，支出决算数为</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Times New Roman" w:hAnsi="Times New Roman" w:eastAsia="仿宋_GB2312"/>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14:textFill>
            <w14:solidFill>
              <w14:schemeClr w14:val="tx1"/>
            </w14:solidFill>
          </w14:textFill>
        </w:rPr>
        <w:t>298</w:t>
      </w:r>
      <w:r>
        <w:rPr>
          <w:rFonts w:hint="eastAsia" w:ascii="Times New Roman" w:hAnsi="Times New Roman" w:eastAsia="仿宋_GB2312"/>
          <w:color w:val="000000" w:themeColor="text1"/>
          <w:sz w:val="32"/>
          <w:szCs w:val="32"/>
          <w14:textFill>
            <w14:solidFill>
              <w14:schemeClr w14:val="tx1"/>
            </w14:solidFill>
          </w14:textFill>
        </w:rPr>
        <w:t>%，其中：</w:t>
      </w:r>
    </w:p>
    <w:p>
      <w:pPr>
        <w:pStyle w:val="13"/>
        <w:numPr>
          <w:ilvl w:val="0"/>
          <w:numId w:val="2"/>
        </w:numPr>
        <w:spacing w:line="600" w:lineRule="exact"/>
        <w:ind w:firstLine="800" w:firstLineChars="25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一般公共服务（公用经费类）192.4万元。</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年初预算为192.4万元，支出决算为</w:t>
      </w:r>
      <w:r>
        <w:rPr>
          <w:rFonts w:hint="eastAsia" w:ascii="Times New Roman" w:hAnsi="Times New Roman" w:eastAsia="仿宋_GB2312" w:cs="Times New Roman"/>
          <w:color w:val="000000" w:themeColor="text1"/>
          <w:sz w:val="32"/>
          <w:szCs w:val="32"/>
          <w14:textFill>
            <w14:solidFill>
              <w14:schemeClr w14:val="tx1"/>
            </w14:solidFill>
          </w14:textFill>
        </w:rPr>
        <w:t>191.77</w:t>
      </w:r>
      <w:r>
        <w:rPr>
          <w:rFonts w:hint="eastAsia" w:ascii="Times New Roman" w:hAnsi="Times New Roman" w:eastAsia="仿宋_GB2312"/>
          <w:color w:val="000000" w:themeColor="text1"/>
          <w:sz w:val="32"/>
          <w:szCs w:val="32"/>
          <w14:textFill>
            <w14:solidFill>
              <w14:schemeClr w14:val="tx1"/>
            </w14:solidFill>
          </w14:textFill>
        </w:rPr>
        <w:t>万元，完成年初预算的99.7%，决算数小于年初预算数的</w:t>
      </w:r>
      <w:r>
        <w:rPr>
          <w:rFonts w:hint="eastAsia" w:ascii="Times New Roman" w:hAnsi="Times New Roman" w:eastAsia="仿宋_GB2312"/>
          <w:b/>
          <w:bCs/>
          <w:color w:val="000000" w:themeColor="text1"/>
          <w:sz w:val="32"/>
          <w:szCs w:val="32"/>
          <w14:textFill>
            <w14:solidFill>
              <w14:schemeClr w14:val="tx1"/>
            </w14:solidFill>
          </w14:textFill>
        </w:rPr>
        <w:t>主要原因是：</w:t>
      </w:r>
      <w:bookmarkStart w:id="3" w:name="OLE_LINK1"/>
      <w:r>
        <w:rPr>
          <w:rFonts w:hint="eastAsia" w:ascii="Calibri" w:hAnsi="Calibri" w:eastAsia="仿宋_GB2312" w:cs="Calibri"/>
          <w:color w:val="000000" w:themeColor="text1"/>
          <w:sz w:val="32"/>
          <w:szCs w:val="32"/>
          <w14:textFill>
            <w14:solidFill>
              <w14:schemeClr w14:val="tx1"/>
            </w14:solidFill>
          </w14:textFill>
        </w:rPr>
        <w:t>以</w:t>
      </w:r>
      <w:r>
        <w:rPr>
          <w:rFonts w:hint="eastAsia" w:ascii="Times New Roman" w:hAnsi="Times New Roman" w:eastAsia="仿宋_GB2312"/>
          <w:color w:val="000000" w:themeColor="text1"/>
          <w:sz w:val="32"/>
          <w:szCs w:val="32"/>
          <w14:textFill>
            <w14:solidFill>
              <w14:schemeClr w14:val="tx1"/>
            </w14:solidFill>
          </w14:textFill>
        </w:rPr>
        <w:t>厉行节俭节约为原则，实行</w:t>
      </w:r>
      <w:r>
        <w:rPr>
          <w:rFonts w:hint="eastAsia" w:ascii="Calibri" w:hAnsi="Calibri" w:eastAsia="仿宋_GB2312" w:cs="Calibri"/>
          <w:color w:val="000000" w:themeColor="text1"/>
          <w:sz w:val="32"/>
          <w:szCs w:val="32"/>
          <w14:textFill>
            <w14:solidFill>
              <w14:schemeClr w14:val="tx1"/>
            </w14:solidFill>
          </w14:textFill>
        </w:rPr>
        <w:t>“过紧日子”的优良作风</w:t>
      </w:r>
      <w:r>
        <w:rPr>
          <w:rFonts w:hint="eastAsia" w:ascii="Times New Roman" w:hAnsi="Times New Roman" w:eastAsia="仿宋_GB2312"/>
          <w:color w:val="000000" w:themeColor="text1"/>
          <w:sz w:val="32"/>
          <w:szCs w:val="32"/>
          <w14:textFill>
            <w14:solidFill>
              <w14:schemeClr w14:val="tx1"/>
            </w14:solidFill>
          </w14:textFill>
        </w:rPr>
        <w:t>。</w:t>
      </w:r>
    </w:p>
    <w:bookmarkEnd w:id="3"/>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2、一般公共服务</w:t>
      </w:r>
      <w:r>
        <w:rPr>
          <w:rFonts w:hint="eastAsia" w:ascii="Times New Roman" w:hAnsi="Times New Roman" w:eastAsia="仿宋_GB2312"/>
          <w:b/>
          <w:bCs/>
          <w:color w:val="000000" w:themeColor="text1"/>
          <w:sz w:val="32"/>
          <w:szCs w:val="32"/>
          <w14:textFill>
            <w14:solidFill>
              <w14:schemeClr w14:val="tx1"/>
            </w14:solidFill>
          </w14:textFill>
        </w:rPr>
        <w:t>（项目类）</w:t>
      </w:r>
      <w:r>
        <w:rPr>
          <w:rFonts w:hint="eastAsia" w:ascii="宋体" w:hAnsi="宋体" w:eastAsia="宋体" w:cs="宋体"/>
          <w:color w:val="000000" w:themeColor="text1"/>
          <w:sz w:val="32"/>
          <w:szCs w:val="32"/>
          <w:lang w:bidi="ar"/>
          <w14:textFill>
            <w14:solidFill>
              <w14:schemeClr w14:val="tx1"/>
            </w14:solidFill>
          </w14:textFill>
        </w:rPr>
        <w:t>5709.28</w:t>
      </w:r>
      <w:r>
        <w:rPr>
          <w:rFonts w:hint="eastAsia" w:ascii="Times New Roman" w:hAnsi="Times New Roman" w:eastAsia="仿宋_GB2312"/>
          <w:color w:val="000000" w:themeColor="text1"/>
          <w:sz w:val="32"/>
          <w:szCs w:val="32"/>
          <w14:textFill>
            <w14:solidFill>
              <w14:schemeClr w14:val="tx1"/>
            </w14:solidFill>
          </w14:textFill>
        </w:rPr>
        <w:t>万元。</w:t>
      </w:r>
    </w:p>
    <w:p>
      <w:pPr>
        <w:widowControl/>
        <w:spacing w:line="600" w:lineRule="exact"/>
        <w:ind w:firstLine="640" w:firstLineChars="200"/>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年初预算为438万元，支出决算为</w:t>
      </w:r>
      <w:r>
        <w:rPr>
          <w:rFonts w:hint="eastAsia" w:ascii="宋体" w:hAnsi="宋体" w:eastAsia="宋体" w:cs="宋体"/>
          <w:color w:val="000000" w:themeColor="text1"/>
          <w:kern w:val="0"/>
          <w:sz w:val="32"/>
          <w:szCs w:val="32"/>
          <w:lang w:bidi="ar"/>
          <w14:textFill>
            <w14:solidFill>
              <w14:schemeClr w14:val="tx1"/>
            </w14:solidFill>
          </w14:textFill>
        </w:rPr>
        <w:t>5709.28</w:t>
      </w:r>
      <w:r>
        <w:rPr>
          <w:rFonts w:hint="eastAsia" w:ascii="Times New Roman" w:hAnsi="Times New Roman" w:eastAsia="仿宋_GB2312"/>
          <w:color w:val="000000" w:themeColor="text1"/>
          <w:sz w:val="32"/>
          <w:szCs w:val="32"/>
          <w14:textFill>
            <w14:solidFill>
              <w14:schemeClr w14:val="tx1"/>
            </w14:solidFill>
          </w14:textFill>
        </w:rPr>
        <w:t>万元，完成年初预算的1303.49%，决算数大于年初预算数的</w:t>
      </w:r>
      <w:r>
        <w:rPr>
          <w:rFonts w:hint="eastAsia" w:ascii="Times New Roman" w:hAnsi="Times New Roman" w:eastAsia="仿宋_GB2312"/>
          <w:b/>
          <w:bCs/>
          <w:color w:val="000000" w:themeColor="text1"/>
          <w:sz w:val="32"/>
          <w:szCs w:val="32"/>
          <w14:textFill>
            <w14:solidFill>
              <w14:schemeClr w14:val="tx1"/>
            </w14:solidFill>
          </w14:textFill>
        </w:rPr>
        <w:t>主要原因是：</w:t>
      </w:r>
      <w:r>
        <w:rPr>
          <w:rFonts w:hint="eastAsia" w:ascii="仿宋_GB2312" w:hAnsi="仿宋_GB2312" w:eastAsia="仿宋_GB2312" w:cs="仿宋_GB2312"/>
          <w:bCs/>
          <w:color w:val="000000" w:themeColor="text1"/>
          <w:sz w:val="32"/>
          <w:szCs w:val="32"/>
          <w14:textFill>
            <w14:solidFill>
              <w14:schemeClr w14:val="tx1"/>
            </w14:solidFill>
          </w14:textFill>
        </w:rPr>
        <w:t>中央加大了林业生态保护和修复项目建设的投入，争资争项工作取得了显著成效。</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六、一般公共预算财政拨款基本支出决算情况说明</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2025年度财政拨款基本支出</w:t>
      </w:r>
      <w:r>
        <w:rPr>
          <w:rFonts w:hint="eastAsia" w:ascii="Times New Roman" w:hAnsi="Times New Roman" w:eastAsia="仿宋_GB2312" w:cs="Times New Roman"/>
          <w:color w:val="000000" w:themeColor="text1"/>
          <w:sz w:val="32"/>
          <w:szCs w:val="32"/>
          <w14:textFill>
            <w14:solidFill>
              <w14:schemeClr w14:val="tx1"/>
            </w14:solidFill>
          </w14:textFill>
        </w:rPr>
        <w:t>1715.05</w:t>
      </w:r>
      <w:r>
        <w:rPr>
          <w:rFonts w:hint="eastAsia" w:ascii="Times New Roman" w:hAnsi="Times New Roman" w:eastAsia="仿宋_GB2312"/>
          <w:color w:val="000000" w:themeColor="text1"/>
          <w:sz w:val="32"/>
          <w:szCs w:val="32"/>
          <w14:textFill>
            <w14:solidFill>
              <w14:schemeClr w14:val="tx1"/>
            </w14:solidFill>
          </w14:textFill>
        </w:rPr>
        <w:t>万元，其中：</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人员经费</w:t>
      </w:r>
      <w:r>
        <w:rPr>
          <w:rFonts w:hint="eastAsia" w:ascii="仿宋_GB2312" w:hAnsi="仿宋_GB2312" w:eastAsia="仿宋_GB2312" w:cs="仿宋_GB2312"/>
          <w:bCs/>
          <w:color w:val="000000" w:themeColor="text1"/>
          <w:sz w:val="32"/>
          <w:szCs w:val="32"/>
          <w14:textFill>
            <w14:solidFill>
              <w14:schemeClr w14:val="tx1"/>
            </w14:solidFill>
          </w14:textFill>
        </w:rPr>
        <w:t>1523.28</w:t>
      </w:r>
      <w:r>
        <w:rPr>
          <w:rFonts w:hint="eastAsia" w:ascii="Times New Roman" w:hAnsi="Times New Roman" w:eastAsia="仿宋_GB2312"/>
          <w:color w:val="000000" w:themeColor="text1"/>
          <w:sz w:val="32"/>
          <w:szCs w:val="32"/>
          <w14:textFill>
            <w14:solidFill>
              <w14:schemeClr w14:val="tx1"/>
            </w14:solidFill>
          </w14:textFill>
        </w:rPr>
        <w:t>万元，占基本支出的88.8%,主要包括：基本工资881.07万元、津贴补贴206.99万元.、奖金71.05万元、绩效工资87.49万元、社会保障265.74万元、其他工资福利支出10.94万元。</w:t>
      </w:r>
    </w:p>
    <w:p>
      <w:pPr>
        <w:pStyle w:val="13"/>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公用经费</w:t>
      </w:r>
      <w:r>
        <w:rPr>
          <w:rFonts w:hint="eastAsia" w:ascii="Times New Roman" w:hAnsi="Times New Roman" w:eastAsia="仿宋_GB2312"/>
          <w:color w:val="000000" w:themeColor="text1"/>
          <w:sz w:val="32"/>
          <w:szCs w:val="32"/>
          <w14:textFill>
            <w14:solidFill>
              <w14:schemeClr w14:val="tx1"/>
            </w14:solidFill>
          </w14:textFill>
        </w:rPr>
        <w:t>191.77万元，占基本支出的11.18%，主要包括：</w:t>
      </w:r>
      <w:r>
        <w:rPr>
          <w:rFonts w:hint="eastAsia" w:ascii="Times New Roman" w:hAnsi="Times New Roman" w:eastAsia="仿宋_GB2312" w:cs="Times New Roman"/>
          <w:color w:val="000000" w:themeColor="text1"/>
          <w:sz w:val="32"/>
          <w:szCs w:val="32"/>
          <w14:textFill>
            <w14:solidFill>
              <w14:schemeClr w14:val="tx1"/>
            </w14:solidFill>
          </w14:textFill>
        </w:rPr>
        <w:t>办公费13.18万元、印刷费5.82万元、水费1.85万元、电费13.04万元、邮电费2.3万元、 物业管理费21.14万元、 差旅费8.74万元、租赁费6.48万元、 培训费2万元、</w:t>
      </w:r>
      <w:r>
        <w:rPr>
          <w:rFonts w:ascii="Times New Roman" w:hAnsi="Times New Roman" w:eastAsia="仿宋" w:cs="Times New Roman"/>
          <w:color w:val="000000" w:themeColor="text1"/>
          <w:sz w:val="32"/>
          <w:szCs w:val="32"/>
          <w14:textFill>
            <w14:solidFill>
              <w14:schemeClr w14:val="tx1"/>
            </w14:solidFill>
          </w14:textFill>
        </w:rPr>
        <w:t>会议费</w:t>
      </w:r>
      <w:r>
        <w:rPr>
          <w:rFonts w:hint="eastAsia" w:ascii="Times New Roman" w:hAnsi="Times New Roman" w:eastAsia="仿宋" w:cs="Times New Roman"/>
          <w:color w:val="000000" w:themeColor="text1"/>
          <w:sz w:val="32"/>
          <w:szCs w:val="32"/>
          <w14:textFill>
            <w14:solidFill>
              <w14:schemeClr w14:val="tx1"/>
            </w14:solidFill>
          </w14:textFill>
        </w:rPr>
        <w:t>0</w:t>
      </w:r>
      <w:r>
        <w:rPr>
          <w:rFonts w:ascii="Times New Roman" w:hAnsi="Times New Roman" w:eastAsia="仿宋"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劳务费6.08</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、委托业务费42.96</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、工会经费40.5</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、福利费10.9</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、其他商品和服务支出14.81</w:t>
      </w:r>
      <w:r>
        <w:rPr>
          <w:rFonts w:hint="eastAsia" w:ascii="Times New Roman" w:hAnsi="Times New Roman" w:eastAsia="仿宋_GB2312" w:cs="Times New Roman"/>
          <w:color w:val="000000" w:themeColor="text1"/>
          <w:sz w:val="32"/>
          <w:szCs w:val="32"/>
          <w14:textFill>
            <w14:solidFill>
              <w14:schemeClr w14:val="tx1"/>
            </w14:solidFill>
          </w14:textFill>
        </w:rPr>
        <w:t>万元。</w:t>
      </w:r>
    </w:p>
    <w:p>
      <w:pPr>
        <w:pStyle w:val="13"/>
        <w:spacing w:line="600" w:lineRule="exact"/>
        <w:ind w:firstLine="640" w:firstLineChars="200"/>
        <w:rPr>
          <w:rFonts w:ascii="Times New Roman" w:hAnsi="Times New Roman" w:eastAsia="仿宋_GB2312"/>
          <w:b/>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七、财政拨款三公经费支出决算情况说明</w:t>
      </w:r>
      <w:r>
        <w:rPr>
          <w:rFonts w:hint="eastAsia" w:ascii="楷体" w:hAnsi="楷体" w:eastAsia="楷体" w:cs="楷体"/>
          <w:b/>
          <w:bCs/>
          <w:i/>
          <w:color w:val="000000" w:themeColor="text1"/>
          <w:sz w:val="32"/>
          <w:szCs w:val="32"/>
          <w14:textFill>
            <w14:solidFill>
              <w14:schemeClr w14:val="tx1"/>
            </w14:solidFill>
          </w14:textFill>
        </w:rPr>
        <w:t>（注意：三公经费情况说明，往年为一般公共预算财政拨款口径，今年为财政拨款口径）</w:t>
      </w:r>
    </w:p>
    <w:p>
      <w:pPr>
        <w:pStyle w:val="13"/>
        <w:spacing w:line="600" w:lineRule="exact"/>
        <w:ind w:firstLine="640" w:firstLineChars="200"/>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（一）“三公”经费财政拨款支出决算总体情况说明</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“三公”经费财政拨款支出预算为12万元，支出决算为10.83万元，完成预算的90.25%，决算数小于预算数的主要原因是执行中央八项规定，</w:t>
      </w:r>
      <w:r>
        <w:rPr>
          <w:rFonts w:hint="eastAsia" w:ascii="Times New Roman" w:hAnsi="Times New Roman" w:eastAsia="仿宋_GB2312" w:cs="Times New Roman"/>
          <w:color w:val="000000" w:themeColor="text1"/>
          <w:sz w:val="32"/>
          <w:szCs w:val="32"/>
          <w14:textFill>
            <w14:solidFill>
              <w14:schemeClr w14:val="tx1"/>
            </w14:solidFill>
          </w14:textFill>
        </w:rPr>
        <w:t>执行零招待费政策。</w:t>
      </w:r>
      <w:r>
        <w:rPr>
          <w:rFonts w:hint="eastAsia" w:ascii="Times New Roman" w:hAnsi="Times New Roman" w:eastAsia="仿宋_GB2312"/>
          <w:color w:val="000000" w:themeColor="text1"/>
          <w:sz w:val="32"/>
          <w:szCs w:val="32"/>
          <w14:textFill>
            <w14:solidFill>
              <w14:schemeClr w14:val="tx1"/>
            </w14:solidFill>
          </w14:textFill>
        </w:rPr>
        <w:t>与上年相比减少8万元，减少40%,减少的主要原因是执行中央八项规定，</w:t>
      </w:r>
      <w:r>
        <w:rPr>
          <w:rFonts w:hint="eastAsia" w:ascii="Calibri" w:hAnsi="Calibri" w:eastAsia="仿宋_GB2312" w:cs="Calibri"/>
          <w:color w:val="000000" w:themeColor="text1"/>
          <w:sz w:val="32"/>
          <w:szCs w:val="32"/>
          <w14:textFill>
            <w14:solidFill>
              <w14:schemeClr w14:val="tx1"/>
            </w14:solidFill>
          </w14:textFill>
        </w:rPr>
        <w:t>以</w:t>
      </w:r>
      <w:r>
        <w:rPr>
          <w:rFonts w:hint="eastAsia" w:ascii="Times New Roman" w:hAnsi="Times New Roman" w:eastAsia="仿宋_GB2312"/>
          <w:color w:val="000000" w:themeColor="text1"/>
          <w:sz w:val="32"/>
          <w:szCs w:val="32"/>
          <w14:textFill>
            <w14:solidFill>
              <w14:schemeClr w14:val="tx1"/>
            </w14:solidFill>
          </w14:textFill>
        </w:rPr>
        <w:t>厉行节俭节约为原则，实行</w:t>
      </w:r>
      <w:r>
        <w:rPr>
          <w:rFonts w:hint="eastAsia" w:ascii="Calibri" w:hAnsi="Calibri" w:eastAsia="仿宋_GB2312" w:cs="Calibri"/>
          <w:color w:val="000000" w:themeColor="text1"/>
          <w:sz w:val="32"/>
          <w:szCs w:val="32"/>
          <w14:textFill>
            <w14:solidFill>
              <w14:schemeClr w14:val="tx1"/>
            </w14:solidFill>
          </w14:textFill>
        </w:rPr>
        <w:t>“过紧日子”的优良作风</w:t>
      </w:r>
      <w:r>
        <w:rPr>
          <w:rFonts w:hint="eastAsia" w:ascii="Times New Roman" w:hAnsi="Times New Roman" w:eastAsia="仿宋_GB2312"/>
          <w:color w:val="000000" w:themeColor="text1"/>
          <w:sz w:val="32"/>
          <w:szCs w:val="32"/>
          <w14:textFill>
            <w14:solidFill>
              <w14:schemeClr w14:val="tx1"/>
            </w14:solidFill>
          </w14:textFill>
        </w:rPr>
        <w:t>。其中：</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因公出国（境）费支出预算为0万元，支出决算为0万元，完成预算的0%，决算数大于（小于）预算数的主要原因是执行中央八项规定，与上年相比减少0万元，减少（增长）0%,减少（增长）的主要原因是执行中央八项规定，执行年初预算。</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公务接待费支出预算为0万元，支出决算为0万元，完成预算的100%，决算数小于预算数的主要原因是执行中央八项规定，</w:t>
      </w:r>
      <w:r>
        <w:rPr>
          <w:rFonts w:hint="eastAsia" w:ascii="Times New Roman" w:hAnsi="Times New Roman" w:eastAsia="仿宋_GB2312" w:cs="Times New Roman"/>
          <w:color w:val="000000" w:themeColor="text1"/>
          <w:sz w:val="32"/>
          <w:szCs w:val="32"/>
          <w14:textFill>
            <w14:solidFill>
              <w14:schemeClr w14:val="tx1"/>
            </w14:solidFill>
          </w14:textFill>
        </w:rPr>
        <w:t>执行零招待费政策。</w:t>
      </w:r>
      <w:r>
        <w:rPr>
          <w:rFonts w:hint="eastAsia" w:ascii="Times New Roman" w:hAnsi="Times New Roman" w:eastAsia="仿宋_GB2312"/>
          <w:color w:val="000000" w:themeColor="text1"/>
          <w:sz w:val="32"/>
          <w:szCs w:val="32"/>
          <w14:textFill>
            <w14:solidFill>
              <w14:schemeClr w14:val="tx1"/>
            </w14:solidFill>
          </w14:textFill>
        </w:rPr>
        <w:t>与上年相比减少8万元，减少100%,减少的主要原因是执行中央八项规定，</w:t>
      </w:r>
      <w:r>
        <w:rPr>
          <w:rFonts w:hint="eastAsia" w:ascii="Times New Roman" w:hAnsi="Times New Roman" w:eastAsia="仿宋_GB2312" w:cs="Times New Roman"/>
          <w:color w:val="000000" w:themeColor="text1"/>
          <w:sz w:val="32"/>
          <w:szCs w:val="32"/>
          <w14:textFill>
            <w14:solidFill>
              <w14:schemeClr w14:val="tx1"/>
            </w14:solidFill>
          </w14:textFill>
        </w:rPr>
        <w:t>执行零招待费政策。</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公务用车购置费支出预算为0万元，支出决算为0万元，完成预算的100%，决算数大于（小于）预算数的主要原因是执行中央八项规定，执行年初预算，与上年相比减少（增加）0万元，减少（增长）0%,减少（增长）的主要原因是执行中央八项规定，执行年初预算。</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公务用车运行维护费支出预算为12万元，支出决算为10.83万元，完成预算的90.25%，决算数小于预算数的主要原因是执行中央八项规定，减少公车费用，与上年相比减少持平，主要原因是执行中央八项规定，</w:t>
      </w:r>
      <w:r>
        <w:rPr>
          <w:rFonts w:hint="eastAsia" w:ascii="Calibri" w:hAnsi="Calibri" w:eastAsia="仿宋_GB2312" w:cs="Calibri"/>
          <w:color w:val="000000" w:themeColor="text1"/>
          <w:sz w:val="32"/>
          <w:szCs w:val="32"/>
          <w14:textFill>
            <w14:solidFill>
              <w14:schemeClr w14:val="tx1"/>
            </w14:solidFill>
          </w14:textFill>
        </w:rPr>
        <w:t>以</w:t>
      </w:r>
      <w:r>
        <w:rPr>
          <w:rFonts w:hint="eastAsia" w:ascii="Times New Roman" w:hAnsi="Times New Roman" w:eastAsia="仿宋_GB2312"/>
          <w:color w:val="000000" w:themeColor="text1"/>
          <w:sz w:val="32"/>
          <w:szCs w:val="32"/>
          <w14:textFill>
            <w14:solidFill>
              <w14:schemeClr w14:val="tx1"/>
            </w14:solidFill>
          </w14:textFill>
        </w:rPr>
        <w:t>厉行节俭节约为原则，实行</w:t>
      </w:r>
      <w:r>
        <w:rPr>
          <w:rFonts w:hint="eastAsia" w:ascii="Calibri" w:hAnsi="Calibri" w:eastAsia="仿宋_GB2312" w:cs="Calibri"/>
          <w:color w:val="000000" w:themeColor="text1"/>
          <w:sz w:val="32"/>
          <w:szCs w:val="32"/>
          <w14:textFill>
            <w14:solidFill>
              <w14:schemeClr w14:val="tx1"/>
            </w14:solidFill>
          </w14:textFill>
        </w:rPr>
        <w:t>“过紧日子”的优良作风，</w:t>
      </w:r>
      <w:r>
        <w:rPr>
          <w:rFonts w:hint="eastAsia" w:ascii="Times New Roman" w:hAnsi="Times New Roman" w:eastAsia="仿宋_GB2312"/>
          <w:color w:val="000000" w:themeColor="text1"/>
          <w:sz w:val="32"/>
          <w:szCs w:val="32"/>
          <w14:textFill>
            <w14:solidFill>
              <w14:schemeClr w14:val="tx1"/>
            </w14:solidFill>
          </w14:textFill>
        </w:rPr>
        <w:t>压缩经费。</w:t>
      </w:r>
    </w:p>
    <w:p>
      <w:pPr>
        <w:pStyle w:val="13"/>
        <w:spacing w:line="600" w:lineRule="exact"/>
        <w:ind w:firstLine="640" w:firstLineChars="200"/>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（二）“三公”经费财政拨款支出决算具体情况说明</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2025年度“三公”经费财政拨款支出决算中，公务接待费支出决算10.83万元，占90.25%,因公出国（境）费支出决算0万元，占0%,公务用车购置费及运行维护费支出决算10.83万元，占90.25%。其中：</w:t>
      </w:r>
    </w:p>
    <w:p>
      <w:pPr>
        <w:pStyle w:val="13"/>
        <w:spacing w:line="600" w:lineRule="exact"/>
        <w:ind w:firstLine="800" w:firstLineChars="250"/>
        <w:rPr>
          <w:rFonts w:hint="eastAsia" w:ascii="楷体" w:hAnsi="楷体" w:eastAsia="楷体" w:cs="楷体"/>
          <w:b/>
          <w:bCs/>
          <w:i/>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1、因公出国（境）费支出决算为0万元，全年安排因公出国（境）团组0个，累计0人次</w:t>
      </w:r>
      <w:r>
        <w:rPr>
          <w:rFonts w:hint="eastAsia" w:ascii="楷体" w:hAnsi="楷体" w:eastAsia="楷体" w:cs="楷体"/>
          <w:b/>
          <w:bCs/>
          <w:i/>
          <w:color w:val="000000" w:themeColor="text1"/>
          <w:sz w:val="32"/>
          <w:szCs w:val="32"/>
          <w14:textFill>
            <w14:solidFill>
              <w14:schemeClr w14:val="tx1"/>
            </w14:solidFill>
          </w14:textFill>
        </w:rPr>
        <w:t>。</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2、公务接待费支出决算为0万元，全年共接待来访团组0个、来宾0人次，</w:t>
      </w:r>
      <w:r>
        <w:rPr>
          <w:rFonts w:hint="eastAsia" w:ascii="Times New Roman" w:hAnsi="Times New Roman" w:eastAsia="仿宋_GB2312"/>
          <w:b/>
          <w:bCs/>
          <w:color w:val="000000" w:themeColor="text1"/>
          <w:sz w:val="32"/>
          <w:szCs w:val="32"/>
          <w14:textFill>
            <w14:solidFill>
              <w14:schemeClr w14:val="tx1"/>
            </w14:solidFill>
          </w14:textFill>
        </w:rPr>
        <w:t>主要是</w:t>
      </w:r>
      <w:r>
        <w:rPr>
          <w:rFonts w:hint="eastAsia" w:ascii="Times New Roman" w:hAnsi="Times New Roman" w:eastAsia="仿宋_GB2312" w:cs="Times New Roman"/>
          <w:color w:val="000000" w:themeColor="text1"/>
          <w:sz w:val="32"/>
          <w:szCs w:val="32"/>
          <w14:textFill>
            <w14:solidFill>
              <w14:schemeClr w14:val="tx1"/>
            </w14:solidFill>
          </w14:textFill>
        </w:rPr>
        <w:t>执行零招待费政策。</w:t>
      </w:r>
    </w:p>
    <w:p>
      <w:pPr>
        <w:spacing w:line="600" w:lineRule="exact"/>
        <w:ind w:firstLine="640" w:firstLineChars="200"/>
        <w:rPr>
          <w:rFonts w:hint="eastAsia" w:ascii="楷体" w:hAnsi="楷体" w:eastAsia="楷体" w:cs="楷体"/>
          <w:b/>
          <w:bCs/>
          <w:i/>
          <w:color w:val="000000" w:themeColor="text1"/>
          <w:kern w:val="0"/>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3、公务用车购置费及运行维护费支出决算为10.83万元，其中：公务用车购置费0万元，更新公务用车0辆。公务用车运行维护费10.83万元，主要是公务用车燃油费、保险、车辆修理费及保养支出。截止2025年12月31日，我单位开支财政拨款的公务用车保有量为2辆。</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八、政府性基金预算收入支出决算情况</w:t>
      </w:r>
    </w:p>
    <w:p>
      <w:pPr>
        <w:pStyle w:val="13"/>
        <w:spacing w:line="600" w:lineRule="exact"/>
        <w:rPr>
          <w:rFonts w:hint="eastAsia" w:ascii="楷体" w:hAnsi="楷体" w:eastAsia="楷体" w:cs="楷体"/>
          <w:b/>
          <w:bCs/>
          <w:i/>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 xml:space="preserve">     2025年度政府性基金预算财政拨款收入0万元；年初结转和结余0万元；支出0万元，其中基本支出0万元，项目支出0万元；年末结转和结余0万元。具体情况如下：</w:t>
      </w:r>
    </w:p>
    <w:p>
      <w:pPr>
        <w:pStyle w:val="13"/>
        <w:spacing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政府性基金：年初预算为0万元，支出决算为0万元，完成年初预算的100%。</w:t>
      </w:r>
    </w:p>
    <w:p>
      <w:pPr>
        <w:pStyle w:val="13"/>
        <w:spacing w:line="600" w:lineRule="exact"/>
        <w:ind w:firstLine="640" w:firstLineChars="200"/>
        <w:rPr>
          <w:rFonts w:ascii="Times New Roman" w:hAnsi="Times New Roman" w:eastAsia="仿宋_GB2312"/>
          <w:b/>
          <w:color w:val="000000" w:themeColor="text1"/>
          <w:sz w:val="32"/>
          <w:szCs w:val="32"/>
          <w14:textFill>
            <w14:solidFill>
              <w14:schemeClr w14:val="tx1"/>
            </w14:solidFill>
          </w14:textFill>
        </w:rPr>
      </w:pPr>
      <w:r>
        <w:rPr>
          <w:rFonts w:hint="eastAsia" w:ascii="Times New Roman" w:hAnsi="Times New Roman" w:eastAsia="仿宋_GB2312"/>
          <w:b/>
          <w:color w:val="000000" w:themeColor="text1"/>
          <w:sz w:val="32"/>
          <w:szCs w:val="32"/>
          <w14:textFill>
            <w14:solidFill>
              <w14:schemeClr w14:val="tx1"/>
            </w14:solidFill>
          </w14:textFill>
        </w:rPr>
        <w:t>九、关于机关运行经费支出说明</w:t>
      </w:r>
    </w:p>
    <w:p>
      <w:pPr>
        <w:widowControl/>
        <w:spacing w:line="600" w:lineRule="exact"/>
        <w:ind w:firstLine="627" w:firstLineChars="196"/>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本部门2025年度机关运行经费支出191.77万元，比年初预算数减少0.63 万元，降低0.3%。主要原因是：</w:t>
      </w:r>
      <w:r>
        <w:rPr>
          <w:rFonts w:hint="eastAsia" w:ascii="Calibri" w:hAnsi="Calibri" w:eastAsia="仿宋_GB2312" w:cs="Calibri"/>
          <w:color w:val="000000" w:themeColor="text1"/>
          <w:sz w:val="32"/>
          <w:szCs w:val="32"/>
          <w14:textFill>
            <w14:solidFill>
              <w14:schemeClr w14:val="tx1"/>
            </w14:solidFill>
          </w14:textFill>
        </w:rPr>
        <w:t>以</w:t>
      </w:r>
      <w:r>
        <w:rPr>
          <w:rFonts w:hint="eastAsia" w:ascii="Times New Roman" w:hAnsi="Times New Roman" w:eastAsia="仿宋_GB2312"/>
          <w:color w:val="000000" w:themeColor="text1"/>
          <w:sz w:val="32"/>
          <w:szCs w:val="32"/>
          <w14:textFill>
            <w14:solidFill>
              <w14:schemeClr w14:val="tx1"/>
            </w14:solidFill>
          </w14:textFill>
        </w:rPr>
        <w:t>厉行节俭节约为原则，实行</w:t>
      </w:r>
      <w:r>
        <w:rPr>
          <w:rFonts w:hint="eastAsia" w:ascii="Calibri" w:hAnsi="Calibri" w:eastAsia="仿宋_GB2312" w:cs="Calibri"/>
          <w:color w:val="000000" w:themeColor="text1"/>
          <w:sz w:val="32"/>
          <w:szCs w:val="32"/>
          <w14:textFill>
            <w14:solidFill>
              <w14:schemeClr w14:val="tx1"/>
            </w14:solidFill>
          </w14:textFill>
        </w:rPr>
        <w:t>“过紧日子”的优良作风，</w:t>
      </w:r>
      <w:r>
        <w:rPr>
          <w:rFonts w:hint="eastAsia" w:ascii="Times New Roman" w:hAnsi="Times New Roman" w:eastAsia="仿宋_GB2312"/>
          <w:color w:val="000000" w:themeColor="text1"/>
          <w:sz w:val="32"/>
          <w:szCs w:val="32"/>
          <w14:textFill>
            <w14:solidFill>
              <w14:schemeClr w14:val="tx1"/>
            </w14:solidFill>
          </w14:textFill>
        </w:rPr>
        <w:t>压缩经费。</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十、一般性支出情况说明</w:t>
      </w:r>
    </w:p>
    <w:p>
      <w:pPr>
        <w:pStyle w:val="13"/>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 w:cs="Times New Roman"/>
          <w:color w:val="000000" w:themeColor="text1"/>
          <w:sz w:val="32"/>
          <w:szCs w:val="32"/>
          <w14:textFill>
            <w14:solidFill>
              <w14:schemeClr w14:val="tx1"/>
            </w14:solidFill>
          </w14:textFill>
        </w:rPr>
        <w:t>202</w:t>
      </w:r>
      <w:r>
        <w:rPr>
          <w:rFonts w:hint="eastAsia" w:ascii="Times New Roman" w:hAnsi="Times New Roman" w:eastAsia="仿宋" w:cs="Times New Roman"/>
          <w:color w:val="000000" w:themeColor="text1"/>
          <w:sz w:val="32"/>
          <w:szCs w:val="32"/>
          <w14:textFill>
            <w14:solidFill>
              <w14:schemeClr w14:val="tx1"/>
            </w14:solidFill>
          </w14:textFill>
        </w:rPr>
        <w:t>5</w:t>
      </w:r>
      <w:r>
        <w:rPr>
          <w:rFonts w:ascii="Times New Roman" w:hAnsi="Times New Roman" w:eastAsia="仿宋" w:cs="Times New Roman"/>
          <w:color w:val="000000" w:themeColor="text1"/>
          <w:sz w:val="32"/>
          <w:szCs w:val="32"/>
          <w14:textFill>
            <w14:solidFill>
              <w14:schemeClr w14:val="tx1"/>
            </w14:solidFill>
          </w14:textFill>
        </w:rPr>
        <w:t>年</w:t>
      </w:r>
      <w:r>
        <w:rPr>
          <w:rFonts w:ascii="Times New Roman" w:hAnsi="Times New Roman" w:eastAsia="仿宋_GB2312" w:cs="Times New Roman"/>
          <w:color w:val="000000" w:themeColor="text1"/>
          <w:sz w:val="32"/>
          <w:szCs w:val="32"/>
          <w14:textFill>
            <w14:solidFill>
              <w14:schemeClr w14:val="tx1"/>
            </w14:solidFill>
          </w14:textFill>
        </w:rPr>
        <w:t>一般性</w:t>
      </w:r>
      <w:r>
        <w:rPr>
          <w:rFonts w:hint="eastAsia" w:ascii="Times New Roman" w:hAnsi="Times New Roman" w:eastAsia="仿宋_GB2312" w:cs="Times New Roman"/>
          <w:color w:val="000000" w:themeColor="text1"/>
          <w:sz w:val="32"/>
          <w:szCs w:val="32"/>
          <w14:textFill>
            <w14:solidFill>
              <w14:schemeClr w14:val="tx1"/>
            </w14:solidFill>
          </w14:textFill>
        </w:rPr>
        <w:t>公共预算拨款经费</w:t>
      </w:r>
      <w:r>
        <w:rPr>
          <w:rFonts w:ascii="Times New Roman" w:hAnsi="Times New Roman" w:eastAsia="仿宋_GB2312" w:cs="Times New Roman"/>
          <w:color w:val="000000" w:themeColor="text1"/>
          <w:sz w:val="32"/>
          <w:szCs w:val="32"/>
          <w14:textFill>
            <w14:solidFill>
              <w14:schemeClr w14:val="tx1"/>
            </w14:solidFill>
          </w14:textFill>
        </w:rPr>
        <w:t>支出</w:t>
      </w:r>
      <w:r>
        <w:rPr>
          <w:rFonts w:hint="eastAsia" w:ascii="Times New Roman" w:hAnsi="Times New Roman" w:eastAsia="仿宋_GB2312" w:cs="Times New Roman"/>
          <w:color w:val="000000" w:themeColor="text1"/>
          <w:sz w:val="32"/>
          <w:szCs w:val="32"/>
          <w14:textFill>
            <w14:solidFill>
              <w14:schemeClr w14:val="tx1"/>
            </w14:solidFill>
          </w14:textFill>
        </w:rPr>
        <w:t>191.77万元。其中：办公费13.18万元、印刷费5.82万元、水费1.85万元、电费13.04万元、邮电费2.3万元、 物业管理费21.14万元、 差旅费8.74万元、租赁费6.48万元、 培训费2万元、</w:t>
      </w:r>
      <w:r>
        <w:rPr>
          <w:rFonts w:ascii="Times New Roman" w:hAnsi="Times New Roman" w:eastAsia="仿宋" w:cs="Times New Roman"/>
          <w:color w:val="000000" w:themeColor="text1"/>
          <w:sz w:val="32"/>
          <w:szCs w:val="32"/>
          <w14:textFill>
            <w14:solidFill>
              <w14:schemeClr w14:val="tx1"/>
            </w14:solidFill>
          </w14:textFill>
        </w:rPr>
        <w:t>会议费</w:t>
      </w:r>
      <w:r>
        <w:rPr>
          <w:rFonts w:hint="eastAsia" w:ascii="Times New Roman" w:hAnsi="Times New Roman" w:eastAsia="仿宋" w:cs="Times New Roman"/>
          <w:color w:val="000000" w:themeColor="text1"/>
          <w:sz w:val="32"/>
          <w:szCs w:val="32"/>
          <w14:textFill>
            <w14:solidFill>
              <w14:schemeClr w14:val="tx1"/>
            </w14:solidFill>
          </w14:textFill>
        </w:rPr>
        <w:t>0</w:t>
      </w:r>
      <w:r>
        <w:rPr>
          <w:rFonts w:ascii="Times New Roman" w:hAnsi="Times New Roman" w:eastAsia="仿宋"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劳务费6.08</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、委托业务费42.96</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、工会经费40.5</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、福利费10.9</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 w:cs="Times New Roman"/>
          <w:color w:val="000000" w:themeColor="text1"/>
          <w:sz w:val="32"/>
          <w:szCs w:val="32"/>
          <w14:textFill>
            <w14:solidFill>
              <w14:schemeClr w14:val="tx1"/>
            </w14:solidFill>
          </w14:textFill>
        </w:rPr>
        <w:t>、其他商品和服务支出14.81</w:t>
      </w:r>
      <w:r>
        <w:rPr>
          <w:rFonts w:hint="eastAsia" w:ascii="Times New Roman" w:hAnsi="Times New Roman" w:eastAsia="仿宋_GB2312" w:cs="Times New Roman"/>
          <w:color w:val="000000" w:themeColor="text1"/>
          <w:sz w:val="32"/>
          <w:szCs w:val="32"/>
          <w14:textFill>
            <w14:solidFill>
              <w14:schemeClr w14:val="tx1"/>
            </w14:solidFill>
          </w14:textFill>
        </w:rPr>
        <w:t>万元。</w:t>
      </w:r>
    </w:p>
    <w:p>
      <w:pPr>
        <w:pStyle w:val="13"/>
        <w:spacing w:line="60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十一、关于政府采购支出说明</w:t>
      </w:r>
    </w:p>
    <w:p>
      <w:pPr>
        <w:pStyle w:val="13"/>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本部门2025年度政府采购支出总额600万元，其中：政府采购货物支出20 万元、政府采购工程支出300万元、政府采购服务支出280万元。授予中小企业合同金额600万元，占政府采购支出总额的100%，其中：授予小微企业合同金额600万元，占授予中小企业合同金额的100%。货物采购授予中小企业合同金额占货物支出金额的3.3%，工程采购授予中小企业合同金额占工程支出金额的50%，服务采购授予中小企业合同金额占服务支出金额的46.67%。</w:t>
      </w:r>
    </w:p>
    <w:p>
      <w:pPr>
        <w:pStyle w:val="13"/>
        <w:spacing w:line="58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十二、关于国有资产占用情况说明</w:t>
      </w:r>
    </w:p>
    <w:p>
      <w:pPr>
        <w:pStyle w:val="13"/>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截至2025年12月31日，部门（单位）共有车辆2辆，其中，副部（省）级及以上领导用车0辆、主要负责人用车0辆、机要通信用车0辆、应急保障用车0辆、执法执勤用车0辆、特种专业技术用车0辆、离退休干部服务用车0辆、其他用车2辆，其他用车主要是机关事务局配备；单位价值100万元以上设备（不含车辆）0台（套）。</w:t>
      </w:r>
    </w:p>
    <w:p>
      <w:pPr>
        <w:pStyle w:val="13"/>
        <w:spacing w:line="580" w:lineRule="exact"/>
        <w:ind w:firstLine="640" w:firstLineChars="200"/>
        <w:rPr>
          <w:rFonts w:hint="eastAsia" w:hAnsi="黑体"/>
          <w:bCs/>
          <w:color w:val="000000" w:themeColor="text1"/>
          <w:sz w:val="32"/>
          <w:szCs w:val="32"/>
          <w14:textFill>
            <w14:solidFill>
              <w14:schemeClr w14:val="tx1"/>
            </w14:solidFill>
          </w14:textFill>
        </w:rPr>
      </w:pPr>
      <w:r>
        <w:rPr>
          <w:rFonts w:hint="eastAsia" w:hAnsi="黑体"/>
          <w:bCs/>
          <w:color w:val="000000" w:themeColor="text1"/>
          <w:sz w:val="32"/>
          <w:szCs w:val="32"/>
          <w14:textFill>
            <w14:solidFill>
              <w14:schemeClr w14:val="tx1"/>
            </w14:solidFill>
          </w14:textFill>
        </w:rPr>
        <w:t>十三、关于</w:t>
      </w:r>
      <w:r>
        <w:rPr>
          <w:rFonts w:hint="eastAsia" w:ascii="Times New Roman" w:hAnsi="Times New Roman" w:eastAsia="仿宋_GB2312"/>
          <w:color w:val="000000" w:themeColor="text1"/>
          <w:sz w:val="32"/>
          <w:szCs w:val="32"/>
          <w14:textFill>
            <w14:solidFill>
              <w14:schemeClr w14:val="tx1"/>
            </w14:solidFill>
          </w14:textFill>
        </w:rPr>
        <w:t>2025年</w:t>
      </w:r>
      <w:r>
        <w:rPr>
          <w:rFonts w:hint="eastAsia" w:hAnsi="黑体"/>
          <w:bCs/>
          <w:color w:val="000000" w:themeColor="text1"/>
          <w:sz w:val="32"/>
          <w:szCs w:val="32"/>
          <w14:textFill>
            <w14:solidFill>
              <w14:schemeClr w14:val="tx1"/>
            </w14:solidFill>
          </w14:textFill>
        </w:rPr>
        <w:t>度预算绩效情况的说明</w:t>
      </w:r>
    </w:p>
    <w:p>
      <w:pPr>
        <w:pStyle w:val="13"/>
        <w:spacing w:line="580" w:lineRule="exact"/>
        <w:ind w:firstLine="640" w:firstLineChars="20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（一）绩效管理工作开展情况</w:t>
      </w:r>
    </w:p>
    <w:p>
      <w:pPr>
        <w:pStyle w:val="13"/>
        <w:spacing w:line="580" w:lineRule="exact"/>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stheme="minorBidi"/>
          <w:color w:val="000000" w:themeColor="text1"/>
          <w:kern w:val="2"/>
          <w:sz w:val="32"/>
          <w:szCs w:val="32"/>
          <w:lang w:val="en-US" w:eastAsia="zh-CN" w:bidi="ar-SA"/>
          <w14:textFill>
            <w14:solidFill>
              <w14:schemeClr w14:val="tx1"/>
            </w14:solidFill>
          </w14:textFill>
        </w:rPr>
        <w:t>绩效管理工作在体系化、规范化和数字化方面取得了一定成效。本</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部门所有支出实行绩效目标管理。纳入2025年部门整体支出绩效目标的金额为</w:t>
      </w:r>
      <w:r>
        <w:rPr>
          <w:rFonts w:hint="eastAsia" w:ascii="仿宋_GB2312" w:hAnsi="仿宋_GB2312" w:eastAsia="仿宋_GB2312" w:cs="仿宋_GB2312"/>
          <w:color w:val="000000" w:themeColor="text1"/>
          <w:sz w:val="32"/>
          <w:szCs w:val="32"/>
          <w14:textFill>
            <w14:solidFill>
              <w14:schemeClr w14:val="tx1"/>
            </w14:solidFill>
          </w14:textFill>
        </w:rPr>
        <w:t>7424.33</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万元，其中：一般公共预算拨款1715.05万元，项目支出5709.38万元。</w:t>
      </w:r>
    </w:p>
    <w:p>
      <w:pPr>
        <w:pStyle w:val="13"/>
        <w:spacing w:line="580" w:lineRule="exact"/>
        <w:ind w:firstLine="320" w:firstLineChars="10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（二）部门（单位）整体支出绩效情况</w:t>
      </w:r>
    </w:p>
    <w:p>
      <w:pPr>
        <w:widowControl/>
        <w:spacing w:line="600" w:lineRule="exact"/>
        <w:ind w:firstLine="640" w:firstLineChars="20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支出的绩效目标完成100%。</w:t>
      </w:r>
    </w:p>
    <w:p>
      <w:pPr>
        <w:widowControl/>
        <w:spacing w:line="600" w:lineRule="exact"/>
        <w:ind w:firstLine="640" w:firstLineChars="200"/>
        <w:jc w:val="left"/>
        <w:rPr>
          <w:rFonts w:hint="eastAsia" w:ascii="Times New Roman" w:hAnsi="Times New Roman" w:eastAsia="仿宋_GB2312"/>
          <w:color w:val="000000" w:themeColor="text1"/>
          <w:sz w:val="32"/>
          <w:szCs w:val="32"/>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基本支出：</w:t>
      </w:r>
      <w:r>
        <w:rPr>
          <w:rFonts w:hint="eastAsia" w:ascii="仿宋_GB2312" w:hAnsi="仿宋_GB2312" w:eastAsia="仿宋_GB2312" w:cs="仿宋_GB2312"/>
          <w:color w:val="000000" w:themeColor="text1"/>
          <w:kern w:val="0"/>
          <w:sz w:val="32"/>
          <w:szCs w:val="32"/>
          <w:shd w:val="clear" w:color="auto" w:fill="FFFFFF"/>
          <w:lang w:val="en-US" w:eastAsia="zh-CN" w:bidi="ar-SA"/>
          <w14:textFill>
            <w14:solidFill>
              <w14:schemeClr w14:val="tx1"/>
            </w14:solidFill>
          </w14:textFill>
        </w:rPr>
        <w:t>2025年年初预算数为2488.88万元（其中：工资1523.28万元、人员经费192.4万元）；任务完成100%、资金执行率99.7%，降低0.3%，以厉行节俭节约为原则，实行“过紧日子”的优良作风，压缩经费。</w:t>
      </w:r>
    </w:p>
    <w:p>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shd w:val="clear" w:color="auto" w:fill="FFFFFF"/>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项目支出</w:t>
      </w:r>
      <w:r>
        <w:rPr>
          <w:rFonts w:asciiTheme="majorEastAsia" w:hAnsiTheme="majorEastAsia" w:eastAsiaTheme="majorEastAsia"/>
          <w:b/>
          <w:bC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shd w:val="clear" w:color="auto" w:fill="FFFFFF"/>
          <w:lang w:val="en-US" w:eastAsia="zh-CN" w:bidi="ar-SA"/>
          <w14:textFill>
            <w14:solidFill>
              <w14:schemeClr w14:val="tx1"/>
            </w14:solidFill>
          </w14:textFill>
        </w:rPr>
        <w:t>2025年项目支出5709.38万元；任务完成100 %、资金执行率100%。</w:t>
      </w:r>
    </w:p>
    <w:p>
      <w:pPr>
        <w:widowControl/>
        <w:spacing w:line="600" w:lineRule="exact"/>
        <w:ind w:firstLine="640" w:firstLineChars="200"/>
        <w:jc w:val="left"/>
        <w:rPr>
          <w:rFonts w:hint="eastAsia" w:ascii="楷体" w:hAnsi="楷体" w:eastAsia="楷体" w:cs="楷体"/>
          <w:b/>
          <w:bCs/>
          <w:color w:val="000000" w:themeColor="text1"/>
          <w:kern w:val="0"/>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（三）存在的问题及原因分析</w:t>
      </w:r>
    </w:p>
    <w:p>
      <w:pPr>
        <w:pStyle w:val="13"/>
        <w:ind w:firstLine="640" w:firstLineChars="200"/>
        <w:jc w:val="both"/>
        <w:rPr>
          <w:rFonts w:hint="eastAsia" w:ascii="仿宋_GB2312" w:hAnsi="仿宋_GB2312" w:eastAsia="仿宋_GB2312" w:cs="仿宋_GB2312"/>
          <w:color w:val="000000" w:themeColor="text1"/>
          <w:kern w:val="0"/>
          <w:sz w:val="32"/>
          <w:szCs w:val="32"/>
          <w:shd w:val="clear" w:color="auto" w:fill="FFFFFF"/>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lang w:val="en-US" w:eastAsia="zh-CN" w:bidi="ar-SA"/>
          <w14:textFill>
            <w14:solidFill>
              <w14:schemeClr w14:val="tx1"/>
            </w14:solidFill>
          </w14:textFill>
        </w:rPr>
        <w:t>需强化审核与校准机制，确保内的公平性和一致性。绩效管理需融入日常工作的每个环节，控索多元化的结果运用。</w:t>
      </w:r>
    </w:p>
    <w:p>
      <w:pPr>
        <w:pStyle w:val="13"/>
        <w:jc w:val="center"/>
        <w:rPr>
          <w:color w:val="000000" w:themeColor="text1"/>
          <w:sz w:val="72"/>
          <w:szCs w:val="72"/>
          <w14:textFill>
            <w14:solidFill>
              <w14:schemeClr w14:val="tx1"/>
            </w14:solidFill>
          </w14:textFill>
        </w:rPr>
      </w:pPr>
    </w:p>
    <w:p>
      <w:pPr>
        <w:pStyle w:val="13"/>
        <w:jc w:val="center"/>
        <w:rPr>
          <w:color w:val="000000" w:themeColor="text1"/>
          <w:sz w:val="72"/>
          <w:szCs w:val="72"/>
          <w14:textFill>
            <w14:solidFill>
              <w14:schemeClr w14:val="tx1"/>
            </w14:solidFill>
          </w14:textFill>
        </w:rPr>
      </w:pPr>
    </w:p>
    <w:p>
      <w:pPr>
        <w:pStyle w:val="13"/>
        <w:ind w:firstLine="2880" w:firstLineChars="400"/>
        <w:jc w:val="both"/>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pPr>
        <w:pStyle w:val="13"/>
        <w:ind w:firstLine="2880" w:firstLineChars="400"/>
        <w:jc w:val="both"/>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pPr>
        <w:pStyle w:val="13"/>
        <w:ind w:firstLine="2880" w:firstLineChars="400"/>
        <w:jc w:val="both"/>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pPr>
        <w:pStyle w:val="13"/>
        <w:ind w:firstLine="2880" w:firstLineChars="400"/>
        <w:jc w:val="both"/>
        <w:rPr>
          <w:rFonts w:hint="eastAsia" w:ascii="方正小标宋_GBK" w:hAnsi="方正小标宋_GBK" w:eastAsia="方正小标宋_GBK" w:cs="方正小标宋_GBK"/>
          <w:sz w:val="72"/>
          <w:szCs w:val="72"/>
        </w:rPr>
      </w:pPr>
    </w:p>
    <w:p>
      <w:pPr>
        <w:pStyle w:val="13"/>
        <w:ind w:firstLine="2880" w:firstLineChars="400"/>
        <w:jc w:val="both"/>
        <w:rPr>
          <w:rFonts w:hint="eastAsia" w:ascii="方正小标宋_GBK" w:hAnsi="方正小标宋_GBK" w:eastAsia="方正小标宋_GBK" w:cs="方正小标宋_GBK"/>
          <w:sz w:val="72"/>
          <w:szCs w:val="72"/>
        </w:rPr>
      </w:pPr>
    </w:p>
    <w:p>
      <w:pPr>
        <w:pStyle w:val="13"/>
        <w:ind w:firstLine="2160" w:firstLineChars="300"/>
        <w:jc w:val="both"/>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rPr>
        <w:t>四</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rPr>
        <w:t>部</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rPr>
        <w:t>分</w:t>
      </w:r>
    </w:p>
    <w:p>
      <w:pPr>
        <w:ind w:firstLine="2800" w:firstLineChars="400"/>
        <w:jc w:val="both"/>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hint="eastAsia"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1．财政拨款收入：指单位本年度从同级财政部门取得的各类财政拨款。</w:t>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2．上级补助收入：指事业单位从主管部门和上级单位取得的非财政补助收入。</w:t>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 xml:space="preserve"> 4．“三公”经费：指单位用一般公共预算财政拨款安排的因公出国(境) 费、公务用车购置及运行维护费和公务接待费。其中，因公出国(境) 费反映单位公务出国(境) 的国际旅费、国外城市间交通费、住宿费、伙食费、培训费、公杂费等支出；公务用车购置及运行维护费反映单位公务用车购置支出(含车辆购置税、牌照费) 以及按规定保留的公务用车燃料费、维修费、过路过桥费、保险费、安全奖励费用等支出；公务接待费反映单位按规定开支的各类公务接待(含外宾接待) 费用。</w:t>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5．对附属单位补助支出：指事业单位用财政拨款收入之外的收入对附属单位补助发生的支出。</w:t>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6．经营支出：指事业单位在专业业务活动及其辅助活动之外开展非独立核算经营活动发生的支出。</w:t>
      </w:r>
    </w:p>
    <w:p>
      <w:pPr>
        <w:pStyle w:val="13"/>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7．上缴上级支出：指事业单位按照财政部门和主管部门的规定上缴上级单位的支出。</w:t>
      </w:r>
    </w:p>
    <w:p>
      <w:pPr>
        <w:pStyle w:val="13"/>
        <w:spacing w:line="600" w:lineRule="exact"/>
        <w:ind w:firstLine="320" w:firstLineChars="100"/>
        <w:jc w:val="both"/>
        <w:rPr>
          <w:rFonts w:hint="eastAsia" w:ascii="仿宋" w:hAnsi="仿宋" w:eastAsia="仿宋" w:cs="仿宋"/>
          <w:sz w:val="32"/>
          <w:szCs w:val="32"/>
        </w:rPr>
      </w:pPr>
      <w:r>
        <w:rPr>
          <w:rFonts w:hint="eastAsia" w:ascii="仿宋" w:hAnsi="仿宋" w:eastAsia="仿宋" w:cs="仿宋"/>
          <w:sz w:val="32"/>
          <w:szCs w:val="32"/>
        </w:rPr>
        <w:t xml:space="preserve"> 8．项目支出：指在为完成特定的工作任务和事业发展目标所发生的支出。</w:t>
      </w:r>
    </w:p>
    <w:p>
      <w:pPr>
        <w:pStyle w:val="13"/>
        <w:spacing w:line="600" w:lineRule="exact"/>
        <w:ind w:firstLine="320" w:firstLineChars="100"/>
        <w:jc w:val="both"/>
        <w:rPr>
          <w:rFonts w:hint="eastAsia" w:ascii="仿宋" w:hAnsi="仿宋" w:eastAsia="仿宋" w:cs="仿宋"/>
          <w:sz w:val="32"/>
          <w:szCs w:val="32"/>
        </w:rPr>
      </w:pPr>
      <w:r>
        <w:rPr>
          <w:rFonts w:hint="eastAsia" w:ascii="仿宋" w:hAnsi="仿宋" w:eastAsia="仿宋" w:cs="仿宋"/>
          <w:sz w:val="32"/>
          <w:szCs w:val="32"/>
        </w:rPr>
        <w:t>9．基本支出：指为保障机构正常运转、完成日常工作任务而发生的支出，包括人员经费和公用经费。</w:t>
      </w:r>
    </w:p>
    <w:p>
      <w:pPr>
        <w:pStyle w:val="13"/>
        <w:spacing w:line="600" w:lineRule="exact"/>
        <w:jc w:val="center"/>
        <w:rPr>
          <w:rFonts w:hint="eastAsia" w:ascii="仿宋" w:hAnsi="仿宋" w:eastAsia="仿宋" w:cs="仿宋"/>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rPr>
          <w:sz w:val="72"/>
          <w:szCs w:val="72"/>
        </w:rPr>
      </w:pPr>
      <w:r>
        <w:rPr>
          <w:sz w:val="72"/>
          <w:szCs w:val="72"/>
        </w:rPr>
        <w:br w:type="page"/>
      </w: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ind w:firstLine="2880" w:firstLineChars="400"/>
        <w:jc w:val="both"/>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13"/>
        <w:jc w:val="center"/>
        <w:rPr>
          <w:rFonts w:hint="eastAsia" w:ascii="方正小标宋_GBK" w:hAnsi="方正小标宋_GBK" w:eastAsia="方正小标宋_GBK" w:cs="方正小标宋_GBK"/>
          <w:sz w:val="70"/>
          <w:szCs w:val="70"/>
        </w:rPr>
      </w:pPr>
    </w:p>
    <w:p>
      <w:pPr>
        <w:pStyle w:val="13"/>
        <w:jc w:val="center"/>
        <w:rPr>
          <w:sz w:val="72"/>
          <w:szCs w:val="72"/>
        </w:rPr>
      </w:pPr>
      <w:r>
        <w:rPr>
          <w:rFonts w:hint="eastAsia" w:ascii="方正小标宋_GBK" w:hAnsi="方正小标宋_GBK" w:eastAsia="方正小标宋_GBK" w:cs="方正小标宋_GBK"/>
          <w:sz w:val="70"/>
          <w:szCs w:val="70"/>
        </w:rPr>
        <w:t>附 件</w:t>
      </w:r>
    </w:p>
    <w:p>
      <w:pPr>
        <w:rPr>
          <w:sz w:val="72"/>
          <w:szCs w:val="72"/>
        </w:rPr>
      </w:pPr>
      <w:bookmarkStart w:id="4" w:name="_GoBack"/>
      <w:bookmarkEnd w:id="4"/>
      <w:r>
        <w:rPr>
          <w:sz w:val="72"/>
          <w:szCs w:val="72"/>
        </w:rPr>
        <w:br w:type="page"/>
      </w:r>
    </w:p>
    <w:p>
      <w:pPr>
        <w:rPr>
          <w:rFonts w:hint="eastAsia" w:eastAsiaTheme="minorEastAsia"/>
          <w:lang w:eastAsia="zh-CN"/>
        </w:rPr>
      </w:pPr>
      <w:r>
        <w:rPr>
          <w:rFonts w:hint="eastAsia" w:ascii="Times New Roman" w:hAnsi="Times New Roman" w:eastAsia="仿宋_GB2312"/>
          <w:sz w:val="32"/>
          <w:szCs w:val="32"/>
          <w:lang w:val="en-US" w:eastAsia="zh-CN"/>
        </w:rPr>
        <w:t>1、2025年道县林业局部门整体支出绩效自评报告</w:t>
      </w:r>
    </w:p>
    <w:p>
      <w:pPr>
        <w:pStyle w:val="13"/>
        <w:jc w:val="center"/>
        <w:rPr>
          <w:rFonts w:hint="eastAsia" w:ascii="仿宋" w:hAnsi="仿宋" w:eastAsia="仿宋" w:cs="仿宋"/>
          <w:sz w:val="72"/>
          <w:szCs w:val="72"/>
        </w:rPr>
      </w:pPr>
    </w:p>
    <w:p>
      <w:pPr>
        <w:pStyle w:val="13"/>
        <w:jc w:val="center"/>
        <w:rPr>
          <w:sz w:val="72"/>
          <w:szCs w:val="72"/>
        </w:rPr>
      </w:pPr>
    </w:p>
    <w:p>
      <w:pPr>
        <w:jc w:val="left"/>
        <w:rPr>
          <w:rFonts w:hint="eastAsia" w:cs="黑体" w:asciiTheme="minorEastAsia" w:hAnsiTheme="minorEastAsia"/>
          <w:color w:val="000000"/>
          <w:kern w:val="0"/>
          <w:sz w:val="32"/>
          <w:szCs w:val="32"/>
        </w:rPr>
      </w:pPr>
    </w:p>
    <w:sectPr>
      <w:pgSz w:w="11906" w:h="16838"/>
      <w:pgMar w:top="2211" w:right="1191" w:bottom="1191" w:left="2041" w:header="851" w:footer="992" w:gutter="0"/>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98844E-FB6B-49B3-BB67-B3C87432974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024289D-110F-47C3-901B-27C2E89A469B}"/>
  </w:font>
  <w:font w:name="楷体">
    <w:panose1 w:val="02010609060101010101"/>
    <w:charset w:val="86"/>
    <w:family w:val="modern"/>
    <w:pitch w:val="default"/>
    <w:sig w:usb0="800002BF" w:usb1="38CF7CFA" w:usb2="00000016" w:usb3="00000000" w:csb0="00040001" w:csb1="00000000"/>
    <w:embedRegular r:id="rId3" w:fontKey="{11EC8AC5-7D4B-4BD1-A006-0C3019035119}"/>
  </w:font>
  <w:font w:name="方正小标宋_GBK">
    <w:panose1 w:val="02000000000000000000"/>
    <w:charset w:val="86"/>
    <w:family w:val="auto"/>
    <w:pitch w:val="default"/>
    <w:sig w:usb0="A00002BF" w:usb1="38CF7CFA" w:usb2="00082016" w:usb3="00000000" w:csb0="00040001" w:csb1="00000000"/>
    <w:embedRegular r:id="rId4" w:fontKey="{DF00E71E-5178-4712-A568-57EABFAACF9A}"/>
  </w:font>
  <w:font w:name="仿宋_GB2312">
    <w:panose1 w:val="02010609030101010101"/>
    <w:charset w:val="86"/>
    <w:family w:val="modern"/>
    <w:pitch w:val="default"/>
    <w:sig w:usb0="00000001" w:usb1="080E0000" w:usb2="00000000" w:usb3="00000000" w:csb0="00040000" w:csb1="00000000"/>
    <w:embedRegular r:id="rId5" w:fontKey="{FA1E897E-8DB6-4F4B-B61E-7C1FD8AC7BE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embedRegular r:id="rId6" w:fontKey="{CDD9459F-1181-4A73-9BE8-D26B28737ED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100424"/>
    <w:multiLevelType w:val="singleLevel"/>
    <w:tmpl w:val="DD100424"/>
    <w:lvl w:ilvl="0" w:tentative="0">
      <w:start w:val="2"/>
      <w:numFmt w:val="chineseCounting"/>
      <w:suff w:val="nothing"/>
      <w:lvlText w:val="（%1）"/>
      <w:lvlJc w:val="left"/>
      <w:rPr>
        <w:rFonts w:hint="eastAsia"/>
      </w:rPr>
    </w:lvl>
  </w:abstractNum>
  <w:abstractNum w:abstractNumId="1">
    <w:nsid w:val="21108E62"/>
    <w:multiLevelType w:val="singleLevel"/>
    <w:tmpl w:val="21108E6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C22B2"/>
    <w:rsid w:val="002E0A30"/>
    <w:rsid w:val="003130C4"/>
    <w:rsid w:val="00316C4B"/>
    <w:rsid w:val="0032192B"/>
    <w:rsid w:val="003479BD"/>
    <w:rsid w:val="0037197D"/>
    <w:rsid w:val="003768D5"/>
    <w:rsid w:val="003926B9"/>
    <w:rsid w:val="003C47E6"/>
    <w:rsid w:val="003C4FC2"/>
    <w:rsid w:val="00416E61"/>
    <w:rsid w:val="0042790C"/>
    <w:rsid w:val="00437571"/>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10AC"/>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26920"/>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11D7C"/>
    <w:rsid w:val="00F74360"/>
    <w:rsid w:val="00FB462F"/>
    <w:rsid w:val="00FE16FA"/>
    <w:rsid w:val="00FE328A"/>
    <w:rsid w:val="00FE6269"/>
    <w:rsid w:val="00FF5CD6"/>
    <w:rsid w:val="02A57FE2"/>
    <w:rsid w:val="03750F98"/>
    <w:rsid w:val="040E6340"/>
    <w:rsid w:val="04C51AA3"/>
    <w:rsid w:val="04F00A13"/>
    <w:rsid w:val="0576021E"/>
    <w:rsid w:val="05DF1484"/>
    <w:rsid w:val="05FC36FC"/>
    <w:rsid w:val="06A86344"/>
    <w:rsid w:val="07451140"/>
    <w:rsid w:val="07FE2BE0"/>
    <w:rsid w:val="099E08CB"/>
    <w:rsid w:val="09C04F2B"/>
    <w:rsid w:val="0A0D7099"/>
    <w:rsid w:val="0A694F2D"/>
    <w:rsid w:val="0A7D5788"/>
    <w:rsid w:val="0A831F08"/>
    <w:rsid w:val="0AA42288"/>
    <w:rsid w:val="0AC74F3A"/>
    <w:rsid w:val="0CD91D35"/>
    <w:rsid w:val="0CFF576F"/>
    <w:rsid w:val="0D37359D"/>
    <w:rsid w:val="0D667389"/>
    <w:rsid w:val="0DCB257C"/>
    <w:rsid w:val="0DDF3ED8"/>
    <w:rsid w:val="0E5A7034"/>
    <w:rsid w:val="0F414309"/>
    <w:rsid w:val="0FE663C2"/>
    <w:rsid w:val="101058AD"/>
    <w:rsid w:val="1043786D"/>
    <w:rsid w:val="10967DE9"/>
    <w:rsid w:val="116C6D9B"/>
    <w:rsid w:val="116D189E"/>
    <w:rsid w:val="11E76EC0"/>
    <w:rsid w:val="13921CB4"/>
    <w:rsid w:val="13C22497"/>
    <w:rsid w:val="161500B0"/>
    <w:rsid w:val="170036AF"/>
    <w:rsid w:val="171D4DF7"/>
    <w:rsid w:val="17A97563"/>
    <w:rsid w:val="17F6062A"/>
    <w:rsid w:val="1959273C"/>
    <w:rsid w:val="1A1D770C"/>
    <w:rsid w:val="1A970C55"/>
    <w:rsid w:val="1AE74DDB"/>
    <w:rsid w:val="1B9D7ECA"/>
    <w:rsid w:val="1BF52944"/>
    <w:rsid w:val="1C1D13BE"/>
    <w:rsid w:val="1C4862A5"/>
    <w:rsid w:val="1D97DEFF"/>
    <w:rsid w:val="1DFF72E5"/>
    <w:rsid w:val="1EFC6F07"/>
    <w:rsid w:val="1F884691"/>
    <w:rsid w:val="1F9E56AE"/>
    <w:rsid w:val="20036B1D"/>
    <w:rsid w:val="208420FE"/>
    <w:rsid w:val="2289084B"/>
    <w:rsid w:val="23073FCF"/>
    <w:rsid w:val="23DC1B5F"/>
    <w:rsid w:val="243A0633"/>
    <w:rsid w:val="245747F4"/>
    <w:rsid w:val="25297F82"/>
    <w:rsid w:val="25E10019"/>
    <w:rsid w:val="26C81735"/>
    <w:rsid w:val="27002619"/>
    <w:rsid w:val="27134F58"/>
    <w:rsid w:val="279572F8"/>
    <w:rsid w:val="27AE16B8"/>
    <w:rsid w:val="2994513B"/>
    <w:rsid w:val="2A477EF9"/>
    <w:rsid w:val="2ABA427C"/>
    <w:rsid w:val="2B1D6802"/>
    <w:rsid w:val="2BCA7531"/>
    <w:rsid w:val="2C271DE5"/>
    <w:rsid w:val="2C305E98"/>
    <w:rsid w:val="2D364384"/>
    <w:rsid w:val="2DAE631A"/>
    <w:rsid w:val="2F5F04CE"/>
    <w:rsid w:val="2FC53DC2"/>
    <w:rsid w:val="2FDF85B8"/>
    <w:rsid w:val="2FFFEE04"/>
    <w:rsid w:val="301C2974"/>
    <w:rsid w:val="30CA0266"/>
    <w:rsid w:val="30F10039"/>
    <w:rsid w:val="31294DDF"/>
    <w:rsid w:val="34D6702A"/>
    <w:rsid w:val="34DF85B0"/>
    <w:rsid w:val="34E02BC7"/>
    <w:rsid w:val="358931C8"/>
    <w:rsid w:val="36034D29"/>
    <w:rsid w:val="367870D7"/>
    <w:rsid w:val="368D6CE8"/>
    <w:rsid w:val="36CE2356"/>
    <w:rsid w:val="37F542EB"/>
    <w:rsid w:val="38357C28"/>
    <w:rsid w:val="39904D51"/>
    <w:rsid w:val="39B65203"/>
    <w:rsid w:val="39CC01CF"/>
    <w:rsid w:val="3A257582"/>
    <w:rsid w:val="3B68218F"/>
    <w:rsid w:val="3B8F36BC"/>
    <w:rsid w:val="3C4D3663"/>
    <w:rsid w:val="3CAD1E92"/>
    <w:rsid w:val="3D464547"/>
    <w:rsid w:val="3D543270"/>
    <w:rsid w:val="3D74342F"/>
    <w:rsid w:val="3E28194B"/>
    <w:rsid w:val="40C87343"/>
    <w:rsid w:val="42FD0C1C"/>
    <w:rsid w:val="44027D31"/>
    <w:rsid w:val="44CB0FCE"/>
    <w:rsid w:val="458A59CD"/>
    <w:rsid w:val="45BA471C"/>
    <w:rsid w:val="46CE7FCE"/>
    <w:rsid w:val="47BD6A22"/>
    <w:rsid w:val="4822715D"/>
    <w:rsid w:val="49035093"/>
    <w:rsid w:val="491FF225"/>
    <w:rsid w:val="49F31EF7"/>
    <w:rsid w:val="4A404346"/>
    <w:rsid w:val="4A4B3824"/>
    <w:rsid w:val="4A903529"/>
    <w:rsid w:val="4AB731A7"/>
    <w:rsid w:val="4B1819CA"/>
    <w:rsid w:val="4B7C0820"/>
    <w:rsid w:val="4C5A67BF"/>
    <w:rsid w:val="4D437F19"/>
    <w:rsid w:val="4E3F3E75"/>
    <w:rsid w:val="4E4A7541"/>
    <w:rsid w:val="4F062FC5"/>
    <w:rsid w:val="4F58231A"/>
    <w:rsid w:val="4FC4743C"/>
    <w:rsid w:val="4FFD214C"/>
    <w:rsid w:val="50A9506A"/>
    <w:rsid w:val="50DB26D2"/>
    <w:rsid w:val="516C6828"/>
    <w:rsid w:val="51D071FC"/>
    <w:rsid w:val="52D7511B"/>
    <w:rsid w:val="53B84F4D"/>
    <w:rsid w:val="54D907BB"/>
    <w:rsid w:val="556564CC"/>
    <w:rsid w:val="559E0A04"/>
    <w:rsid w:val="57124095"/>
    <w:rsid w:val="57751E54"/>
    <w:rsid w:val="5777D4F5"/>
    <w:rsid w:val="59255D71"/>
    <w:rsid w:val="59DD8326"/>
    <w:rsid w:val="5A8677FC"/>
    <w:rsid w:val="5B245D84"/>
    <w:rsid w:val="5B5C0FD7"/>
    <w:rsid w:val="5C343874"/>
    <w:rsid w:val="5DA2735D"/>
    <w:rsid w:val="5DEF592A"/>
    <w:rsid w:val="5E8303FB"/>
    <w:rsid w:val="5E916AC6"/>
    <w:rsid w:val="5F45687A"/>
    <w:rsid w:val="5FC243C9"/>
    <w:rsid w:val="5FC6BB1E"/>
    <w:rsid w:val="5FF720F1"/>
    <w:rsid w:val="60D07D7A"/>
    <w:rsid w:val="62451BC7"/>
    <w:rsid w:val="627208EB"/>
    <w:rsid w:val="64A84B6A"/>
    <w:rsid w:val="65394F7B"/>
    <w:rsid w:val="65E174EB"/>
    <w:rsid w:val="66557ECD"/>
    <w:rsid w:val="669A23A0"/>
    <w:rsid w:val="66C8504F"/>
    <w:rsid w:val="673F1A76"/>
    <w:rsid w:val="67FF5C0B"/>
    <w:rsid w:val="68330EEC"/>
    <w:rsid w:val="69F148BD"/>
    <w:rsid w:val="6A3B1FCA"/>
    <w:rsid w:val="6AAC6520"/>
    <w:rsid w:val="6BB3092D"/>
    <w:rsid w:val="6CC45EF4"/>
    <w:rsid w:val="6D3D1CB8"/>
    <w:rsid w:val="6D4F5008"/>
    <w:rsid w:val="6D56202E"/>
    <w:rsid w:val="6DCA0540"/>
    <w:rsid w:val="6E3B1524"/>
    <w:rsid w:val="6E5E6F32"/>
    <w:rsid w:val="6EFC0924"/>
    <w:rsid w:val="6FB74722"/>
    <w:rsid w:val="6FD9744E"/>
    <w:rsid w:val="6FEF8B7E"/>
    <w:rsid w:val="707F675B"/>
    <w:rsid w:val="70CD475F"/>
    <w:rsid w:val="7101455D"/>
    <w:rsid w:val="710B2708"/>
    <w:rsid w:val="7196007B"/>
    <w:rsid w:val="71A6591B"/>
    <w:rsid w:val="71C67611"/>
    <w:rsid w:val="71F8210E"/>
    <w:rsid w:val="72131035"/>
    <w:rsid w:val="72270172"/>
    <w:rsid w:val="7321548C"/>
    <w:rsid w:val="7355138F"/>
    <w:rsid w:val="737D59BA"/>
    <w:rsid w:val="742B79EE"/>
    <w:rsid w:val="7487362A"/>
    <w:rsid w:val="74C652C4"/>
    <w:rsid w:val="752E6832"/>
    <w:rsid w:val="77071BC4"/>
    <w:rsid w:val="77C37683"/>
    <w:rsid w:val="77EF10C8"/>
    <w:rsid w:val="783A7FA2"/>
    <w:rsid w:val="79FF515B"/>
    <w:rsid w:val="7A022574"/>
    <w:rsid w:val="7A8C2C24"/>
    <w:rsid w:val="7A9569D6"/>
    <w:rsid w:val="7B452CBB"/>
    <w:rsid w:val="7B937C52"/>
    <w:rsid w:val="7C2A73CE"/>
    <w:rsid w:val="7C3A35C2"/>
    <w:rsid w:val="7E2D2AC6"/>
    <w:rsid w:val="7E471B9A"/>
    <w:rsid w:val="7E9E1962"/>
    <w:rsid w:val="7E9F11B4"/>
    <w:rsid w:val="7F37EC1E"/>
    <w:rsid w:val="7F466526"/>
    <w:rsid w:val="7F7DCD9D"/>
    <w:rsid w:val="7F970A6F"/>
    <w:rsid w:val="7FC1FFF3"/>
    <w:rsid w:val="7FC69637"/>
    <w:rsid w:val="7FD37411"/>
    <w:rsid w:val="7FDF8620"/>
    <w:rsid w:val="7FFB242F"/>
    <w:rsid w:val="7FFDB408"/>
    <w:rsid w:val="7FFE4EEB"/>
    <w:rsid w:val="7FFE596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字符"/>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8265</Words>
  <Characters>12122</Characters>
  <Lines>134</Lines>
  <Paragraphs>37</Paragraphs>
  <TotalTime>5</TotalTime>
  <ScaleCrop>false</ScaleCrop>
  <LinksUpToDate>false</LinksUpToDate>
  <CharactersWithSpaces>13863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2025-08-19T03:08:00Z</cp:lastPrinted>
  <dcterms:modified xsi:type="dcterms:W3CDTF">2026-09-11T02:35:06Z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7B2C4E67CACC4EEF9B5319F071513A6F_13</vt:lpwstr>
  </property>
  <property fmtid="{D5CDD505-2E9C-101B-9397-08002B2CF9AE}" pid="4" name="KSOTemplateDocerSaveRecord">
    <vt:lpwstr>eyJoZGlkIjoiNDEyYTkxZWFhMjMzZDY2NTJiNzAzZDNkMTJlN2NmYjMiLCJ1c2VySWQiOiI2NjAzNzQ3NTEifQ==</vt:lpwstr>
  </property>
</Properties>
</file>