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3"/>
        <w:jc w:val="center"/>
        <w:rPr>
          <w:sz w:val="56"/>
          <w:szCs w:val="56"/>
        </w:rPr>
      </w:pPr>
    </w:p>
    <w:p>
      <w:pPr>
        <w:pStyle w:val="13"/>
        <w:jc w:val="center"/>
        <w:rPr>
          <w:sz w:val="84"/>
          <w:szCs w:val="84"/>
        </w:rPr>
      </w:pPr>
    </w:p>
    <w:p>
      <w:pPr>
        <w:pStyle w:val="13"/>
        <w:jc w:val="center"/>
        <w:rPr>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道县人民代表大会常务委员会</w:t>
      </w:r>
      <w:r>
        <w:rPr>
          <w:rFonts w:hint="eastAsia" w:ascii="方正小标宋_GBK" w:hAnsi="方正小标宋_GBK" w:eastAsia="方正小标宋_GBK" w:cs="方正小标宋_GBK"/>
          <w:sz w:val="84"/>
          <w:szCs w:val="84"/>
        </w:rPr>
        <w:t>部门决算</w:t>
      </w:r>
    </w:p>
    <w:p>
      <w:pPr>
        <w:pStyle w:val="13"/>
        <w:jc w:val="center"/>
        <w:rPr>
          <w:rFonts w:hint="eastAsia" w:ascii="方正小标宋_GBK" w:hAnsi="方正小标宋_GBK" w:eastAsia="方正小标宋_GBK" w:cs="方正小标宋_GBK"/>
          <w:sz w:val="56"/>
          <w:szCs w:val="56"/>
        </w:rPr>
      </w:pPr>
    </w:p>
    <w:p>
      <w:pPr>
        <w:pStyle w:val="13"/>
        <w:jc w:val="center"/>
        <w:rPr>
          <w:sz w:val="56"/>
          <w:szCs w:val="56"/>
        </w:rPr>
      </w:pPr>
    </w:p>
    <w:p>
      <w:pPr>
        <w:pStyle w:val="13"/>
        <w:jc w:val="center"/>
        <w:rPr>
          <w:sz w:val="56"/>
          <w:szCs w:val="56"/>
        </w:rPr>
      </w:pPr>
    </w:p>
    <w:p>
      <w:pPr>
        <w:pStyle w:val="13"/>
        <w:jc w:val="center"/>
        <w:rPr>
          <w:sz w:val="56"/>
          <w:szCs w:val="56"/>
        </w:rPr>
      </w:pPr>
    </w:p>
    <w:p>
      <w:pPr>
        <w:pStyle w:val="13"/>
        <w:jc w:val="center"/>
        <w:rPr>
          <w:sz w:val="32"/>
          <w:szCs w:val="32"/>
        </w:rPr>
      </w:pPr>
    </w:p>
    <w:p>
      <w:pPr>
        <w:pStyle w:val="13"/>
        <w:jc w:val="center"/>
        <w:rPr>
          <w:sz w:val="32"/>
          <w:szCs w:val="32"/>
        </w:rPr>
      </w:pPr>
    </w:p>
    <w:p>
      <w:pPr>
        <w:pStyle w:val="13"/>
        <w:spacing w:line="540" w:lineRule="exact"/>
        <w:jc w:val="both"/>
        <w:rPr>
          <w:sz w:val="56"/>
          <w:szCs w:val="56"/>
        </w:rPr>
      </w:pPr>
    </w:p>
    <w:p>
      <w:pPr>
        <w:pStyle w:val="13"/>
        <w:spacing w:line="500" w:lineRule="exact"/>
        <w:jc w:val="both"/>
        <w:rPr>
          <w:b/>
          <w:sz w:val="36"/>
          <w:szCs w:val="28"/>
        </w:rPr>
      </w:pPr>
    </w:p>
    <w:p>
      <w:pPr>
        <w:pStyle w:val="13"/>
        <w:spacing w:line="500" w:lineRule="exact"/>
        <w:jc w:val="center"/>
        <w:rPr>
          <w:b/>
          <w:sz w:val="36"/>
          <w:szCs w:val="28"/>
        </w:rPr>
      </w:pPr>
      <w:r>
        <w:rPr>
          <w:rFonts w:hint="eastAsia"/>
          <w:b/>
          <w:sz w:val="36"/>
          <w:szCs w:val="28"/>
        </w:rPr>
        <w:t>目录</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道县人民代表大会常务委员会</w:t>
      </w:r>
      <w:r>
        <w:rPr>
          <w:rFonts w:hint="eastAsia" w:hAnsi="黑体" w:cs="黑体"/>
          <w:b w:val="0"/>
          <w:bCs/>
          <w:sz w:val="28"/>
          <w:szCs w:val="28"/>
          <w:lang w:val="en-US" w:eastAsia="zh-CN"/>
        </w:rPr>
        <w:t>部门概</w:t>
      </w:r>
      <w:r>
        <w:rPr>
          <w:rFonts w:hint="eastAsia" w:ascii="黑体" w:hAnsi="黑体" w:eastAsia="黑体" w:cs="黑体"/>
          <w:b w:val="0"/>
          <w:bCs/>
          <w:sz w:val="28"/>
          <w:szCs w:val="28"/>
        </w:rPr>
        <w:t>况</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w:t>
      </w:r>
      <w:r>
        <w:rPr>
          <w:rFonts w:hint="eastAsia" w:ascii="Times New Roman" w:hAnsi="Times New Roman" w:eastAsia="仿宋_GB2312" w:cs="Times New Roman"/>
          <w:sz w:val="28"/>
          <w:szCs w:val="28"/>
          <w:lang w:val="en-US" w:eastAsia="zh-CN"/>
        </w:rPr>
        <w:t>5</w:t>
      </w:r>
      <w:bookmarkStart w:id="25" w:name="_GoBack"/>
      <w:bookmarkEnd w:id="25"/>
      <w:r>
        <w:rPr>
          <w:rFonts w:hint="eastAsia" w:ascii="Times New Roman" w:hAnsi="Times New Roman" w:eastAsia="仿宋_GB2312" w:cs="Times New Roman"/>
          <w:sz w:val="28"/>
          <w:szCs w:val="28"/>
          <w:lang w:eastAsia="zh-CN"/>
        </w:rPr>
        <w:t>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3"/>
        <w:spacing w:line="500" w:lineRule="exact"/>
        <w:rPr>
          <w:rFonts w:hint="eastAsia" w:hAnsi="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pStyle w:val="13"/>
        <w:spacing w:line="500" w:lineRule="exact"/>
        <w:rPr>
          <w:rFonts w:hint="eastAsia" w:hAnsi="黑体" w:cs="黑体"/>
          <w:b w:val="0"/>
          <w:bCs/>
          <w:sz w:val="28"/>
          <w:szCs w:val="28"/>
          <w:lang w:eastAsia="zh-CN"/>
        </w:rPr>
      </w:pPr>
    </w:p>
    <w:p>
      <w:pPr>
        <w:rPr>
          <w:rFonts w:hint="eastAsia"/>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道县人民代表大会常务委员会部门概况</w:t>
      </w:r>
    </w:p>
    <w:p>
      <w:pPr>
        <w:pStyle w:val="13"/>
        <w:jc w:val="center"/>
        <w:rPr>
          <w:rFonts w:hint="eastAsia" w:ascii="方正小标宋_GBK" w:hAnsi="方正小标宋_GBK" w:eastAsia="方正小标宋_GBK" w:cs="方正小标宋_GBK"/>
          <w:sz w:val="84"/>
          <w:szCs w:val="84"/>
          <w:lang w:val="en-US" w:eastAsia="zh-CN"/>
        </w:rPr>
      </w:pPr>
    </w:p>
    <w:p>
      <w:pPr>
        <w:pStyle w:val="14"/>
        <w:numPr>
          <w:ilvl w:val="0"/>
          <w:numId w:val="0"/>
        </w:numPr>
        <w:ind w:leftChars="0" w:firstLine="320" w:firstLineChars="100"/>
        <w:jc w:val="left"/>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部门职责</w:t>
      </w:r>
    </w:p>
    <w:p>
      <w:pPr>
        <w:spacing w:line="360" w:lineRule="auto"/>
        <w:ind w:firstLine="960" w:firstLineChars="300"/>
        <w:rPr>
          <w:rFonts w:hint="eastAsia" w:ascii="仿宋" w:hAnsi="仿宋" w:eastAsia="仿宋" w:cs="仿宋"/>
          <w:color w:val="000000"/>
          <w:sz w:val="32"/>
          <w:szCs w:val="32"/>
          <w:shd w:val="clear" w:color="auto" w:fill="FFFFFF"/>
        </w:rPr>
      </w:pPr>
      <w:bookmarkStart w:id="0" w:name="AGENCY_NAME_TITLE3"/>
      <w:r>
        <w:rPr>
          <w:rFonts w:hint="eastAsia" w:ascii="仿宋" w:hAnsi="仿宋" w:eastAsia="仿宋" w:cs="仿宋"/>
          <w:color w:val="000000"/>
          <w:sz w:val="32"/>
          <w:szCs w:val="32"/>
          <w:shd w:val="clear" w:color="auto" w:fill="FFFFFF"/>
        </w:rPr>
        <w:t>道县人民代表大会常务委员会</w:t>
      </w:r>
      <w:bookmarkEnd w:id="0"/>
      <w:r>
        <w:rPr>
          <w:rFonts w:hint="eastAsia" w:ascii="仿宋" w:hAnsi="仿宋" w:eastAsia="仿宋" w:cs="仿宋"/>
          <w:color w:val="000000"/>
          <w:sz w:val="32"/>
          <w:szCs w:val="32"/>
          <w:shd w:val="clear" w:color="auto" w:fill="FFFFFF"/>
        </w:rPr>
        <w:t>的主要职责是：</w:t>
      </w:r>
    </w:p>
    <w:p>
      <w:pPr>
        <w:spacing w:line="360" w:lineRule="auto"/>
        <w:ind w:firstLine="960" w:firstLineChars="300"/>
        <w:rPr>
          <w:rFonts w:hint="eastAsia" w:ascii="仿宋" w:hAnsi="仿宋" w:eastAsia="仿宋" w:cs="仿宋"/>
          <w:color w:val="000000"/>
          <w:sz w:val="32"/>
          <w:szCs w:val="32"/>
          <w:shd w:val="clear" w:color="auto" w:fill="FFFFFF"/>
        </w:rPr>
      </w:pPr>
      <w:bookmarkStart w:id="1" w:name="FUNCRESP"/>
      <w:r>
        <w:rPr>
          <w:rFonts w:hint="eastAsia" w:ascii="仿宋" w:hAnsi="仿宋" w:eastAsia="仿宋" w:cs="仿宋"/>
          <w:color w:val="000000"/>
          <w:sz w:val="32"/>
          <w:szCs w:val="32"/>
          <w:shd w:val="clear" w:color="auto" w:fill="FFFFFF"/>
        </w:rPr>
        <w:t>1．主要职能。</w:t>
      </w:r>
    </w:p>
    <w:p>
      <w:pPr>
        <w:spacing w:line="360" w:lineRule="auto"/>
        <w:ind w:left="319" w:leftChars="152"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①在本行政区域内，保证宪法、法律、行政法规和上级人民代表大会及其常务委员会决议、决定的遵守和执行。</w:t>
      </w:r>
    </w:p>
    <w:p>
      <w:pPr>
        <w:spacing w:line="360" w:lineRule="auto"/>
        <w:ind w:left="319" w:leftChars="152"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②领导或者主持本级人民代表大会代表的选举。召集本级人民代表大会及讨论、决定本级人民代表大会法定事宜。</w:t>
      </w:r>
    </w:p>
    <w:p>
      <w:pPr>
        <w:spacing w:line="360" w:lineRule="auto"/>
        <w:ind w:left="319" w:leftChars="152"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③讨论、决定本行政区域内的政治、经济、教育、科学、文化、卫生、城市建设和环境资源保护、民政等工作的重大事项。</w:t>
      </w:r>
    </w:p>
    <w:p>
      <w:pPr>
        <w:spacing w:line="360" w:lineRule="auto"/>
        <w:ind w:left="319" w:leftChars="152"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④根据本级人民政府的建议，决定对本行政区域内的国民经济和社会发展计划、财政预算的部分变更。</w:t>
      </w:r>
    </w:p>
    <w:p>
      <w:pPr>
        <w:spacing w:line="360" w:lineRule="auto"/>
        <w:ind w:left="319" w:leftChars="152"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⑤监督本级人民政府、人民法院和人民检察院的工作，联系本级人民代表大会代表，受理人民群众对上述机关和国家工作人员的申诉意见。</w:t>
      </w:r>
    </w:p>
    <w:p>
      <w:pPr>
        <w:spacing w:line="360" w:lineRule="auto"/>
        <w:ind w:left="319" w:leftChars="152"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⑥撤销下一级人民代表大会不适当的决议及本级人民政府不适当的决定和命令。</w:t>
      </w:r>
    </w:p>
    <w:p>
      <w:pPr>
        <w:spacing w:line="360" w:lineRule="auto"/>
        <w:ind w:left="319" w:leftChars="152"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⑦在本级人民代表大会闭会期间，履行人大常委会法定人事任免、补选上一级人民代表大会出缺的代表和罢免个别代表等职责。</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⑧其它法定职责。</w:t>
      </w:r>
      <w:bookmarkEnd w:id="1"/>
    </w:p>
    <w:p>
      <w:pPr>
        <w:widowControl/>
        <w:spacing w:line="600" w:lineRule="exact"/>
        <w:ind w:firstLine="320" w:firstLineChars="1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pStyle w:val="5"/>
        <w:suppressAutoHyphens/>
        <w:spacing w:line="360" w:lineRule="auto"/>
        <w:ind w:left="420" w:leftChars="200" w:right="481" w:rightChars="229" w:firstLine="658"/>
        <w:rPr>
          <w:rFonts w:hint="eastAsia" w:ascii="仿宋" w:hAnsi="仿宋" w:eastAsia="仿宋" w:cs="仿宋"/>
          <w:kern w:val="0"/>
          <w:lang w:bidi="zh-CN"/>
        </w:rPr>
      </w:pPr>
      <w:r>
        <w:rPr>
          <w:rFonts w:hint="eastAsia" w:ascii="仿宋" w:hAnsi="仿宋" w:eastAsia="仿宋" w:cs="仿宋"/>
          <w:kern w:val="0"/>
          <w:lang w:bidi="zh-CN"/>
        </w:rPr>
        <w:t>（一）内设机构设置</w:t>
      </w:r>
    </w:p>
    <w:p>
      <w:pPr>
        <w:spacing w:line="360" w:lineRule="auto"/>
        <w:ind w:left="319" w:leftChars="152" w:firstLine="640" w:firstLineChars="200"/>
        <w:rPr>
          <w:rFonts w:hint="eastAsia" w:ascii="仿宋" w:hAnsi="仿宋" w:eastAsia="仿宋" w:cs="仿宋"/>
          <w:kern w:val="0"/>
          <w:lang w:bidi="zh-CN"/>
        </w:rPr>
      </w:pPr>
      <w:bookmarkStart w:id="2" w:name="ORG_SET"/>
      <w:r>
        <w:rPr>
          <w:rFonts w:hint="eastAsia" w:ascii="仿宋" w:hAnsi="仿宋" w:eastAsia="仿宋" w:cs="仿宋"/>
          <w:color w:val="000000"/>
          <w:sz w:val="32"/>
          <w:szCs w:val="32"/>
          <w:shd w:val="clear" w:color="auto" w:fill="FFFFFF"/>
        </w:rPr>
        <w:t>根据机构改革的要求，道县人民代表大会设监察和司法委员会、财政经济委员会、教育科学文化卫生委员会、社会建设委员会、农业农村委员会、环境和资源保护委员会、民族宗教外事委员会等7个专门委员会，常委会设办公室、</w:t>
      </w:r>
      <w:r>
        <w:rPr>
          <w:rFonts w:hint="eastAsia" w:ascii="仿宋" w:hAnsi="仿宋" w:eastAsia="仿宋" w:cs="仿宋"/>
          <w:color w:val="000000"/>
          <w:sz w:val="32"/>
          <w:szCs w:val="32"/>
          <w:shd w:val="clear" w:color="auto" w:fill="FFFFFF"/>
          <w:lang w:eastAsia="zh-CN"/>
        </w:rPr>
        <w:t>代表</w:t>
      </w:r>
      <w:r>
        <w:rPr>
          <w:rFonts w:hint="eastAsia" w:ascii="仿宋" w:hAnsi="仿宋" w:eastAsia="仿宋" w:cs="仿宋"/>
          <w:color w:val="000000"/>
          <w:sz w:val="32"/>
          <w:szCs w:val="32"/>
          <w:shd w:val="clear" w:color="auto" w:fill="FFFFFF"/>
        </w:rPr>
        <w:t>工作委员会、法律工作委员会、预算工作委员会等4个常设机构和一个事业单位（信息中心）。</w:t>
      </w:r>
      <w:bookmarkEnd w:id="2"/>
    </w:p>
    <w:p>
      <w:pPr>
        <w:pStyle w:val="5"/>
        <w:numPr>
          <w:ilvl w:val="0"/>
          <w:numId w:val="1"/>
        </w:numPr>
        <w:suppressAutoHyphens/>
        <w:spacing w:line="360" w:lineRule="auto"/>
        <w:ind w:left="420" w:leftChars="200" w:right="481" w:rightChars="229" w:firstLine="658"/>
        <w:rPr>
          <w:rFonts w:hint="eastAsia" w:ascii="仿宋" w:hAnsi="仿宋" w:eastAsia="仿宋" w:cs="仿宋"/>
          <w:kern w:val="0"/>
          <w:lang w:bidi="zh-CN"/>
        </w:rPr>
      </w:pPr>
      <w:r>
        <w:rPr>
          <w:rFonts w:hint="eastAsia" w:ascii="仿宋" w:hAnsi="仿宋" w:eastAsia="仿宋" w:cs="仿宋"/>
          <w:kern w:val="0"/>
          <w:lang w:bidi="zh-CN"/>
        </w:rPr>
        <w:t>决算单位构成</w:t>
      </w:r>
    </w:p>
    <w:p>
      <w:pPr>
        <w:spacing w:line="360" w:lineRule="auto"/>
        <w:ind w:left="420" w:leftChars="200" w:right="384" w:rightChars="183"/>
        <w:rPr>
          <w:rFonts w:hint="eastAsia" w:ascii="仿宋" w:hAnsi="仿宋" w:eastAsia="仿宋" w:cs="仿宋"/>
          <w:sz w:val="32"/>
          <w:szCs w:val="32"/>
          <w:lang w:eastAsia="zh-CN"/>
        </w:rPr>
        <w:sectPr>
          <w:pgSz w:w="11906" w:h="16838"/>
          <w:pgMar w:top="720" w:right="720" w:bottom="720" w:left="720" w:header="851" w:footer="992" w:gutter="0"/>
          <w:pgNumType w:fmt="numberInDash"/>
          <w:cols w:space="720" w:num="1"/>
          <w:docGrid w:type="lines" w:linePitch="319" w:charSpace="0"/>
        </w:sectPr>
      </w:pPr>
      <w:r>
        <w:rPr>
          <w:rFonts w:hint="eastAsia" w:ascii="仿宋" w:hAnsi="仿宋" w:eastAsia="仿宋" w:cs="仿宋"/>
          <w:sz w:val="32"/>
          <w:szCs w:val="32"/>
        </w:rPr>
        <w:t xml:space="preserve">   </w:t>
      </w:r>
      <w:bookmarkStart w:id="3" w:name="DEPT_COMPOSE"/>
      <w:r>
        <w:rPr>
          <w:rFonts w:hint="eastAsia" w:ascii="仿宋" w:hAnsi="仿宋" w:eastAsia="仿宋" w:cs="仿宋"/>
          <w:sz w:val="32"/>
          <w:szCs w:val="32"/>
        </w:rPr>
        <w:t>道县人民代表大会常务委员会</w:t>
      </w:r>
      <w:r>
        <w:rPr>
          <w:rFonts w:hint="eastAsia" w:ascii="仿宋" w:hAnsi="仿宋" w:eastAsia="仿宋" w:cs="仿宋"/>
          <w:sz w:val="32"/>
          <w:szCs w:val="32"/>
          <w:lang w:eastAsia="zh-CN"/>
        </w:rPr>
        <w:t>2025年</w:t>
      </w:r>
      <w:r>
        <w:rPr>
          <w:rFonts w:hint="eastAsia" w:ascii="仿宋" w:hAnsi="仿宋" w:eastAsia="仿宋" w:cs="仿宋"/>
          <w:sz w:val="32"/>
          <w:szCs w:val="32"/>
        </w:rPr>
        <w:t>部门决算汇总公开单位构成包括：道县人民代表大会常务委员会本级</w:t>
      </w:r>
      <w:bookmarkEnd w:id="3"/>
      <w:r>
        <w:rPr>
          <w:rFonts w:hint="eastAsia" w:ascii="仿宋" w:hAnsi="仿宋" w:eastAsia="仿宋" w:cs="仿宋"/>
          <w:sz w:val="32"/>
          <w:szCs w:val="32"/>
          <w:lang w:eastAsia="zh-CN"/>
        </w:rPr>
        <w:t>。</w:t>
      </w:r>
    </w:p>
    <w:p>
      <w:pPr>
        <w:pStyle w:val="13"/>
        <w:jc w:val="both"/>
        <w:rPr>
          <w:rFonts w:hint="eastAsia" w:ascii="方正小标宋_GBK" w:hAnsi="方正小标宋_GBK" w:eastAsia="方正小标宋_GBK" w:cs="方正小标宋_GBK"/>
          <w:sz w:val="84"/>
          <w:szCs w:val="84"/>
        </w:rPr>
      </w:pPr>
    </w:p>
    <w:p>
      <w:pPr>
        <w:pStyle w:val="13"/>
        <w:jc w:val="both"/>
        <w:rPr>
          <w:rFonts w:hint="eastAsia" w:ascii="方正小标宋_GBK" w:hAnsi="方正小标宋_GBK" w:eastAsia="方正小标宋_GBK" w:cs="方正小标宋_GBK"/>
          <w:sz w:val="84"/>
          <w:szCs w:val="84"/>
        </w:rPr>
      </w:pPr>
    </w:p>
    <w:p>
      <w:pPr>
        <w:pStyle w:val="13"/>
        <w:jc w:val="both"/>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3"/>
        <w:jc w:val="center"/>
        <w:rPr>
          <w:rFonts w:hint="eastAsia" w:ascii="方正小标宋_GBK" w:hAnsi="方正小标宋_GBK" w:eastAsia="方正小标宋_GBK" w:cs="方正小标宋_GBK"/>
          <w:sz w:val="84"/>
          <w:szCs w:val="84"/>
        </w:rPr>
      </w:pPr>
    </w:p>
    <w:p>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278"/>
        <w:gridCol w:w="530"/>
        <w:gridCol w:w="1740"/>
        <w:gridCol w:w="1665"/>
        <w:gridCol w:w="1695"/>
        <w:gridCol w:w="1541"/>
        <w:gridCol w:w="1805"/>
        <w:gridCol w:w="1805"/>
        <w:gridCol w:w="1805"/>
        <w:gridCol w:w="2564"/>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13"/>
              <w:gridCol w:w="582"/>
              <w:gridCol w:w="1335"/>
              <w:gridCol w:w="4773"/>
              <w:gridCol w:w="1546"/>
              <w:gridCol w:w="479"/>
              <w:gridCol w:w="575"/>
              <w:gridCol w:w="18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27" w:type="dxa"/>
                  <w:tcBorders>
                    <w:top w:val="single" w:color="E9AD1D" w:sz="0" w:space="0"/>
                    <w:left w:val="single" w:color="FFFFFF" w:sz="0" w:space="0"/>
                    <w:bottom w:val="single" w:color="E9AD1D" w:sz="0" w:space="0"/>
                    <w:right w:val="single" w:color="FFFFFF" w:sz="0" w:space="0"/>
                  </w:tcBorders>
                  <w:shd w:val="clear" w:color="auto" w:fill="FFFFFF"/>
                  <w:noWrap/>
                  <w:vAlign w:val="center"/>
                </w:tcPr>
                <w:p>
                  <w:pPr>
                    <w:jc w:val="left"/>
                    <w:rPr>
                      <w:rFonts w:hint="eastAsia" w:ascii="黑体" w:hAnsi="宋体" w:eastAsia="黑体" w:cs="黑体"/>
                      <w:i w:val="0"/>
                      <w:color w:val="000000"/>
                      <w:sz w:val="24"/>
                      <w:szCs w:val="24"/>
                      <w:u w:val="none"/>
                    </w:rPr>
                  </w:pPr>
                </w:p>
              </w:tc>
              <w:tc>
                <w:tcPr>
                  <w:tcW w:w="602" w:type="dxa"/>
                  <w:tcBorders>
                    <w:top w:val="single" w:color="E9AD1D" w:sz="0" w:space="0"/>
                    <w:left w:val="single" w:color="FFFFFF" w:sz="0" w:space="0"/>
                    <w:bottom w:val="single" w:color="E9AD1D"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95" w:type="dxa"/>
                  <w:tcBorders>
                    <w:top w:val="single" w:color="E9AD1D" w:sz="0" w:space="0"/>
                    <w:left w:val="single" w:color="FBF1D7" w:sz="0" w:space="0"/>
                    <w:bottom w:val="single" w:color="E9AD1D"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17" w:type="dxa"/>
                  <w:tcBorders>
                    <w:top w:val="single" w:color="E9AD1D" w:sz="0" w:space="0"/>
                    <w:left w:val="single" w:color="FBF1D7" w:sz="0" w:space="0"/>
                    <w:bottom w:val="single" w:color="E9AD1D"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40" w:type="dxa"/>
                  <w:gridSpan w:val="2"/>
                  <w:tcBorders>
                    <w:top w:val="single" w:color="E9AD1D" w:sz="0" w:space="0"/>
                    <w:left w:val="single" w:color="FBF1D7" w:sz="0" w:space="0"/>
                    <w:bottom w:val="single" w:color="E9AD1D"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317" w:type="dxa"/>
                  <w:gridSpan w:val="2"/>
                  <w:tcBorders>
                    <w:top w:val="single" w:color="E9AD1D" w:sz="0" w:space="0"/>
                    <w:left w:val="single" w:color="FBF1D7" w:sz="0" w:space="0"/>
                    <w:bottom w:val="single" w:color="E9AD1D" w:sz="0" w:space="0"/>
                    <w:right w:val="single" w:color="FBF1D7" w:sz="0" w:space="0"/>
                  </w:tcBorders>
                  <w:shd w:val="clear" w:color="auto" w:fill="FFFFFF"/>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single" w:color="E9AD1D" w:sz="0" w:space="0"/>
                    <w:left w:val="single" w:color="FFFFFF" w:sz="0" w:space="0"/>
                    <w:bottom w:val="single" w:color="FBF1D7" w:sz="0" w:space="0"/>
                    <w:right w:val="single" w:color="FFFFFF" w:sz="0" w:space="0"/>
                  </w:tcBorders>
                  <w:shd w:val="clear" w:color="auto" w:fill="FFFDFA"/>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60" w:type="dxa"/>
                  <w:tcBorders>
                    <w:top w:val="single" w:color="FBF1D7" w:sz="0" w:space="0"/>
                    <w:left w:val="single" w:color="FFFFFF" w:sz="0" w:space="0"/>
                    <w:bottom w:val="single" w:color="FBF1D7" w:sz="0" w:space="0"/>
                    <w:right w:val="single" w:color="FFFFFF"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72" w:type="dxa"/>
                  <w:tcBorders>
                    <w:top w:val="single" w:color="FBF1D7" w:sz="0" w:space="0"/>
                    <w:left w:val="single" w:color="FFFFFF" w:sz="0" w:space="0"/>
                    <w:bottom w:val="single" w:color="FBF1D7"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264" w:type="dxa"/>
                  <w:tcBorders>
                    <w:top w:val="single" w:color="FBF1D7" w:sz="0" w:space="0"/>
                    <w:left w:val="single" w:color="FBF1D7" w:sz="0" w:space="0"/>
                    <w:bottom w:val="single" w:color="FBF1D7"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4900" w:type="dxa"/>
                  <w:tcBorders>
                    <w:top w:val="single" w:color="FBF1D7" w:sz="0" w:space="0"/>
                    <w:left w:val="single" w:color="FBF1D7" w:sz="0" w:space="0"/>
                    <w:bottom w:val="single" w:color="FBF1D7"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117" w:type="dxa"/>
                  <w:gridSpan w:val="2"/>
                  <w:tcBorders>
                    <w:top w:val="single" w:color="FBF1D7" w:sz="0" w:space="0"/>
                    <w:left w:val="single" w:color="FBF1D7" w:sz="0" w:space="0"/>
                    <w:bottom w:val="single" w:color="FBF1D7" w:sz="0" w:space="0"/>
                    <w:right w:val="single" w:color="FBF1D7" w:sz="0" w:space="0"/>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585" w:type="dxa"/>
                  <w:gridSpan w:val="2"/>
                  <w:tcBorders>
                    <w:top w:val="single" w:color="FBF1D7" w:sz="0" w:space="0"/>
                    <w:left w:val="single" w:color="FBF1D7" w:sz="0" w:space="0"/>
                    <w:bottom w:val="single" w:color="FBF1D7" w:sz="0" w:space="0"/>
                    <w:right w:val="single" w:color="FBF1D7" w:sz="0"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3960" w:type="dxa"/>
                  <w:tcBorders>
                    <w:top w:val="single" w:color="FBF1D7" w:sz="0" w:space="0"/>
                    <w:left w:val="single" w:color="FFFFFF" w:sz="0" w:space="0"/>
                    <w:bottom w:val="single" w:color="FBF1D7" w:sz="0" w:space="0"/>
                    <w:right w:val="single" w:color="FFFFFF" w:sz="0" w:space="0"/>
                  </w:tcBorders>
                  <w:shd w:val="clear" w:color="auto" w:fill="FFFDFA"/>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部门：道县人民代表大会常务委员会</w:t>
                  </w:r>
                </w:p>
              </w:tc>
              <w:tc>
                <w:tcPr>
                  <w:tcW w:w="572" w:type="dxa"/>
                  <w:tcBorders>
                    <w:top w:val="single" w:color="FBF1D7" w:sz="0" w:space="0"/>
                    <w:left w:val="single" w:color="FFFFFF" w:sz="0" w:space="0"/>
                    <w:bottom w:val="single" w:color="FBF1D7" w:sz="0" w:space="0"/>
                    <w:right w:val="single" w:color="FBF1D7" w:sz="0" w:space="0"/>
                  </w:tcBorders>
                  <w:shd w:val="clear" w:color="auto" w:fill="FFFDFA"/>
                  <w:noWrap/>
                  <w:vAlign w:val="center"/>
                </w:tcPr>
                <w:p>
                  <w:pPr>
                    <w:jc w:val="right"/>
                    <w:rPr>
                      <w:rFonts w:hint="eastAsia" w:ascii="宋体" w:hAnsi="宋体" w:eastAsia="宋体" w:cs="宋体"/>
                      <w:i w:val="0"/>
                      <w:color w:val="000000"/>
                      <w:sz w:val="24"/>
                      <w:szCs w:val="24"/>
                      <w:u w:val="none"/>
                    </w:rPr>
                  </w:pPr>
                </w:p>
              </w:tc>
              <w:tc>
                <w:tcPr>
                  <w:tcW w:w="1264" w:type="dxa"/>
                  <w:tcBorders>
                    <w:top w:val="single" w:color="FBF1D7" w:sz="0" w:space="0"/>
                    <w:left w:val="single" w:color="FBF1D7" w:sz="0" w:space="0"/>
                    <w:bottom w:val="single" w:color="FBF1D7" w:sz="0" w:space="0"/>
                    <w:right w:val="single" w:color="FBF1D7" w:sz="0" w:space="0"/>
                  </w:tcBorders>
                  <w:shd w:val="clear" w:color="auto" w:fill="FFFDFA"/>
                  <w:noWrap/>
                  <w:vAlign w:val="center"/>
                </w:tcPr>
                <w:p>
                  <w:pPr>
                    <w:jc w:val="right"/>
                    <w:rPr>
                      <w:rFonts w:hint="eastAsia" w:ascii="宋体" w:hAnsi="宋体" w:eastAsia="宋体" w:cs="宋体"/>
                      <w:i w:val="0"/>
                      <w:color w:val="000000"/>
                      <w:sz w:val="24"/>
                      <w:szCs w:val="24"/>
                      <w:u w:val="none"/>
                    </w:rPr>
                  </w:pPr>
                </w:p>
              </w:tc>
              <w:tc>
                <w:tcPr>
                  <w:tcW w:w="4900" w:type="dxa"/>
                  <w:tcBorders>
                    <w:top w:val="single" w:color="FBF1D7" w:sz="0" w:space="0"/>
                    <w:left w:val="single" w:color="FBF1D7" w:sz="0" w:space="0"/>
                    <w:bottom w:val="single" w:color="FBF1D7" w:sz="0" w:space="0"/>
                    <w:right w:val="single" w:color="FBF1D7" w:sz="0" w:space="0"/>
                  </w:tcBorders>
                  <w:shd w:val="clear" w:color="auto" w:fill="FFFDFA"/>
                  <w:noWrap/>
                  <w:vAlign w:val="center"/>
                </w:tcPr>
                <w:p>
                  <w:pPr>
                    <w:jc w:val="right"/>
                    <w:rPr>
                      <w:rFonts w:hint="eastAsia" w:ascii="宋体" w:hAnsi="宋体" w:eastAsia="宋体" w:cs="宋体"/>
                      <w:i w:val="0"/>
                      <w:color w:val="000000"/>
                      <w:sz w:val="24"/>
                      <w:szCs w:val="24"/>
                      <w:u w:val="none"/>
                    </w:rPr>
                  </w:pPr>
                </w:p>
              </w:tc>
              <w:tc>
                <w:tcPr>
                  <w:tcW w:w="2117" w:type="dxa"/>
                  <w:gridSpan w:val="2"/>
                  <w:tcBorders>
                    <w:top w:val="single" w:color="FBF1D7" w:sz="0" w:space="0"/>
                    <w:left w:val="single" w:color="FBF1D7" w:sz="0" w:space="0"/>
                    <w:bottom w:val="single" w:color="FBF1D7" w:sz="0" w:space="0"/>
                    <w:right w:val="single" w:color="FBF1D7" w:sz="0" w:space="0"/>
                  </w:tcBorders>
                  <w:shd w:val="clear" w:color="auto" w:fill="FFFDFA"/>
                  <w:noWrap/>
                  <w:vAlign w:val="center"/>
                </w:tcPr>
                <w:p>
                  <w:pPr>
                    <w:jc w:val="right"/>
                    <w:rPr>
                      <w:rFonts w:hint="eastAsia" w:ascii="宋体" w:hAnsi="宋体" w:eastAsia="宋体" w:cs="宋体"/>
                      <w:i w:val="0"/>
                      <w:color w:val="000000"/>
                      <w:sz w:val="24"/>
                      <w:szCs w:val="24"/>
                      <w:u w:val="none"/>
                    </w:rPr>
                  </w:pPr>
                </w:p>
              </w:tc>
              <w:tc>
                <w:tcPr>
                  <w:tcW w:w="2585" w:type="dxa"/>
                  <w:gridSpan w:val="2"/>
                  <w:tcBorders>
                    <w:top w:val="single" w:color="FBF1D7" w:sz="0" w:space="0"/>
                    <w:left w:val="single" w:color="FBF1D7" w:sz="0" w:space="0"/>
                    <w:bottom w:val="single" w:color="FBF1D7" w:sz="0" w:space="0"/>
                    <w:right w:val="single" w:color="FBF1D7" w:sz="0" w:space="0"/>
                  </w:tcBorders>
                  <w:shd w:val="clear" w:color="auto" w:fill="FFFDFA"/>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5796" w:type="dxa"/>
                  <w:gridSpan w:val="3"/>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276" w:type="dxa"/>
                  <w:gridSpan w:val="4"/>
                  <w:tcBorders>
                    <w:top w:val="single" w:color="FBF1D7" w:sz="4" w:space="0"/>
                    <w:left w:val="single" w:color="FFFFFF"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62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572" w:type="dxa"/>
                  <w:tcBorders>
                    <w:top w:val="single" w:color="FBF1D7" w:sz="4" w:space="0"/>
                    <w:left w:val="single" w:color="FFFFFF" w:sz="4" w:space="0"/>
                    <w:bottom w:val="single" w:color="FBF1D7" w:sz="4" w:space="0"/>
                    <w:right w:val="single" w:color="FBF1D7"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264"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4900"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617"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895.64</w:t>
                  </w: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810.84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572" w:type="dxa"/>
                  <w:tcBorders>
                    <w:top w:val="single" w:color="FBF1D7" w:sz="4" w:space="0"/>
                    <w:left w:val="single" w:color="FFFFFF"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4"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572" w:type="dxa"/>
                  <w:tcBorders>
                    <w:top w:val="single" w:color="FBF1D7" w:sz="4" w:space="0"/>
                    <w:left w:val="single" w:color="FFFFFF"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4"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572" w:type="dxa"/>
                  <w:tcBorders>
                    <w:top w:val="single" w:color="FBF1D7" w:sz="4" w:space="0"/>
                    <w:left w:val="single" w:color="FFFFFF"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4"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七、文化旅游体育与传媒支出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572" w:type="dxa"/>
                  <w:tcBorders>
                    <w:top w:val="single" w:color="FBF1D7" w:sz="4" w:space="0"/>
                    <w:left w:val="single" w:color="FFFFFF"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4"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lef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56.05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jc w:val="right"/>
                    <w:rPr>
                      <w:rFonts w:hint="eastAsia" w:ascii="宋体" w:hAnsi="宋体" w:eastAsia="宋体" w:cs="宋体"/>
                      <w:i w:val="0"/>
                      <w:color w:val="000000"/>
                      <w:sz w:val="20"/>
                      <w:szCs w:val="20"/>
                      <w:u w:val="none"/>
                    </w:rPr>
                  </w:pP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2"/>
                      <w:szCs w:val="22"/>
                      <w:u w:val="none"/>
                    </w:rPr>
                    <w:t>九、卫生健康支出</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572" w:type="dxa"/>
                  <w:tcBorders>
                    <w:top w:val="single" w:color="FBF1D7" w:sz="4" w:space="0"/>
                    <w:left w:val="single" w:color="FFFFFF"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4"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617"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FFF"/>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8" w:type="dxa"/>
                <w:trHeight w:val="62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572" w:type="dxa"/>
                  <w:tcBorders>
                    <w:top w:val="single" w:color="FBF1D7" w:sz="4" w:space="0"/>
                    <w:left w:val="single" w:color="FFFFFF"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64"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jc w:val="right"/>
                    <w:rPr>
                      <w:rFonts w:hint="eastAsia" w:ascii="宋体" w:hAnsi="宋体" w:eastAsia="宋体" w:cs="宋体"/>
                      <w:i w:val="0"/>
                      <w:color w:val="000000"/>
                      <w:sz w:val="22"/>
                      <w:szCs w:val="22"/>
                      <w:u w:val="none"/>
                    </w:rPr>
                  </w:pPr>
                </w:p>
              </w:tc>
              <w:tc>
                <w:tcPr>
                  <w:tcW w:w="4900"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617" w:type="dxa"/>
                  <w:tcBorders>
                    <w:top w:val="single" w:color="FBF1D7" w:sz="4" w:space="0"/>
                    <w:left w:val="single" w:color="FBF1D7" w:sz="4" w:space="0"/>
                    <w:bottom w:val="single" w:color="FBF1D7" w:sz="4" w:space="0"/>
                    <w:right w:val="single" w:color="FBF1D7"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FFF"/>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698" w:type="dxa"/>
                <w:trHeight w:val="448" w:hRule="atLeast"/>
              </w:trPr>
              <w:tc>
                <w:tcPr>
                  <w:tcW w:w="3960" w:type="dxa"/>
                  <w:tcBorders>
                    <w:top w:val="single" w:color="FBF1D7" w:sz="4" w:space="0"/>
                    <w:left w:val="single" w:color="FFFFFF" w:sz="4" w:space="0"/>
                    <w:bottom w:val="single" w:color="FBF1D7" w:sz="4" w:space="0"/>
                    <w:right w:val="single" w:color="FFFFFF"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572" w:type="dxa"/>
                  <w:tcBorders>
                    <w:top w:val="single" w:color="FBF1D7" w:sz="4" w:space="0"/>
                    <w:left w:val="single" w:color="FFFFFF"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64"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895.64</w:t>
                  </w:r>
                </w:p>
              </w:tc>
              <w:tc>
                <w:tcPr>
                  <w:tcW w:w="4900"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617" w:type="dxa"/>
                  <w:tcBorders>
                    <w:top w:val="single" w:color="FBF1D7" w:sz="4" w:space="0"/>
                    <w:left w:val="single" w:color="FBF1D7" w:sz="4" w:space="0"/>
                    <w:bottom w:val="single" w:color="FBF1D7" w:sz="4" w:space="0"/>
                    <w:right w:val="single" w:color="FBF1D7" w:sz="4" w:space="0"/>
                  </w:tcBorders>
                  <w:shd w:val="clear" w:color="auto" w:fill="FFFDFA"/>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098" w:type="dxa"/>
                  <w:gridSpan w:val="2"/>
                  <w:tcBorders>
                    <w:top w:val="single" w:color="FBF1D7" w:sz="4" w:space="0"/>
                    <w:left w:val="single" w:color="FBF1D7" w:sz="4" w:space="0"/>
                    <w:bottom w:val="single" w:color="FBF1D7" w:sz="4" w:space="0"/>
                    <w:right w:val="single" w:color="FBF1D7" w:sz="4" w:space="0"/>
                  </w:tcBorders>
                  <w:shd w:val="clear" w:color="auto" w:fill="FFFDFA"/>
                  <w:noWrap/>
                  <w:vAlign w:val="center"/>
                </w:tcPr>
                <w:p>
                  <w:pPr>
                    <w:rPr>
                      <w:rFonts w:hint="default" w:ascii="宋体" w:hAnsi="宋体" w:eastAsia="宋体" w:cs="宋体"/>
                      <w:b w:val="0"/>
                      <w:bCs/>
                      <w:i w:val="0"/>
                      <w:color w:val="000000"/>
                      <w:sz w:val="22"/>
                      <w:szCs w:val="22"/>
                      <w:u w:val="none"/>
                      <w:lang w:val="en-US" w:eastAsia="zh-CN"/>
                    </w:rPr>
                  </w:pPr>
                  <w:r>
                    <w:rPr>
                      <w:rFonts w:hint="eastAsia" w:ascii="宋体" w:hAnsi="宋体" w:eastAsia="宋体" w:cs="宋体"/>
                      <w:b w:val="0"/>
                      <w:bCs/>
                      <w:i w:val="0"/>
                      <w:color w:val="000000"/>
                      <w:sz w:val="22"/>
                      <w:szCs w:val="22"/>
                      <w:u w:val="none"/>
                      <w:lang w:val="en-US" w:eastAsia="zh-CN"/>
                    </w:rPr>
                    <w:t>895.64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single" w:color="FBF1D7" w:sz="0" w:space="0"/>
                    <w:left w:val="single" w:color="FFFFFF" w:sz="0" w:space="0"/>
                    <w:bottom w:val="single" w:color="E9AD1D" w:sz="0" w:space="0"/>
                    <w:right w:val="single" w:color="FFFFFF" w:sz="0" w:space="0"/>
                  </w:tcBorders>
                  <w:shd w:val="clear" w:color="auto" w:fill="FBF1D7"/>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pStyle w:val="2"/>
                    <w:rPr>
                      <w:rFonts w:hint="eastAsia"/>
                      <w:color w:val="000000"/>
                      <w:lang w:val="en-US" w:eastAsia="zh-CN"/>
                    </w:rPr>
                  </w:pPr>
                </w:p>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27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53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4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4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808"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74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道县人民代表大</w:t>
            </w:r>
            <w:r>
              <w:rPr>
                <w:rFonts w:hint="eastAsia"/>
              </w:rPr>
              <w:t>　</w:t>
            </w:r>
          </w:p>
        </w:tc>
        <w:tc>
          <w:tcPr>
            <w:tcW w:w="1665" w:type="dxa"/>
            <w:tcBorders>
              <w:top w:val="nil"/>
              <w:left w:val="nil"/>
              <w:bottom w:val="nil"/>
              <w:right w:val="nil"/>
            </w:tcBorders>
            <w:shd w:val="clear" w:color="000000" w:fill="FFFFFF"/>
            <w:noWrap/>
            <w:tcMar>
              <w:top w:w="15" w:type="dxa"/>
              <w:left w:w="15" w:type="dxa"/>
              <w:bottom w:w="0" w:type="dxa"/>
              <w:right w:w="15" w:type="dxa"/>
            </w:tcMar>
            <w:vAlign w:val="center"/>
          </w:tcPr>
          <w:p>
            <w:pPr>
              <w:jc w:val="left"/>
              <w:rPr>
                <w:rFonts w:ascii="宋体" w:hAnsi="宋体" w:eastAsia="宋体" w:cs="宋体"/>
                <w:sz w:val="24"/>
                <w:szCs w:val="24"/>
              </w:rPr>
            </w:pPr>
            <w:r>
              <w:rPr>
                <w:rFonts w:hint="eastAsia" w:ascii="宋体" w:hAnsi="宋体" w:eastAsia="宋体" w:cs="宋体"/>
                <w:i w:val="0"/>
                <w:color w:val="000000"/>
                <w:kern w:val="0"/>
                <w:sz w:val="20"/>
                <w:szCs w:val="20"/>
                <w:u w:val="none"/>
                <w:lang w:val="en-US" w:eastAsia="zh-CN" w:bidi="ar"/>
              </w:rPr>
              <w:t>会常务委员会</w:t>
            </w:r>
            <w:r>
              <w:rPr>
                <w:rFonts w:hint="eastAsia"/>
              </w:rPr>
              <w:t>　</w:t>
            </w:r>
          </w:p>
        </w:tc>
        <w:tc>
          <w:tcPr>
            <w:tcW w:w="16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41"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254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69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5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6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80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74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808"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40"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6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254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66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5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6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2548"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895.64</w:t>
            </w:r>
            <w:r>
              <w:rPr>
                <w:rFonts w:hint="eastAsia"/>
              </w:rPr>
              <w:t>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895.64</w:t>
            </w:r>
            <w:r>
              <w:rPr>
                <w:rFonts w:hint="eastAsia"/>
              </w:rPr>
              <w:t>　</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2101101</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行政单位医疗</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28.75</w:t>
            </w:r>
            <w:r>
              <w:rPr>
                <w:rFonts w:hint="eastAsia"/>
              </w:rPr>
              <w:t>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28.75</w:t>
            </w:r>
            <w:r>
              <w:rPr>
                <w:rFonts w:hint="eastAsia"/>
              </w:rPr>
              <w:t>　</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sz w:val="24"/>
                <w:szCs w:val="24"/>
                <w:lang w:val="en-US" w:eastAsia="zh-CN"/>
              </w:rPr>
            </w:pPr>
            <w:r>
              <w:rPr>
                <w:rFonts w:hint="eastAsia"/>
                <w:lang w:val="en-US" w:eastAsia="zh-CN"/>
              </w:rPr>
              <w:t>2010101</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r>
              <w:rPr>
                <w:rFonts w:hint="eastAsia"/>
              </w:rPr>
              <w:t>行政运行</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lang w:val="en-US" w:eastAsia="zh-CN"/>
              </w:rPr>
              <w:t>563.93</w:t>
            </w:r>
            <w:r>
              <w:rPr>
                <w:rFonts w:hint="eastAsia" w:ascii="华文中宋" w:hAnsi="华文中宋" w:eastAsia="华文中宋"/>
              </w:rPr>
              <w:t>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kern w:val="2"/>
                <w:sz w:val="24"/>
                <w:szCs w:val="24"/>
                <w:lang w:val="en-US" w:eastAsia="zh-CN" w:bidi="ar-SA"/>
              </w:rPr>
            </w:pPr>
            <w:r>
              <w:rPr>
                <w:rFonts w:hint="eastAsia" w:ascii="华文中宋" w:hAnsi="华文中宋" w:eastAsia="华文中宋"/>
                <w:lang w:val="en-US" w:eastAsia="zh-CN"/>
              </w:rPr>
              <w:t>563.93</w:t>
            </w:r>
            <w:r>
              <w:rPr>
                <w:rFonts w:hint="eastAsia" w:ascii="华文中宋" w:hAnsi="华文中宋" w:eastAsia="华文中宋"/>
              </w:rPr>
              <w:t>　</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sz w:val="24"/>
                <w:szCs w:val="24"/>
                <w:lang w:val="en-US" w:eastAsia="zh-CN"/>
              </w:rPr>
            </w:pPr>
            <w:r>
              <w:rPr>
                <w:rFonts w:hint="eastAsia"/>
                <w:lang w:val="en-US" w:eastAsia="zh-CN"/>
              </w:rPr>
              <w:t>2010199</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r>
              <w:rPr>
                <w:rFonts w:hint="eastAsia"/>
              </w:rPr>
              <w:t>其他人大事务支出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101.89</w:t>
            </w:r>
            <w:r>
              <w:rPr>
                <w:rFonts w:hint="eastAsia"/>
              </w:rPr>
              <w:t>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101.89</w:t>
            </w:r>
            <w:r>
              <w:rPr>
                <w:rFonts w:hint="eastAsia"/>
              </w:rPr>
              <w:t>　</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lang w:val="en-US" w:eastAsia="zh-CN"/>
              </w:rPr>
            </w:pPr>
            <w:r>
              <w:rPr>
                <w:rFonts w:hint="eastAsia"/>
                <w:lang w:val="en-US" w:eastAsia="zh-CN"/>
              </w:rPr>
              <w:t>2010104</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lang w:val="en-US" w:eastAsia="zh-CN"/>
              </w:rPr>
            </w:pPr>
            <w:r>
              <w:rPr>
                <w:rFonts w:hint="eastAsia"/>
                <w:lang w:val="en-US" w:eastAsia="zh-CN"/>
              </w:rPr>
              <w:t>人大会议</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lang w:val="en-US" w:eastAsia="zh-CN"/>
              </w:rPr>
            </w:pPr>
            <w:r>
              <w:rPr>
                <w:rFonts w:hint="eastAsia"/>
                <w:lang w:val="en-US" w:eastAsia="zh-CN"/>
              </w:rPr>
              <w:t>98.7</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98.7</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eastAsia="宋体" w:cs="宋体"/>
                <w:sz w:val="24"/>
                <w:szCs w:val="24"/>
                <w:lang w:val="en-US" w:eastAsia="zh-CN"/>
              </w:rPr>
            </w:pPr>
            <w:r>
              <w:rPr>
                <w:rFonts w:hint="eastAsia"/>
                <w:lang w:val="en-US" w:eastAsia="zh-CN"/>
              </w:rPr>
              <w:t>2013299</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ascii="宋体" w:hAnsi="宋体" w:cs="宋体" w:eastAsiaTheme="minorEastAsia"/>
                <w:sz w:val="24"/>
                <w:szCs w:val="24"/>
                <w:lang w:val="en-US" w:eastAsia="zh-CN"/>
              </w:rPr>
            </w:pPr>
            <w:r>
              <w:rPr>
                <w:rFonts w:hint="eastAsia"/>
                <w:lang w:val="en-US" w:eastAsia="zh-CN"/>
              </w:rPr>
              <w:t>其他组织事务支出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lang w:val="en-US" w:eastAsia="zh-CN"/>
              </w:rPr>
              <w:t>4.5</w:t>
            </w:r>
            <w:r>
              <w:rPr>
                <w:rFonts w:hint="eastAsia"/>
              </w:rPr>
              <w:t>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r>
              <w:rPr>
                <w:rFonts w:hint="eastAsia"/>
                <w:lang w:val="en-US" w:eastAsia="zh-CN"/>
              </w:rPr>
              <w:t>4.5</w:t>
            </w:r>
            <w:r>
              <w:rPr>
                <w:rFonts w:hint="eastAsia"/>
              </w:rPr>
              <w:t>　</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Theme="minorHAnsi" w:hAnsiTheme="minorHAnsi" w:eastAsiaTheme="minorEastAsia" w:cstheme="minorBidi"/>
                <w:kern w:val="2"/>
                <w:sz w:val="21"/>
                <w:szCs w:val="22"/>
                <w:lang w:val="en-US" w:eastAsia="zh-CN" w:bidi="ar-SA"/>
              </w:rPr>
            </w:pPr>
            <w:r>
              <w:rPr>
                <w:rFonts w:hint="eastAsia"/>
                <w:lang w:val="en-US" w:eastAsia="zh-CN"/>
              </w:rPr>
              <w:t>2010108</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asciiTheme="minorHAnsi" w:hAnsiTheme="minorHAnsi" w:eastAsiaTheme="minorEastAsia" w:cstheme="minorBidi"/>
                <w:kern w:val="2"/>
                <w:sz w:val="21"/>
                <w:szCs w:val="22"/>
                <w:lang w:val="en-US" w:eastAsia="zh-CN" w:bidi="ar-SA"/>
              </w:rPr>
            </w:pPr>
            <w:r>
              <w:rPr>
                <w:rFonts w:hint="eastAsia"/>
              </w:rPr>
              <w:t>代表工作</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41.82</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41.82</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Theme="minorEastAsia"/>
                <w:lang w:val="en-US" w:eastAsia="zh-CN"/>
              </w:rPr>
            </w:pPr>
            <w:r>
              <w:rPr>
                <w:rFonts w:hint="eastAsia"/>
                <w:lang w:val="en-US" w:eastAsia="zh-CN"/>
              </w:rPr>
              <w:t>2080505</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rPr>
            </w:pPr>
            <w:r>
              <w:rPr>
                <w:rFonts w:hint="eastAsia"/>
              </w:rPr>
              <w:t>机关事业单位基本养老保险缴费支出</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r>
              <w:rPr>
                <w:rFonts w:hint="eastAsia"/>
                <w:lang w:val="en-US" w:eastAsia="zh-CN"/>
              </w:rPr>
              <w:t>52.96</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52.96</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Theme="minorEastAsia"/>
                <w:lang w:val="en-US" w:eastAsia="zh-CN"/>
              </w:rPr>
            </w:pPr>
            <w:r>
              <w:rPr>
                <w:rFonts w:hint="eastAsia"/>
                <w:lang w:val="en-US" w:eastAsia="zh-CN"/>
              </w:rPr>
              <w:t>2080801</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rPr>
            </w:pPr>
            <w:r>
              <w:rPr>
                <w:rFonts w:hint="eastAsia"/>
              </w:rPr>
              <w:t>死亡抚恤</w:t>
            </w: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eastAsiaTheme="minorEastAsia"/>
                <w:lang w:val="en-US" w:eastAsia="zh-CN"/>
              </w:rPr>
            </w:pPr>
            <w:r>
              <w:rPr>
                <w:rFonts w:hint="eastAsia"/>
                <w:lang w:val="en-US" w:eastAsia="zh-CN"/>
              </w:rPr>
              <w:t>3.1</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3.1</w:t>
            </w: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450" w:hRule="atLeast"/>
        </w:trPr>
        <w:tc>
          <w:tcPr>
            <w:tcW w:w="80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sz w:val="24"/>
                <w:szCs w:val="24"/>
                <w:lang w:val="en-US" w:eastAsia="zh-CN"/>
              </w:rPr>
            </w:pP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sz w:val="24"/>
                <w:szCs w:val="24"/>
              </w:rPr>
            </w:pPr>
          </w:p>
        </w:tc>
        <w:tc>
          <w:tcPr>
            <w:tcW w:w="166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kern w:val="2"/>
                <w:sz w:val="24"/>
                <w:szCs w:val="24"/>
                <w:lang w:val="en-US" w:eastAsia="zh-CN" w:bidi="ar-SA"/>
              </w:rPr>
            </w:pPr>
          </w:p>
        </w:tc>
        <w:tc>
          <w:tcPr>
            <w:tcW w:w="15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6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9"/>
        <w:tblW w:w="15833" w:type="dxa"/>
        <w:tblInd w:w="93" w:type="dxa"/>
        <w:tblLayout w:type="fixed"/>
        <w:tblCellMar>
          <w:top w:w="0" w:type="dxa"/>
          <w:left w:w="108" w:type="dxa"/>
          <w:bottom w:w="0" w:type="dxa"/>
          <w:right w:w="108" w:type="dxa"/>
        </w:tblCellMar>
      </w:tblPr>
      <w:tblGrid>
        <w:gridCol w:w="1236"/>
        <w:gridCol w:w="240"/>
        <w:gridCol w:w="2047"/>
        <w:gridCol w:w="1602"/>
        <w:gridCol w:w="1991"/>
        <w:gridCol w:w="1991"/>
        <w:gridCol w:w="1991"/>
        <w:gridCol w:w="1991"/>
        <w:gridCol w:w="2744"/>
      </w:tblGrid>
      <w:tr>
        <w:tblPrEx>
          <w:tblCellMar>
            <w:top w:w="0" w:type="dxa"/>
            <w:left w:w="108" w:type="dxa"/>
            <w:bottom w:w="0" w:type="dxa"/>
            <w:right w:w="108" w:type="dxa"/>
          </w:tblCellMar>
        </w:tblPrEx>
        <w:trPr>
          <w:trHeight w:val="642" w:hRule="atLeast"/>
        </w:trPr>
        <w:tc>
          <w:tcPr>
            <w:tcW w:w="15833"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47"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0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3889" w:type="dxa"/>
            <w:gridSpan w:val="3"/>
            <w:tcBorders>
              <w:top w:val="nil"/>
              <w:left w:val="nil"/>
              <w:bottom w:val="nil"/>
              <w:right w:val="nil"/>
            </w:tcBorders>
            <w:shd w:val="clear" w:color="000000" w:fill="FFFFFF"/>
            <w:noWrap/>
            <w:vAlign w:val="center"/>
          </w:tcPr>
          <w:p>
            <w:pPr>
              <w:widowControl/>
              <w:jc w:val="both"/>
              <w:rPr>
                <w:rFonts w:ascii="宋体" w:hAnsi="宋体" w:eastAsia="宋体" w:cs="宋体"/>
                <w:kern w:val="0"/>
                <w:sz w:val="24"/>
                <w:szCs w:val="24"/>
              </w:rPr>
            </w:pPr>
            <w:r>
              <w:rPr>
                <w:rFonts w:hint="eastAsia" w:ascii="宋体" w:hAnsi="宋体" w:eastAsia="宋体" w:cs="宋体"/>
                <w:kern w:val="0"/>
                <w:sz w:val="24"/>
                <w:szCs w:val="24"/>
                <w:lang w:val="en-US" w:eastAsia="zh-CN"/>
              </w:rPr>
              <w:t>道</w:t>
            </w:r>
            <w:r>
              <w:rPr>
                <w:rFonts w:hint="eastAsia" w:ascii="宋体" w:hAnsi="宋体" w:eastAsia="宋体" w:cs="宋体"/>
                <w:i w:val="0"/>
                <w:color w:val="000000"/>
                <w:kern w:val="0"/>
                <w:sz w:val="20"/>
                <w:szCs w:val="20"/>
                <w:u w:val="none"/>
                <w:lang w:val="en-US" w:eastAsia="zh-CN" w:bidi="ar"/>
              </w:rPr>
              <w:t>县人民代表大会常务委员会</w:t>
            </w: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25" w:hRule="atLeast"/>
        </w:trPr>
        <w:tc>
          <w:tcPr>
            <w:tcW w:w="352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0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7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047"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0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47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04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0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430" w:hRule="atLeast"/>
        </w:trPr>
        <w:tc>
          <w:tcPr>
            <w:tcW w:w="352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0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370" w:hRule="atLeast"/>
        </w:trPr>
        <w:tc>
          <w:tcPr>
            <w:tcW w:w="352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r>
              <w:rPr>
                <w:rFonts w:hint="eastAsia"/>
                <w:lang w:val="en-US" w:eastAsia="zh-CN"/>
              </w:rPr>
              <w:t>895.64</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653.84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241.8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3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r>
              <w:rPr>
                <w:rFonts w:hint="eastAsia"/>
              </w:rPr>
              <w:t>2101101</w:t>
            </w:r>
          </w:p>
        </w:tc>
        <w:tc>
          <w:tcPr>
            <w:tcW w:w="2047"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r>
              <w:rPr>
                <w:rFonts w:hint="eastAsia"/>
              </w:rPr>
              <w:t>行政单位医疗</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b w:val="0"/>
                <w:bCs w:val="0"/>
                <w:kern w:val="2"/>
                <w:sz w:val="24"/>
                <w:szCs w:val="24"/>
                <w:lang w:val="en-US" w:eastAsia="zh-CN" w:bidi="ar-SA"/>
              </w:rPr>
            </w:pPr>
            <w:r>
              <w:rPr>
                <w:rFonts w:hint="eastAsia"/>
                <w:lang w:val="en-US" w:eastAsia="zh-CN"/>
              </w:rPr>
              <w:t>28.75</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28.75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lang w:val="en-US" w:eastAsia="zh-CN"/>
              </w:rPr>
              <w:t>2010101</w:t>
            </w:r>
          </w:p>
        </w:tc>
        <w:tc>
          <w:tcPr>
            <w:tcW w:w="2047" w:type="dxa"/>
            <w:tcBorders>
              <w:top w:val="nil"/>
              <w:left w:val="nil"/>
              <w:bottom w:val="single" w:color="auto" w:sz="4" w:space="0"/>
              <w:right w:val="single" w:color="auto" w:sz="4" w:space="0"/>
            </w:tcBorders>
            <w:shd w:val="clear" w:color="000000" w:fill="FFFFFF"/>
            <w:noWrap/>
            <w:vAlign w:val="center"/>
          </w:tcPr>
          <w:p>
            <w:pPr>
              <w:jc w:val="both"/>
              <w:rPr>
                <w:rFonts w:ascii="宋体" w:hAnsi="宋体" w:eastAsia="宋体" w:cs="宋体"/>
                <w:kern w:val="2"/>
                <w:sz w:val="24"/>
                <w:szCs w:val="24"/>
                <w:lang w:val="en-US" w:eastAsia="zh-CN" w:bidi="ar-SA"/>
              </w:rPr>
            </w:pPr>
            <w:r>
              <w:rPr>
                <w:rFonts w:hint="eastAsia"/>
              </w:rPr>
              <w:t>行政运行</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ascii="华文中宋" w:hAnsi="华文中宋" w:eastAsia="华文中宋" w:cs="宋体"/>
                <w:b w:val="0"/>
                <w:bCs w:val="0"/>
                <w:kern w:val="2"/>
                <w:sz w:val="24"/>
                <w:szCs w:val="24"/>
                <w:lang w:val="en-US" w:eastAsia="zh-CN" w:bidi="ar-SA"/>
              </w:rPr>
            </w:pPr>
            <w:r>
              <w:rPr>
                <w:rFonts w:hint="eastAsia" w:ascii="华文中宋" w:hAnsi="华文中宋" w:eastAsia="华文中宋"/>
                <w:lang w:val="en-US" w:eastAsia="zh-CN"/>
              </w:rPr>
              <w:t>563.93</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563.93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0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lang w:val="en-US" w:eastAsia="zh-CN"/>
              </w:rPr>
              <w:t>2010199</w:t>
            </w:r>
          </w:p>
        </w:tc>
        <w:tc>
          <w:tcPr>
            <w:tcW w:w="2047" w:type="dxa"/>
            <w:tcBorders>
              <w:top w:val="nil"/>
              <w:left w:val="nil"/>
              <w:bottom w:val="single" w:color="auto" w:sz="4" w:space="0"/>
              <w:right w:val="single" w:color="auto" w:sz="4" w:space="0"/>
            </w:tcBorders>
            <w:shd w:val="clear" w:color="000000" w:fill="FFFFFF"/>
            <w:noWrap/>
            <w:vAlign w:val="center"/>
          </w:tcPr>
          <w:p>
            <w:pPr>
              <w:jc w:val="both"/>
              <w:rPr>
                <w:rFonts w:ascii="宋体" w:hAnsi="宋体" w:eastAsia="宋体" w:cs="宋体"/>
                <w:kern w:val="2"/>
                <w:sz w:val="24"/>
                <w:szCs w:val="24"/>
                <w:lang w:val="en-US" w:eastAsia="zh-CN" w:bidi="ar-SA"/>
              </w:rPr>
            </w:pPr>
            <w:r>
              <w:rPr>
                <w:rFonts w:hint="eastAsia"/>
              </w:rPr>
              <w:t>其他人大事务支出</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r>
              <w:rPr>
                <w:rFonts w:hint="eastAsia"/>
                <w:lang w:val="en-US" w:eastAsia="zh-CN"/>
              </w:rPr>
              <w:t>101.89</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101.89</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400"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eastAsia="宋体" w:cs="宋体"/>
                <w:kern w:val="2"/>
                <w:sz w:val="24"/>
                <w:szCs w:val="24"/>
                <w:lang w:val="en-US" w:eastAsia="zh-CN" w:bidi="ar-SA"/>
              </w:rPr>
            </w:pPr>
            <w:r>
              <w:rPr>
                <w:rFonts w:hint="eastAsia"/>
                <w:lang w:val="en-US" w:eastAsia="zh-CN"/>
              </w:rPr>
              <w:t>2010104</w:t>
            </w:r>
          </w:p>
        </w:tc>
        <w:tc>
          <w:tcPr>
            <w:tcW w:w="2047" w:type="dxa"/>
            <w:tcBorders>
              <w:top w:val="nil"/>
              <w:left w:val="nil"/>
              <w:bottom w:val="single" w:color="auto" w:sz="4" w:space="0"/>
              <w:right w:val="single" w:color="auto" w:sz="4" w:space="0"/>
            </w:tcBorders>
            <w:shd w:val="clear" w:color="000000" w:fill="FFFFFF"/>
            <w:noWrap/>
            <w:vAlign w:val="center"/>
          </w:tcPr>
          <w:p>
            <w:pPr>
              <w:jc w:val="both"/>
              <w:rPr>
                <w:rFonts w:hint="default" w:ascii="宋体" w:hAnsi="宋体" w:cs="宋体" w:eastAsiaTheme="minorEastAsia"/>
                <w:kern w:val="2"/>
                <w:sz w:val="24"/>
                <w:szCs w:val="24"/>
                <w:lang w:val="en-US" w:eastAsia="zh-CN" w:bidi="ar-SA"/>
              </w:rPr>
            </w:pPr>
            <w:r>
              <w:rPr>
                <w:rFonts w:hint="eastAsia"/>
                <w:lang w:val="en-US" w:eastAsia="zh-CN"/>
              </w:rPr>
              <w:t>人大会议</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r>
              <w:rPr>
                <w:rFonts w:hint="eastAsia"/>
                <w:lang w:val="en-US" w:eastAsia="zh-CN"/>
              </w:rPr>
              <w:t>98.7</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98.7</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lang w:val="en-US" w:eastAsia="zh-CN"/>
              </w:rPr>
              <w:t>2013299</w:t>
            </w:r>
          </w:p>
        </w:tc>
        <w:tc>
          <w:tcPr>
            <w:tcW w:w="2047" w:type="dxa"/>
            <w:tcBorders>
              <w:top w:val="nil"/>
              <w:left w:val="nil"/>
              <w:bottom w:val="single" w:color="auto" w:sz="4" w:space="0"/>
              <w:right w:val="single" w:color="auto" w:sz="4" w:space="0"/>
            </w:tcBorders>
            <w:shd w:val="clear" w:color="000000" w:fill="FFFFFF"/>
            <w:noWrap/>
            <w:vAlign w:val="center"/>
          </w:tcPr>
          <w:p>
            <w:pPr>
              <w:jc w:val="both"/>
              <w:rPr>
                <w:rFonts w:hint="default" w:ascii="宋体" w:hAnsi="宋体" w:cs="宋体" w:eastAsiaTheme="minorEastAsia"/>
                <w:kern w:val="2"/>
                <w:sz w:val="24"/>
                <w:szCs w:val="24"/>
                <w:lang w:val="en-US" w:eastAsia="zh-CN" w:bidi="ar-SA"/>
              </w:rPr>
            </w:pPr>
            <w:r>
              <w:rPr>
                <w:rFonts w:hint="eastAsia"/>
                <w:lang w:val="en-US" w:eastAsia="zh-CN"/>
              </w:rPr>
              <w:t>其他组织事务支出</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r>
              <w:rPr>
                <w:rFonts w:hint="eastAsia"/>
                <w:lang w:val="en-US" w:eastAsia="zh-CN"/>
              </w:rPr>
              <w:t>4.5</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r>
              <w:rPr>
                <w:rFonts w:hint="eastAsia"/>
                <w:lang w:val="en-US" w:eastAsia="zh-CN"/>
              </w:rPr>
              <w:t>4.5　</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2010108</w:t>
            </w:r>
          </w:p>
        </w:tc>
        <w:tc>
          <w:tcPr>
            <w:tcW w:w="2047" w:type="dxa"/>
            <w:tcBorders>
              <w:top w:val="nil"/>
              <w:left w:val="nil"/>
              <w:bottom w:val="single" w:color="auto" w:sz="4" w:space="0"/>
              <w:right w:val="single" w:color="auto" w:sz="4" w:space="0"/>
            </w:tcBorders>
            <w:shd w:val="clear" w:color="000000" w:fill="FFFFFF"/>
            <w:noWrap/>
            <w:vAlign w:val="center"/>
          </w:tcPr>
          <w:p>
            <w:pPr>
              <w:jc w:val="both"/>
              <w:rPr>
                <w:rFonts w:hint="eastAsia" w:asciiTheme="minorHAnsi" w:hAnsiTheme="minorHAnsi" w:eastAsiaTheme="minorEastAsia" w:cstheme="minorBidi"/>
                <w:kern w:val="2"/>
                <w:sz w:val="21"/>
                <w:szCs w:val="22"/>
                <w:lang w:val="en-US" w:eastAsia="zh-CN" w:bidi="ar-SA"/>
              </w:rPr>
            </w:pPr>
            <w:r>
              <w:rPr>
                <w:rFonts w:hint="eastAsia"/>
              </w:rPr>
              <w:t>代表工作</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41.82</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41.82</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4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2047" w:type="dxa"/>
            <w:tcBorders>
              <w:top w:val="nil"/>
              <w:left w:val="nil"/>
              <w:bottom w:val="single" w:color="auto" w:sz="4" w:space="0"/>
              <w:right w:val="single" w:color="auto" w:sz="4" w:space="0"/>
            </w:tcBorders>
            <w:shd w:val="clear" w:color="000000" w:fill="FFFFFF"/>
            <w:noWrap/>
            <w:vAlign w:val="center"/>
          </w:tcPr>
          <w:p>
            <w:pPr>
              <w:jc w:val="both"/>
              <w:rPr>
                <w:rFonts w:hint="eastAsia" w:asciiTheme="minorHAnsi" w:hAnsiTheme="minorHAnsi" w:eastAsiaTheme="minorEastAsia" w:cstheme="minorBidi"/>
                <w:kern w:val="2"/>
                <w:sz w:val="21"/>
                <w:szCs w:val="22"/>
                <w:lang w:val="en-US" w:eastAsia="zh-CN" w:bidi="ar-SA"/>
              </w:rPr>
            </w:pPr>
            <w:r>
              <w:rPr>
                <w:rFonts w:hint="eastAsia"/>
              </w:rPr>
              <w:t>机关事业单位基本养老保险缴费支出</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52.96</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52.96</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47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2080801</w:t>
            </w:r>
          </w:p>
        </w:tc>
        <w:tc>
          <w:tcPr>
            <w:tcW w:w="2047" w:type="dxa"/>
            <w:tcBorders>
              <w:top w:val="nil"/>
              <w:left w:val="nil"/>
              <w:bottom w:val="single" w:color="auto" w:sz="4" w:space="0"/>
              <w:right w:val="single" w:color="auto" w:sz="4" w:space="0"/>
            </w:tcBorders>
            <w:shd w:val="clear" w:color="000000" w:fill="FFFFFF"/>
            <w:noWrap/>
            <w:vAlign w:val="center"/>
          </w:tcPr>
          <w:p>
            <w:pPr>
              <w:jc w:val="both"/>
              <w:rPr>
                <w:rFonts w:hint="eastAsia" w:asciiTheme="minorHAnsi" w:hAnsiTheme="minorHAnsi" w:eastAsiaTheme="minorEastAsia" w:cstheme="minorBidi"/>
                <w:kern w:val="2"/>
                <w:sz w:val="21"/>
                <w:szCs w:val="22"/>
                <w:lang w:val="en-US" w:eastAsia="zh-CN" w:bidi="ar-SA"/>
              </w:rPr>
            </w:pPr>
            <w:r>
              <w:rPr>
                <w:rFonts w:hint="eastAsia"/>
              </w:rPr>
              <w:t>死亡抚恤</w:t>
            </w:r>
          </w:p>
        </w:tc>
        <w:tc>
          <w:tcPr>
            <w:tcW w:w="1602" w:type="dxa"/>
            <w:tcBorders>
              <w:top w:val="nil"/>
              <w:left w:val="nil"/>
              <w:bottom w:val="single" w:color="auto" w:sz="4" w:space="0"/>
              <w:right w:val="single" w:color="auto" w:sz="4" w:space="0"/>
            </w:tcBorders>
            <w:shd w:val="clear" w:color="auto" w:fill="auto"/>
            <w:noWrap/>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3.1</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default"/>
                <w:lang w:val="en-US" w:eastAsia="zh-CN"/>
              </w:rPr>
            </w:pPr>
            <w:r>
              <w:rPr>
                <w:rFonts w:hint="eastAsia"/>
                <w:lang w:val="en-US" w:eastAsia="zh-CN"/>
              </w:rPr>
              <w:t>3.1</w:t>
            </w:r>
          </w:p>
        </w:tc>
        <w:tc>
          <w:tcPr>
            <w:tcW w:w="1991" w:type="dxa"/>
            <w:tcBorders>
              <w:top w:val="nil"/>
              <w:left w:val="nil"/>
              <w:bottom w:val="single" w:color="auto" w:sz="4" w:space="0"/>
              <w:right w:val="single" w:color="auto" w:sz="4" w:space="0"/>
            </w:tcBorders>
            <w:shd w:val="clear" w:color="auto" w:fill="auto"/>
            <w:noWrap/>
            <w:vAlign w:val="center"/>
          </w:tcPr>
          <w:p>
            <w:pPr>
              <w:jc w:val="right"/>
              <w:rPr>
                <w:rFonts w:hint="eastAsia"/>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76"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p>
        </w:tc>
        <w:tc>
          <w:tcPr>
            <w:tcW w:w="2047"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2"/>
                <w:sz w:val="24"/>
                <w:szCs w:val="24"/>
                <w:lang w:val="en-US" w:eastAsia="zh-CN" w:bidi="ar-SA"/>
              </w:rPr>
            </w:pPr>
          </w:p>
        </w:tc>
        <w:tc>
          <w:tcPr>
            <w:tcW w:w="1602"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2"/>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833"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4" w:name="RANGE!A1:I22"/>
            <w:bookmarkEnd w:id="4"/>
            <w:bookmarkStart w:id="5"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hint="eastAsia" w:ascii="宋体" w:hAnsi="宋体" w:eastAsia="宋体" w:cs="宋体"/>
                <w:kern w:val="0"/>
                <w:sz w:val="24"/>
                <w:szCs w:val="24"/>
                <w:lang w:val="en-US" w:eastAsia="zh-CN"/>
              </w:rPr>
              <w:t>道</w:t>
            </w:r>
            <w:r>
              <w:rPr>
                <w:rFonts w:hint="eastAsia" w:ascii="宋体" w:hAnsi="宋体" w:eastAsia="宋体" w:cs="宋体"/>
                <w:i w:val="0"/>
                <w:color w:val="000000"/>
                <w:kern w:val="0"/>
                <w:sz w:val="20"/>
                <w:szCs w:val="20"/>
                <w:u w:val="none"/>
                <w:lang w:val="en-US" w:eastAsia="zh-CN" w:bidi="ar"/>
              </w:rPr>
              <w:t>县人民代表大会常务委员会</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895.64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810.84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810.84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4"/>
                <w:szCs w:val="24"/>
              </w:rPr>
            </w:pPr>
            <w:r>
              <w:rPr>
                <w:rFonts w:hint="eastAsia" w:ascii="宋体" w:hAnsi="宋体" w:eastAsia="宋体" w:cs="宋体"/>
                <w:i w:val="0"/>
                <w:color w:val="000000"/>
                <w:sz w:val="22"/>
                <w:szCs w:val="22"/>
                <w:u w:val="none"/>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56.05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lang w:val="en-US" w:eastAsia="zh-CN"/>
              </w:rPr>
              <w:t>56.05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r>
              <w:rPr>
                <w:rFonts w:hint="eastAsia" w:ascii="宋体" w:hAnsi="宋体" w:eastAsia="宋体" w:cs="宋体"/>
                <w:i w:val="0"/>
                <w:color w:val="000000"/>
                <w:sz w:val="22"/>
                <w:szCs w:val="22"/>
                <w:u w:val="none"/>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28.75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szCs w:val="22"/>
                <w:lang w:val="en-US" w:eastAsia="zh-CN" w:bidi="ar-SA"/>
              </w:rPr>
            </w:pPr>
            <w:r>
              <w:rPr>
                <w:rFonts w:hint="eastAsia" w:ascii="宋体" w:hAnsi="宋体" w:eastAsia="宋体" w:cs="宋体"/>
                <w:kern w:val="0"/>
                <w:sz w:val="22"/>
                <w:lang w:val="en-US" w:eastAsia="zh-CN"/>
              </w:rPr>
              <w:t>28.75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895.64</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895.64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895.64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5"/>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道县人民代表大会常务委员会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lang w:val="en-US" w:eastAsia="zh-CN"/>
              </w:rPr>
              <w:t>895.64</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lang w:val="en-US" w:eastAsia="zh-CN"/>
              </w:rPr>
              <w:t>653.84　</w:t>
            </w:r>
          </w:p>
        </w:tc>
        <w:tc>
          <w:tcPr>
            <w:tcW w:w="3000" w:type="dxa"/>
            <w:tcBorders>
              <w:top w:val="nil"/>
              <w:left w:val="nil"/>
              <w:bottom w:val="single" w:color="auto" w:sz="4" w:space="0"/>
              <w:right w:val="single" w:color="auto" w:sz="8" w:space="0"/>
            </w:tcBorders>
            <w:shd w:val="clear" w:color="auto" w:fill="auto"/>
            <w:vAlign w:val="center"/>
          </w:tcPr>
          <w:p>
            <w:pPr>
              <w:jc w:val="right"/>
              <w:rPr>
                <w:rFonts w:hint="default" w:ascii="Times New Roman" w:hAnsi="Times New Roman" w:eastAsia="仿宋_GB2312" w:cs="Times New Roman"/>
                <w:kern w:val="0"/>
                <w:szCs w:val="21"/>
                <w:lang w:val="en-US" w:eastAsia="zh-CN"/>
              </w:rPr>
            </w:pPr>
            <w:r>
              <w:rPr>
                <w:rFonts w:hint="eastAsia"/>
                <w:lang w:val="en-US" w:eastAsia="zh-CN"/>
              </w:rPr>
              <w:t>241.8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ascii="宋体" w:hAnsi="宋体" w:eastAsia="宋体" w:cs="宋体"/>
                <w:kern w:val="2"/>
                <w:sz w:val="24"/>
                <w:szCs w:val="24"/>
                <w:lang w:val="en-US" w:eastAsia="zh-CN" w:bidi="ar-SA"/>
              </w:rPr>
            </w:pPr>
            <w:r>
              <w:rPr>
                <w:rFonts w:hint="eastAsia"/>
              </w:rPr>
              <w:t>2101101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kern w:val="2"/>
                <w:sz w:val="24"/>
                <w:szCs w:val="24"/>
                <w:lang w:val="en-US" w:eastAsia="zh-CN" w:bidi="ar-SA"/>
              </w:rPr>
            </w:pPr>
            <w:r>
              <w:rPr>
                <w:rFonts w:hint="eastAsia"/>
              </w:rPr>
              <w:t>行政单位医疗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lang w:val="en-US" w:eastAsia="zh-CN"/>
              </w:rPr>
              <w:t>28.75</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lang w:val="en-US" w:eastAsia="zh-CN"/>
              </w:rPr>
              <w:t>28.75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宋体" w:hAnsi="宋体" w:cs="宋体" w:eastAsiaTheme="minorEastAsia"/>
                <w:kern w:val="2"/>
                <w:sz w:val="24"/>
                <w:szCs w:val="24"/>
                <w:lang w:val="en-US" w:eastAsia="zh-CN" w:bidi="ar-SA"/>
              </w:rPr>
            </w:pPr>
            <w:r>
              <w:rPr>
                <w:rFonts w:hint="eastAsia"/>
                <w:lang w:val="en-US" w:eastAsia="zh-CN"/>
              </w:rPr>
              <w:t>2010101</w:t>
            </w:r>
          </w:p>
        </w:tc>
        <w:tc>
          <w:tcPr>
            <w:tcW w:w="3527" w:type="dxa"/>
            <w:tcBorders>
              <w:top w:val="nil"/>
              <w:left w:val="nil"/>
              <w:bottom w:val="single" w:color="auto" w:sz="4" w:space="0"/>
              <w:right w:val="single" w:color="auto" w:sz="4" w:space="0"/>
            </w:tcBorders>
            <w:shd w:val="clear" w:color="auto" w:fill="auto"/>
            <w:vAlign w:val="center"/>
          </w:tcPr>
          <w:p>
            <w:pPr>
              <w:jc w:val="both"/>
              <w:rPr>
                <w:rFonts w:ascii="宋体" w:hAnsi="宋体" w:eastAsia="宋体" w:cs="宋体"/>
                <w:kern w:val="2"/>
                <w:sz w:val="24"/>
                <w:szCs w:val="24"/>
                <w:lang w:val="en-US" w:eastAsia="zh-CN" w:bidi="ar-SA"/>
              </w:rPr>
            </w:pPr>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b w:val="0"/>
                <w:bCs w:val="0"/>
                <w:kern w:val="2"/>
                <w:sz w:val="24"/>
                <w:szCs w:val="24"/>
                <w:lang w:val="en-US" w:eastAsia="zh-CN" w:bidi="ar-SA"/>
              </w:rPr>
            </w:pPr>
            <w:r>
              <w:rPr>
                <w:rFonts w:hint="eastAsia" w:ascii="华文中宋" w:hAnsi="华文中宋" w:eastAsia="华文中宋"/>
                <w:lang w:val="en-US" w:eastAsia="zh-CN"/>
              </w:rPr>
              <w:t>563.93</w:t>
            </w:r>
            <w:r>
              <w:rPr>
                <w:rFonts w:hint="eastAsia" w:ascii="华文中宋" w:hAnsi="华文中宋" w:eastAsia="华文中宋"/>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b w:val="0"/>
                <w:bCs w:val="0"/>
                <w:kern w:val="2"/>
                <w:sz w:val="24"/>
                <w:szCs w:val="24"/>
                <w:lang w:val="en-US" w:eastAsia="zh-CN" w:bidi="ar-SA"/>
              </w:rPr>
            </w:pPr>
            <w:r>
              <w:rPr>
                <w:rFonts w:hint="eastAsia"/>
                <w:lang w:val="en-US" w:eastAsia="zh-CN"/>
              </w:rPr>
              <w:t>563.93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宋体" w:hAnsi="宋体" w:cs="宋体" w:eastAsiaTheme="minorEastAsia"/>
                <w:kern w:val="2"/>
                <w:sz w:val="24"/>
                <w:szCs w:val="24"/>
                <w:lang w:val="en-US" w:eastAsia="zh-CN" w:bidi="ar-SA"/>
              </w:rPr>
            </w:pPr>
            <w:r>
              <w:rPr>
                <w:rFonts w:hint="eastAsia"/>
                <w:lang w:val="en-US" w:eastAsia="zh-CN"/>
              </w:rPr>
              <w:t>2010199</w:t>
            </w:r>
          </w:p>
        </w:tc>
        <w:tc>
          <w:tcPr>
            <w:tcW w:w="3527" w:type="dxa"/>
            <w:tcBorders>
              <w:top w:val="nil"/>
              <w:left w:val="nil"/>
              <w:bottom w:val="single" w:color="auto" w:sz="4" w:space="0"/>
              <w:right w:val="single" w:color="auto" w:sz="4" w:space="0"/>
            </w:tcBorders>
            <w:shd w:val="clear" w:color="auto" w:fill="auto"/>
            <w:vAlign w:val="center"/>
          </w:tcPr>
          <w:p>
            <w:pPr>
              <w:jc w:val="both"/>
              <w:rPr>
                <w:rFonts w:ascii="宋体" w:hAnsi="宋体" w:eastAsia="宋体" w:cs="宋体"/>
                <w:kern w:val="2"/>
                <w:sz w:val="24"/>
                <w:szCs w:val="24"/>
                <w:lang w:val="en-US" w:eastAsia="zh-CN" w:bidi="ar-SA"/>
              </w:rPr>
            </w:pPr>
            <w:r>
              <w:rPr>
                <w:rFonts w:hint="eastAsia"/>
              </w:rPr>
              <w:t>其他人大事务支出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华文中宋" w:hAnsi="华文中宋" w:eastAsia="华文中宋" w:cs="宋体"/>
                <w:b w:val="0"/>
                <w:bCs w:val="0"/>
                <w:kern w:val="2"/>
                <w:sz w:val="24"/>
                <w:szCs w:val="24"/>
                <w:lang w:val="en-US" w:eastAsia="zh-CN" w:bidi="ar-SA"/>
              </w:rPr>
            </w:pPr>
            <w:r>
              <w:rPr>
                <w:rFonts w:hint="eastAsia"/>
                <w:lang w:val="en-US" w:eastAsia="zh-CN"/>
              </w:rPr>
              <w:t>101.89</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华文中宋" w:hAnsi="华文中宋" w:eastAsia="华文中宋" w:cs="宋体"/>
                <w:b w:val="0"/>
                <w:bCs w:val="0"/>
                <w:kern w:val="2"/>
                <w:sz w:val="24"/>
                <w:szCs w:val="24"/>
                <w:lang w:val="en-US" w:eastAsia="zh-CN" w:bidi="ar-SA"/>
              </w:rPr>
            </w:pPr>
            <w:r>
              <w:rPr>
                <w:rFonts w:hint="eastAsia"/>
                <w:lang w:val="en-US" w:eastAsia="zh-CN"/>
              </w:rPr>
              <w:t>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lang w:val="en-US" w:eastAsia="zh-CN"/>
              </w:rPr>
              <w:t>101.89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宋体" w:hAnsi="宋体" w:eastAsia="宋体" w:cs="宋体"/>
                <w:kern w:val="2"/>
                <w:sz w:val="24"/>
                <w:szCs w:val="24"/>
                <w:lang w:val="en-US" w:eastAsia="zh-CN" w:bidi="ar-SA"/>
              </w:rPr>
            </w:pPr>
            <w:r>
              <w:rPr>
                <w:rFonts w:hint="eastAsia"/>
                <w:lang w:val="en-US" w:eastAsia="zh-CN"/>
              </w:rPr>
              <w:t>2010104</w:t>
            </w:r>
          </w:p>
        </w:tc>
        <w:tc>
          <w:tcPr>
            <w:tcW w:w="3527" w:type="dxa"/>
            <w:tcBorders>
              <w:top w:val="nil"/>
              <w:left w:val="nil"/>
              <w:bottom w:val="single" w:color="auto" w:sz="4" w:space="0"/>
              <w:right w:val="single" w:color="auto" w:sz="4" w:space="0"/>
            </w:tcBorders>
            <w:shd w:val="clear" w:color="auto" w:fill="auto"/>
            <w:vAlign w:val="center"/>
          </w:tcPr>
          <w:p>
            <w:pPr>
              <w:jc w:val="both"/>
              <w:rPr>
                <w:rFonts w:hint="default" w:ascii="宋体" w:hAnsi="宋体" w:cs="宋体" w:eastAsiaTheme="minorEastAsia"/>
                <w:kern w:val="2"/>
                <w:sz w:val="24"/>
                <w:szCs w:val="24"/>
                <w:lang w:val="en-US" w:eastAsia="zh-CN" w:bidi="ar-SA"/>
              </w:rPr>
            </w:pPr>
            <w:r>
              <w:rPr>
                <w:rFonts w:hint="eastAsia"/>
                <w:lang w:val="en-US" w:eastAsia="zh-CN"/>
              </w:rPr>
              <w:t>人大会议</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2"/>
                <w:sz w:val="24"/>
                <w:szCs w:val="24"/>
                <w:lang w:val="en-US" w:eastAsia="zh-CN" w:bidi="ar-SA"/>
              </w:rPr>
            </w:pPr>
            <w:r>
              <w:rPr>
                <w:rFonts w:hint="eastAsia"/>
                <w:lang w:val="en-US" w:eastAsia="zh-CN"/>
              </w:rPr>
              <w:t>98.7</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2"/>
                <w:sz w:val="24"/>
                <w:szCs w:val="24"/>
                <w:lang w:val="en-US" w:eastAsia="zh-CN" w:bidi="ar-SA"/>
              </w:rPr>
            </w:pPr>
            <w:r>
              <w:rPr>
                <w:rFonts w:hint="eastAsia"/>
                <w:lang w:val="en-US" w:eastAsia="zh-CN"/>
              </w:rPr>
              <w:t>98.7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default" w:ascii="宋体" w:hAnsi="宋体" w:cs="宋体" w:eastAsiaTheme="minorEastAsia"/>
                <w:kern w:val="2"/>
                <w:sz w:val="24"/>
                <w:szCs w:val="24"/>
                <w:lang w:val="en-US" w:eastAsia="zh-CN" w:bidi="ar-SA"/>
              </w:rPr>
            </w:pPr>
            <w:r>
              <w:rPr>
                <w:rFonts w:hint="eastAsia"/>
                <w:lang w:val="en-US" w:eastAsia="zh-CN"/>
              </w:rPr>
              <w:t>2013299</w:t>
            </w:r>
          </w:p>
        </w:tc>
        <w:tc>
          <w:tcPr>
            <w:tcW w:w="3527" w:type="dxa"/>
            <w:tcBorders>
              <w:top w:val="nil"/>
              <w:left w:val="nil"/>
              <w:bottom w:val="single" w:color="auto" w:sz="4" w:space="0"/>
              <w:right w:val="single" w:color="auto" w:sz="4" w:space="0"/>
            </w:tcBorders>
            <w:shd w:val="clear" w:color="auto" w:fill="auto"/>
            <w:vAlign w:val="center"/>
          </w:tcPr>
          <w:p>
            <w:pPr>
              <w:jc w:val="both"/>
              <w:rPr>
                <w:rFonts w:hint="default" w:ascii="宋体" w:hAnsi="宋体" w:cs="宋体" w:eastAsiaTheme="minorEastAsia"/>
                <w:kern w:val="2"/>
                <w:sz w:val="24"/>
                <w:szCs w:val="24"/>
                <w:lang w:val="en-US" w:eastAsia="zh-CN" w:bidi="ar-SA"/>
              </w:rPr>
            </w:pPr>
            <w:r>
              <w:rPr>
                <w:rFonts w:hint="eastAsia"/>
                <w:lang w:val="en-US" w:eastAsia="zh-CN"/>
              </w:rPr>
              <w:t>其他组织事务支出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2"/>
                <w:sz w:val="24"/>
                <w:szCs w:val="24"/>
                <w:lang w:val="en-US" w:eastAsia="zh-CN" w:bidi="ar-SA"/>
              </w:rPr>
            </w:pPr>
            <w:r>
              <w:rPr>
                <w:rFonts w:hint="eastAsia"/>
                <w:lang w:val="en-US" w:eastAsia="zh-CN"/>
              </w:rPr>
              <w:t>4.5</w:t>
            </w: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宋体" w:hAnsi="宋体" w:eastAsia="宋体" w:cs="宋体"/>
                <w:kern w:val="0"/>
                <w:sz w:val="24"/>
                <w:szCs w:val="24"/>
                <w:lang w:val="en-US" w:eastAsia="zh-CN" w:bidi="ar-SA"/>
              </w:rPr>
            </w:pPr>
            <w:r>
              <w:rPr>
                <w:rFonts w:hint="eastAsia"/>
                <w:lang w:val="en-US" w:eastAsia="zh-CN"/>
              </w:rPr>
              <w:t>4.5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宋体" w:hAnsi="宋体" w:eastAsia="宋体" w:cs="宋体"/>
                <w:kern w:val="2"/>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2010108</w:t>
            </w:r>
          </w:p>
        </w:tc>
        <w:tc>
          <w:tcPr>
            <w:tcW w:w="3527" w:type="dxa"/>
            <w:tcBorders>
              <w:top w:val="nil"/>
              <w:left w:val="nil"/>
              <w:bottom w:val="single" w:color="auto" w:sz="4" w:space="0"/>
              <w:right w:val="single" w:color="auto" w:sz="4" w:space="0"/>
            </w:tcBorders>
            <w:shd w:val="clear" w:color="auto" w:fill="auto"/>
            <w:vAlign w:val="center"/>
          </w:tcPr>
          <w:p>
            <w:pPr>
              <w:jc w:val="both"/>
              <w:rPr>
                <w:rFonts w:hint="eastAsia" w:asciiTheme="minorHAnsi" w:hAnsiTheme="minorHAnsi" w:eastAsiaTheme="minorEastAsia" w:cstheme="minorBidi"/>
                <w:kern w:val="2"/>
                <w:sz w:val="21"/>
                <w:szCs w:val="22"/>
                <w:lang w:val="en-US" w:eastAsia="zh-CN" w:bidi="ar-SA"/>
              </w:rPr>
            </w:pPr>
            <w:r>
              <w:rPr>
                <w:rFonts w:hint="eastAsia"/>
              </w:rPr>
              <w:t>代表工作</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2"/>
                <w:sz w:val="24"/>
                <w:szCs w:val="24"/>
                <w:lang w:val="en-US" w:eastAsia="zh-CN" w:bidi="ar-SA"/>
              </w:rPr>
            </w:pPr>
            <w:r>
              <w:rPr>
                <w:rFonts w:hint="eastAsia"/>
                <w:lang w:val="en-US" w:eastAsia="zh-CN"/>
              </w:rPr>
              <w:t>41.82</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宋体" w:hAnsi="宋体" w:eastAsia="宋体" w:cs="宋体"/>
                <w:kern w:val="0"/>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2"/>
                <w:sz w:val="24"/>
                <w:szCs w:val="24"/>
                <w:lang w:val="en-US" w:eastAsia="zh-CN" w:bidi="ar-SA"/>
              </w:rPr>
            </w:pPr>
            <w:r>
              <w:rPr>
                <w:rFonts w:hint="eastAsia"/>
                <w:lang w:val="en-US" w:eastAsia="zh-CN"/>
              </w:rPr>
              <w:t>41.82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pPr>
              <w:jc w:val="both"/>
              <w:rPr>
                <w:rFonts w:hint="eastAsia" w:asciiTheme="minorHAnsi" w:hAnsiTheme="minorHAnsi" w:eastAsiaTheme="minorEastAsia" w:cstheme="minorBidi"/>
                <w:kern w:val="2"/>
                <w:sz w:val="21"/>
                <w:szCs w:val="22"/>
                <w:lang w:val="en-US" w:eastAsia="zh-CN" w:bidi="ar-SA"/>
              </w:rPr>
            </w:pPr>
            <w:r>
              <w:rPr>
                <w:rFonts w:hint="eastAsia"/>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52.96</w:t>
            </w:r>
          </w:p>
        </w:tc>
        <w:tc>
          <w:tcPr>
            <w:tcW w:w="3492"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52.96</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rFonts w:hint="eastAsia" w:asciiTheme="minorHAnsi" w:hAnsiTheme="minorHAnsi" w:eastAsiaTheme="minorEastAsia" w:cstheme="minorBidi"/>
                <w:kern w:val="2"/>
                <w:sz w:val="21"/>
                <w:szCs w:val="22"/>
                <w:lang w:val="en-US" w:eastAsia="zh-CN" w:bidi="ar-SA"/>
              </w:rPr>
            </w:pPr>
            <w:r>
              <w:rPr>
                <w:rFonts w:hint="eastAsia"/>
                <w:lang w:val="en-US" w:eastAsia="zh-CN"/>
              </w:rPr>
              <w:t>2080801</w:t>
            </w:r>
          </w:p>
        </w:tc>
        <w:tc>
          <w:tcPr>
            <w:tcW w:w="3527" w:type="dxa"/>
            <w:tcBorders>
              <w:top w:val="nil"/>
              <w:left w:val="nil"/>
              <w:bottom w:val="single" w:color="auto" w:sz="4" w:space="0"/>
              <w:right w:val="single" w:color="auto" w:sz="4" w:space="0"/>
            </w:tcBorders>
            <w:shd w:val="clear" w:color="auto" w:fill="auto"/>
            <w:vAlign w:val="center"/>
          </w:tcPr>
          <w:p>
            <w:pPr>
              <w:jc w:val="both"/>
              <w:rPr>
                <w:rFonts w:hint="eastAsia" w:asciiTheme="minorHAnsi" w:hAnsiTheme="minorHAnsi" w:eastAsiaTheme="minorEastAsia" w:cstheme="minorBidi"/>
                <w:kern w:val="2"/>
                <w:sz w:val="21"/>
                <w:szCs w:val="22"/>
                <w:lang w:val="en-US" w:eastAsia="zh-CN" w:bidi="ar-SA"/>
              </w:rPr>
            </w:pPr>
            <w:r>
              <w:rPr>
                <w:rFonts w:hint="eastAsia"/>
              </w:rPr>
              <w:t>死亡抚恤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r>
              <w:rPr>
                <w:rFonts w:hint="eastAsia"/>
                <w:lang w:val="en-US" w:eastAsia="zh-CN"/>
              </w:rPr>
              <w:t>3.1</w:t>
            </w:r>
          </w:p>
        </w:tc>
        <w:tc>
          <w:tcPr>
            <w:tcW w:w="3492" w:type="dxa"/>
            <w:tcBorders>
              <w:top w:val="nil"/>
              <w:left w:val="nil"/>
              <w:bottom w:val="single" w:color="auto" w:sz="4" w:space="0"/>
              <w:right w:val="single" w:color="auto" w:sz="4" w:space="0"/>
            </w:tcBorders>
            <w:shd w:val="clear" w:color="auto" w:fill="auto"/>
            <w:vAlign w:val="center"/>
          </w:tcPr>
          <w:p>
            <w:pPr>
              <w:jc w:val="right"/>
              <w:rPr>
                <w:rFonts w:hint="default" w:asciiTheme="minorHAnsi" w:hAnsiTheme="minorHAnsi" w:eastAsiaTheme="minorEastAsia" w:cstheme="minorBidi"/>
                <w:kern w:val="2"/>
                <w:sz w:val="21"/>
                <w:szCs w:val="22"/>
                <w:lang w:val="en-US" w:eastAsia="zh-CN" w:bidi="ar-SA"/>
              </w:rPr>
            </w:pPr>
            <w:r>
              <w:rPr>
                <w:rFonts w:hint="eastAsia"/>
                <w:lang w:val="en-US" w:eastAsia="zh-CN"/>
              </w:rPr>
              <w:t>3.1</w:t>
            </w:r>
          </w:p>
        </w:tc>
        <w:tc>
          <w:tcPr>
            <w:tcW w:w="3000" w:type="dxa"/>
            <w:tcBorders>
              <w:top w:val="nil"/>
              <w:left w:val="nil"/>
              <w:bottom w:val="single" w:color="auto" w:sz="4" w:space="0"/>
              <w:right w:val="single" w:color="auto" w:sz="8" w:space="0"/>
            </w:tcBorders>
            <w:shd w:val="clear" w:color="auto" w:fill="auto"/>
            <w:vAlign w:val="center"/>
          </w:tcPr>
          <w:p>
            <w:pPr>
              <w:jc w:val="right"/>
              <w:rPr>
                <w:rFonts w:hint="eastAsia" w:ascii="宋体" w:hAnsi="宋体" w:eastAsia="宋体" w:cs="宋体"/>
                <w:kern w:val="0"/>
                <w:sz w:val="24"/>
                <w:szCs w:val="24"/>
                <w:lang w:val="en-US" w:eastAsia="zh-CN" w:bidi="ar-SA"/>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rFonts w:hint="default" w:ascii="宋体" w:hAnsi="宋体" w:cs="宋体" w:eastAsiaTheme="minorEastAsia"/>
                <w:kern w:val="2"/>
                <w:sz w:val="24"/>
                <w:szCs w:val="24"/>
                <w:lang w:val="en-US" w:eastAsia="zh-CN" w:bidi="ar-SA"/>
              </w:rPr>
            </w:pPr>
          </w:p>
        </w:tc>
        <w:tc>
          <w:tcPr>
            <w:tcW w:w="3527" w:type="dxa"/>
            <w:tcBorders>
              <w:top w:val="nil"/>
              <w:left w:val="nil"/>
              <w:bottom w:val="single" w:color="auto" w:sz="8" w:space="0"/>
              <w:right w:val="single" w:color="auto" w:sz="4" w:space="0"/>
            </w:tcBorders>
            <w:shd w:val="clear" w:color="auto" w:fill="auto"/>
            <w:vAlign w:val="center"/>
          </w:tcPr>
          <w:p>
            <w:pPr>
              <w:jc w:val="both"/>
              <w:rPr>
                <w:rFonts w:ascii="宋体" w:hAnsi="宋体" w:eastAsia="宋体" w:cs="宋体"/>
                <w:kern w:val="2"/>
                <w:sz w:val="24"/>
                <w:szCs w:val="24"/>
                <w:lang w:val="en-US" w:eastAsia="zh-CN" w:bidi="ar-SA"/>
              </w:rPr>
            </w:pPr>
          </w:p>
        </w:tc>
        <w:tc>
          <w:tcPr>
            <w:tcW w:w="3000" w:type="dxa"/>
            <w:tcBorders>
              <w:top w:val="nil"/>
              <w:left w:val="nil"/>
              <w:bottom w:val="single" w:color="auto" w:sz="8" w:space="0"/>
              <w:right w:val="single" w:color="auto" w:sz="4"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p>
        </w:tc>
        <w:tc>
          <w:tcPr>
            <w:tcW w:w="3492" w:type="dxa"/>
            <w:tcBorders>
              <w:top w:val="nil"/>
              <w:left w:val="nil"/>
              <w:bottom w:val="single" w:color="auto" w:sz="8" w:space="0"/>
              <w:right w:val="single" w:color="auto" w:sz="4" w:space="0"/>
            </w:tcBorders>
            <w:shd w:val="clear" w:color="auto" w:fill="auto"/>
            <w:vAlign w:val="center"/>
          </w:tcPr>
          <w:p>
            <w:pPr>
              <w:widowControl/>
              <w:jc w:val="right"/>
              <w:rPr>
                <w:rFonts w:hint="default" w:ascii="宋体" w:hAnsi="宋体" w:eastAsia="宋体" w:cs="宋体"/>
                <w:kern w:val="0"/>
                <w:sz w:val="24"/>
                <w:szCs w:val="24"/>
                <w:lang w:val="en-US" w:eastAsia="zh-CN" w:bidi="ar-SA"/>
              </w:rPr>
            </w:pPr>
          </w:p>
        </w:tc>
        <w:tc>
          <w:tcPr>
            <w:tcW w:w="3000" w:type="dxa"/>
            <w:tcBorders>
              <w:top w:val="nil"/>
              <w:left w:val="nil"/>
              <w:bottom w:val="single" w:color="auto" w:sz="8" w:space="0"/>
              <w:right w:val="single" w:color="auto" w:sz="8" w:space="0"/>
            </w:tcBorders>
            <w:shd w:val="clear" w:color="auto" w:fill="auto"/>
            <w:vAlign w:val="center"/>
          </w:tcPr>
          <w:p>
            <w:pPr>
              <w:jc w:val="right"/>
              <w:rPr>
                <w:rFonts w:hint="eastAsia" w:asciiTheme="minorHAnsi" w:hAnsiTheme="minorHAnsi" w:eastAsiaTheme="minorEastAsia" w:cstheme="minorBidi"/>
                <w:kern w:val="2"/>
                <w:sz w:val="21"/>
                <w:szCs w:val="22"/>
                <w:lang w:val="en-US" w:eastAsia="zh-CN" w:bidi="ar-SA"/>
              </w:rPr>
            </w:pP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15901" w:type="dxa"/>
        <w:tblInd w:w="0" w:type="dxa"/>
        <w:tblLayout w:type="fixed"/>
        <w:tblCellMar>
          <w:top w:w="0" w:type="dxa"/>
          <w:left w:w="108" w:type="dxa"/>
          <w:bottom w:w="0" w:type="dxa"/>
          <w:right w:w="108" w:type="dxa"/>
        </w:tblCellMar>
      </w:tblPr>
      <w:tblGrid>
        <w:gridCol w:w="991"/>
        <w:gridCol w:w="240"/>
        <w:gridCol w:w="94"/>
        <w:gridCol w:w="1291"/>
        <w:gridCol w:w="2031"/>
        <w:gridCol w:w="77"/>
        <w:gridCol w:w="1127"/>
        <w:gridCol w:w="1140"/>
        <w:gridCol w:w="5"/>
        <w:gridCol w:w="1825"/>
        <w:gridCol w:w="266"/>
        <w:gridCol w:w="874"/>
        <w:gridCol w:w="975"/>
        <w:gridCol w:w="245"/>
        <w:gridCol w:w="2091"/>
        <w:gridCol w:w="1399"/>
        <w:gridCol w:w="692"/>
        <w:gridCol w:w="538"/>
      </w:tblGrid>
      <w:tr>
        <w:tblPrEx>
          <w:tblCellMar>
            <w:top w:w="0" w:type="dxa"/>
            <w:left w:w="108" w:type="dxa"/>
            <w:bottom w:w="0" w:type="dxa"/>
            <w:right w:w="108" w:type="dxa"/>
          </w:tblCellMar>
        </w:tblPrEx>
        <w:trPr>
          <w:trHeight w:val="113" w:hRule="atLeast"/>
        </w:trPr>
        <w:tc>
          <w:tcPr>
            <w:tcW w:w="15901"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6" w:name="RANGE!A1:I34"/>
            <w:r>
              <w:rPr>
                <w:rFonts w:hint="eastAsia" w:ascii="华文中宋" w:hAnsi="华文中宋" w:eastAsia="华文中宋" w:cs="宋体"/>
                <w:color w:val="000000"/>
                <w:kern w:val="0"/>
                <w:szCs w:val="32"/>
              </w:rPr>
              <w:t>一般公共预算财政拨款基本支出决算明细表</w:t>
            </w:r>
            <w:bookmarkEnd w:id="6"/>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val="en-US" w:eastAsia="zh-CN"/>
              </w:rPr>
              <w:t>道县人民代表大会常务委员会</w:t>
            </w:r>
            <w:r>
              <w:rPr>
                <w:rFonts w:hint="eastAsia" w:ascii="Times New Roman" w:hAnsi="Times New Roman" w:eastAsia="仿宋_GB2312" w:cs="Times New Roman"/>
                <w:color w:val="000000"/>
                <w:kern w:val="0"/>
                <w:szCs w:val="21"/>
              </w:rPr>
              <w:t xml:space="preserve">                                                                                                      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748" w:hRule="atLeast"/>
        </w:trPr>
        <w:tc>
          <w:tcPr>
            <w:tcW w:w="132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22"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0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183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14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735"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3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highlight w:val="none"/>
              </w:rPr>
            </w:pPr>
            <w:r>
              <w:rPr>
                <w:rFonts w:hint="eastAsia" w:ascii="宋体" w:hAnsi="宋体" w:eastAsia="宋体" w:cs="宋体"/>
                <w:color w:val="000000"/>
                <w:kern w:val="0"/>
                <w:szCs w:val="20"/>
                <w:highlight w:val="none"/>
              </w:rPr>
              <w:t>301</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auto"/>
                <w:kern w:val="0"/>
                <w:szCs w:val="20"/>
                <w:highlight w:val="none"/>
              </w:rPr>
            </w:pPr>
            <w:r>
              <w:rPr>
                <w:rFonts w:hint="eastAsia" w:ascii="宋体" w:hAnsi="宋体" w:eastAsia="宋体" w:cs="宋体"/>
                <w:color w:val="auto"/>
                <w:kern w:val="0"/>
                <w:szCs w:val="20"/>
                <w:highlight w:val="none"/>
              </w:rPr>
              <w:t>工资福利支出</w:t>
            </w:r>
          </w:p>
        </w:tc>
        <w:tc>
          <w:tcPr>
            <w:tcW w:w="1204" w:type="dxa"/>
            <w:gridSpan w:val="2"/>
            <w:tcBorders>
              <w:top w:val="nil"/>
              <w:left w:val="nil"/>
              <w:bottom w:val="single" w:color="auto" w:sz="4" w:space="0"/>
              <w:right w:val="single" w:color="auto" w:sz="4" w:space="0"/>
            </w:tcBorders>
            <w:shd w:val="clear" w:color="auto" w:fill="auto"/>
            <w:noWrap/>
            <w:vAlign w:val="top"/>
          </w:tcPr>
          <w:p>
            <w:pPr>
              <w:widowControl/>
              <w:jc w:val="center"/>
              <w:rPr>
                <w:rFonts w:hint="default" w:ascii="宋体" w:hAnsi="宋体" w:eastAsia="宋体" w:cs="宋体"/>
                <w:color w:val="auto"/>
                <w:kern w:val="0"/>
                <w:szCs w:val="20"/>
                <w:highlight w:val="none"/>
                <w:lang w:val="en-US" w:eastAsia="zh-CN"/>
              </w:rPr>
            </w:pPr>
            <w:r>
              <w:rPr>
                <w:rFonts w:hint="eastAsia" w:ascii="宋体" w:hAnsi="宋体" w:eastAsia="宋体" w:cs="宋体"/>
                <w:color w:val="auto"/>
                <w:kern w:val="0"/>
                <w:szCs w:val="20"/>
                <w:highlight w:val="none"/>
                <w:lang w:val="en-US" w:eastAsia="zh-CN"/>
              </w:rPr>
              <w:t>536.78</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108.86</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ind w:firstLine="210" w:firstLineChars="100"/>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244.65</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8.3</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89.43</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2.43</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115.16</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5.83</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52.96</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1.2</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28.75</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3.14</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8.2</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0.82</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3.1</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4.5</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35.71</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34.07</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0.6</w:t>
            </w: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22"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4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18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14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10.2</w:t>
            </w:r>
          </w:p>
        </w:tc>
        <w:tc>
          <w:tcPr>
            <w:tcW w:w="97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735"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647"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20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544.98</w:t>
            </w:r>
          </w:p>
        </w:tc>
        <w:tc>
          <w:tcPr>
            <w:tcW w:w="8820"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230"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108.86</w:t>
            </w:r>
          </w:p>
        </w:tc>
      </w:tr>
      <w:tr>
        <w:tblPrEx>
          <w:tblCellMar>
            <w:top w:w="0" w:type="dxa"/>
            <w:left w:w="108" w:type="dxa"/>
            <w:bottom w:w="0" w:type="dxa"/>
            <w:right w:w="108" w:type="dxa"/>
          </w:tblCellMar>
        </w:tblPrEx>
        <w:trPr>
          <w:trHeight w:val="284" w:hRule="exact"/>
        </w:trPr>
        <w:tc>
          <w:tcPr>
            <w:tcW w:w="15901"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690" w:hRule="atLeast"/>
        </w:trPr>
        <w:tc>
          <w:tcPr>
            <w:tcW w:w="15363"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345" w:hRule="atLeast"/>
        </w:trPr>
        <w:tc>
          <w:tcPr>
            <w:tcW w:w="99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85"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08"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4"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690" w:hRule="atLeast"/>
        </w:trPr>
        <w:tc>
          <w:tcPr>
            <w:tcW w:w="991"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3733" w:type="dxa"/>
            <w:gridSpan w:val="5"/>
            <w:tcBorders>
              <w:top w:val="nil"/>
              <w:left w:val="nil"/>
              <w:bottom w:val="nil"/>
              <w:right w:val="nil"/>
            </w:tcBorders>
            <w:shd w:val="clear" w:color="auto" w:fill="FFFFFF"/>
            <w:vAlign w:val="center"/>
          </w:tcPr>
          <w:p>
            <w:pP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道县人民代表大会常务委员会</w:t>
            </w:r>
          </w:p>
        </w:tc>
        <w:tc>
          <w:tcPr>
            <w:tcW w:w="2272"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4"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45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6"/>
                <w:lang w:val="en-US" w:eastAsia="zh-CN" w:bidi="ar"/>
              </w:rPr>
              <w:t xml:space="preserve">   </w:t>
            </w:r>
            <w:r>
              <w:rPr>
                <w:rStyle w:val="17"/>
                <w:lang w:val="en-US" w:eastAsia="zh-CN" w:bidi="ar"/>
              </w:rPr>
              <w:t>目</w:t>
            </w:r>
          </w:p>
        </w:tc>
        <w:tc>
          <w:tcPr>
            <w:tcW w:w="2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609" w:hRule="atLeast"/>
        </w:trPr>
        <w:tc>
          <w:tcPr>
            <w:tcW w:w="12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4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38" w:type="dxa"/>
          <w:trHeight w:val="725" w:hRule="atLeast"/>
        </w:trPr>
        <w:tc>
          <w:tcPr>
            <w:tcW w:w="15363"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993" w:type="dxa"/>
            <w:gridSpan w:val="2"/>
            <w:tcBorders>
              <w:top w:val="nil"/>
              <w:left w:val="nil"/>
              <w:bottom w:val="nil"/>
              <w:right w:val="nil"/>
            </w:tcBorders>
            <w:shd w:val="clear" w:color="auto" w:fill="FFFFFF"/>
            <w:vAlign w:val="center"/>
          </w:tcPr>
          <w:p>
            <w:pPr>
              <w:jc w:val="cente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sz w:val="20"/>
                <w:szCs w:val="20"/>
                <w:u w:val="none"/>
                <w:lang w:val="en-US" w:eastAsia="zh-CN"/>
              </w:rPr>
              <w:t>道县人民代表大会常务委员会</w:t>
            </w: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8"/>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3783"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r>
              <w:rPr>
                <w:rFonts w:hint="eastAsia" w:ascii="宋体" w:hAnsi="宋体" w:eastAsia="宋体" w:cs="宋体"/>
                <w:i w:val="0"/>
                <w:color w:val="000000"/>
                <w:sz w:val="20"/>
                <w:szCs w:val="20"/>
                <w:u w:val="none"/>
                <w:lang w:val="en-US" w:eastAsia="zh-CN"/>
              </w:rPr>
              <w:t>道县人民代表大会常务委员会</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0.82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131.21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12.78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压缩公用经费。</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653.84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73.0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241.8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27.0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3"/>
        <w:keepNext w:val="0"/>
        <w:keepLines w:val="0"/>
        <w:pageBreakBefore w:val="0"/>
        <w:widowControl w:val="0"/>
        <w:kinsoku/>
        <w:wordWrap/>
        <w:overflowPunct/>
        <w:topLinePunct w:val="0"/>
        <w:bidi w:val="0"/>
        <w:snapToGrid/>
        <w:spacing w:line="600" w:lineRule="exact"/>
        <w:ind w:left="320" w:hanging="320" w:hangingChars="100"/>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131.21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12.78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压缩公用经费。</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3"/>
        <w:keepNext w:val="0"/>
        <w:keepLines w:val="0"/>
        <w:pageBreakBefore w:val="0"/>
        <w:widowControl w:val="0"/>
        <w:kinsoku/>
        <w:wordWrap/>
        <w:overflowPunct/>
        <w:topLinePunct w:val="0"/>
        <w:bidi w:val="0"/>
        <w:snapToGrid/>
        <w:spacing w:line="600" w:lineRule="exact"/>
        <w:ind w:left="638" w:leftChars="304"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w:t>
      </w:r>
    </w:p>
    <w:p>
      <w:pPr>
        <w:pStyle w:val="13"/>
        <w:keepNext w:val="0"/>
        <w:keepLines w:val="0"/>
        <w:pageBreakBefore w:val="0"/>
        <w:widowControl w:val="0"/>
        <w:kinsoku/>
        <w:wordWrap/>
        <w:overflowPunct/>
        <w:topLinePunct w:val="0"/>
        <w:bidi w:val="0"/>
        <w:snapToGrid/>
        <w:spacing w:line="600" w:lineRule="exact"/>
        <w:ind w:left="319" w:leftChars="152" w:firstLine="0" w:firstLineChars="0"/>
        <w:textAlignment w:val="auto"/>
        <w:rPr>
          <w:rFonts w:ascii="Times New Roman" w:hAnsi="Times New Roman" w:eastAsia="仿宋_GB2312"/>
          <w:sz w:val="32"/>
          <w:szCs w:val="32"/>
        </w:rPr>
      </w:pPr>
      <w:r>
        <w:rPr>
          <w:rFonts w:hint="eastAsia" w:ascii="Times New Roman" w:hAnsi="Times New Roman" w:eastAsia="仿宋_GB2312"/>
          <w:sz w:val="32"/>
          <w:szCs w:val="32"/>
        </w:rPr>
        <w:t>上年相比，财政拨款支出</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131.21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下降</w:t>
      </w:r>
      <w:r>
        <w:rPr>
          <w:rFonts w:hint="eastAsia" w:ascii="Times New Roman" w:hAnsi="Times New Roman" w:eastAsia="仿宋_GB2312"/>
          <w:sz w:val="32"/>
          <w:szCs w:val="32"/>
          <w:lang w:val="en-US" w:eastAsia="zh-CN"/>
        </w:rPr>
        <w:t>12.78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压缩公用经费。</w:t>
      </w:r>
    </w:p>
    <w:p>
      <w:pPr>
        <w:pStyle w:val="13"/>
        <w:keepNext w:val="0"/>
        <w:keepLines w:val="0"/>
        <w:pageBreakBefore w:val="0"/>
        <w:widowControl w:val="0"/>
        <w:kinsoku/>
        <w:wordWrap/>
        <w:overflowPunct/>
        <w:topLinePunct w:val="0"/>
        <w:bidi w:val="0"/>
        <w:snapToGrid/>
        <w:spacing w:line="600" w:lineRule="exact"/>
        <w:ind w:firstLine="1120" w:firstLineChars="3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810.84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90.53</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56.05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6.26</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28.75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3.21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3"/>
        <w:keepNext w:val="0"/>
        <w:keepLines w:val="0"/>
        <w:pageBreakBefore w:val="0"/>
        <w:widowControl w:val="0"/>
        <w:kinsoku/>
        <w:wordWrap/>
        <w:overflowPunct/>
        <w:topLinePunct w:val="0"/>
        <w:bidi w:val="0"/>
        <w:snapToGrid/>
        <w:spacing w:line="600" w:lineRule="exact"/>
        <w:ind w:left="638" w:leftChars="304"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度财政拨款支出年初预算数为</w:t>
      </w:r>
      <w:r>
        <w:rPr>
          <w:rFonts w:hint="eastAsia" w:ascii="Times New Roman" w:hAnsi="Times New Roman" w:eastAsia="仿宋_GB2312"/>
          <w:sz w:val="32"/>
          <w:szCs w:val="32"/>
          <w:lang w:val="en-US" w:eastAsia="zh-CN"/>
        </w:rPr>
        <w:t>915.82</w:t>
      </w:r>
      <w:r>
        <w:rPr>
          <w:rFonts w:hint="eastAsia" w:ascii="Times New Roman" w:hAnsi="Times New Roman" w:eastAsia="仿宋_GB2312"/>
          <w:sz w:val="32"/>
          <w:szCs w:val="32"/>
        </w:rPr>
        <w:t>万元，支出决算数为</w:t>
      </w:r>
    </w:p>
    <w:p>
      <w:pPr>
        <w:pStyle w:val="13"/>
        <w:keepNext w:val="0"/>
        <w:keepLines w:val="0"/>
        <w:pageBreakBefore w:val="0"/>
        <w:widowControl w:val="0"/>
        <w:kinsoku/>
        <w:wordWrap/>
        <w:overflowPunct/>
        <w:topLinePunct w:val="0"/>
        <w:bidi w:val="0"/>
        <w:snapToGrid/>
        <w:spacing w:line="600" w:lineRule="exact"/>
        <w:ind w:firstLine="320" w:firstLineChars="1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895.64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97.79</w:t>
      </w:r>
      <w:r>
        <w:rPr>
          <w:rFonts w:hint="eastAsia" w:ascii="Times New Roman" w:hAnsi="Times New Roman" w:eastAsia="仿宋_GB2312"/>
          <w:sz w:val="32"/>
          <w:szCs w:val="32"/>
        </w:rPr>
        <w:t>%，其中：</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人大事务支出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hint="default" w:ascii="Times New Roman" w:hAnsi="Times New Roman" w:eastAsia="仿宋_GB2312"/>
          <w:sz w:val="32"/>
          <w:szCs w:val="32"/>
          <w:highlight w:val="none"/>
          <w:lang w:val="en-US"/>
        </w:rPr>
      </w:pPr>
      <w:r>
        <w:rPr>
          <w:rFonts w:hint="eastAsia" w:ascii="Times New Roman" w:hAnsi="Times New Roman" w:eastAsia="仿宋_GB2312"/>
          <w:sz w:val="32"/>
          <w:szCs w:val="32"/>
        </w:rPr>
        <w:t>年初预算</w:t>
      </w:r>
      <w:r>
        <w:rPr>
          <w:rFonts w:hint="eastAsia" w:ascii="Times New Roman" w:hAnsi="Times New Roman" w:eastAsia="仿宋_GB2312"/>
          <w:sz w:val="32"/>
          <w:szCs w:val="32"/>
          <w:highlight w:val="none"/>
        </w:rPr>
        <w:t>为</w:t>
      </w:r>
      <w:r>
        <w:rPr>
          <w:rFonts w:hint="eastAsia" w:ascii="Times New Roman" w:hAnsi="Times New Roman" w:eastAsia="仿宋_GB2312"/>
          <w:sz w:val="32"/>
          <w:szCs w:val="32"/>
          <w:highlight w:val="none"/>
          <w:lang w:val="en-US" w:eastAsia="zh-CN"/>
        </w:rPr>
        <w:t>611.65</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563.93</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92.20</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eastAsia="zh-CN"/>
        </w:rPr>
        <w:t>小于</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val="en-US" w:eastAsia="zh-CN"/>
        </w:rPr>
        <w:t>压缩了公用经费开支。</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人大事务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人大监督</w:t>
      </w:r>
      <w:r>
        <w:rPr>
          <w:rFonts w:hint="eastAsia" w:ascii="Times New Roman" w:hAnsi="Times New Roman" w:eastAsia="仿宋_GB2312"/>
          <w:sz w:val="32"/>
          <w:szCs w:val="32"/>
        </w:rPr>
        <w:t>（项）。</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rPr>
        <w:t>年</w:t>
      </w:r>
      <w:r>
        <w:rPr>
          <w:rFonts w:hint="eastAsia" w:ascii="Times New Roman" w:hAnsi="Times New Roman" w:eastAsia="仿宋_GB2312"/>
          <w:sz w:val="32"/>
          <w:szCs w:val="32"/>
          <w:highlight w:val="none"/>
        </w:rPr>
        <w:t>初预算为</w:t>
      </w:r>
      <w:r>
        <w:rPr>
          <w:rFonts w:hint="eastAsia" w:ascii="Times New Roman" w:hAnsi="Times New Roman" w:eastAsia="仿宋_GB2312"/>
          <w:sz w:val="32"/>
          <w:szCs w:val="32"/>
          <w:highlight w:val="none"/>
          <w:lang w:val="en-US" w:eastAsia="zh-CN"/>
        </w:rPr>
        <w:t>14.8</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0.0</w:t>
      </w:r>
      <w:r>
        <w:rPr>
          <w:rFonts w:hint="eastAsia" w:ascii="Times New Roman" w:hAnsi="Times New Roman" w:eastAsia="仿宋_GB2312"/>
          <w:sz w:val="32"/>
          <w:szCs w:val="32"/>
          <w:highlight w:val="none"/>
        </w:rPr>
        <w:t>%，决算数小于年初预算数的主要原因是：</w:t>
      </w:r>
      <w:r>
        <w:rPr>
          <w:rFonts w:hint="eastAsia" w:ascii="Times New Roman" w:hAnsi="Times New Roman" w:eastAsia="仿宋_GB2312"/>
          <w:sz w:val="32"/>
          <w:szCs w:val="32"/>
          <w:highlight w:val="none"/>
          <w:lang w:val="en-US" w:eastAsia="zh-CN"/>
        </w:rPr>
        <w:t>压缩项目支出。</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人大事务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代表工作</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67.3</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41.82</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62.13</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小</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val="en-US" w:eastAsia="zh-CN"/>
        </w:rPr>
        <w:t>压缩项目支出。</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人大事务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人大会议</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640" w:firstLineChars="200"/>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rPr>
        <w:t>年初预</w:t>
      </w:r>
      <w:r>
        <w:rPr>
          <w:rFonts w:hint="eastAsia" w:ascii="Times New Roman" w:hAnsi="Times New Roman" w:eastAsia="仿宋_GB2312"/>
          <w:sz w:val="32"/>
          <w:szCs w:val="32"/>
          <w:highlight w:val="none"/>
        </w:rPr>
        <w:t>算为</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98.7</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98.7</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小</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val="en-US" w:eastAsia="zh-CN"/>
        </w:rPr>
        <w:t>压缩项目支出。</w:t>
      </w:r>
    </w:p>
    <w:p>
      <w:pPr>
        <w:pStyle w:val="13"/>
        <w:keepNext w:val="0"/>
        <w:keepLines w:val="0"/>
        <w:pageBreakBefore w:val="0"/>
        <w:widowControl w:val="0"/>
        <w:numPr>
          <w:ilvl w:val="0"/>
          <w:numId w:val="0"/>
        </w:numPr>
        <w:kinsoku/>
        <w:wordWrap/>
        <w:overflowPunct/>
        <w:topLinePunct w:val="0"/>
        <w:bidi w:val="0"/>
        <w:snapToGrid/>
        <w:spacing w:line="600" w:lineRule="exact"/>
        <w:ind w:firstLine="1280" w:firstLineChars="4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一般公共服务</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人大事务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其他人大事务支出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960" w:firstLineChars="300"/>
        <w:textAlignment w:val="auto"/>
        <w:rPr>
          <w:rFonts w:hint="default" w:ascii="Times New Roman" w:hAnsi="Times New Roman" w:eastAsia="仿宋_GB2312"/>
          <w:sz w:val="32"/>
          <w:szCs w:val="32"/>
          <w:highlight w:val="yellow"/>
          <w:lang w:val="en-US" w:eastAsia="zh-CN"/>
        </w:rPr>
      </w:pPr>
      <w:r>
        <w:rPr>
          <w:rFonts w:hint="eastAsia" w:ascii="Times New Roman" w:hAnsi="Times New Roman" w:eastAsia="仿宋_GB2312"/>
          <w:sz w:val="32"/>
          <w:szCs w:val="32"/>
        </w:rPr>
        <w:t>年初预</w:t>
      </w:r>
      <w:r>
        <w:rPr>
          <w:rFonts w:hint="eastAsia" w:ascii="Times New Roman" w:hAnsi="Times New Roman" w:eastAsia="仿宋_GB2312"/>
          <w:sz w:val="32"/>
          <w:szCs w:val="32"/>
          <w:highlight w:val="none"/>
        </w:rPr>
        <w:t>算为</w:t>
      </w:r>
      <w:r>
        <w:rPr>
          <w:rFonts w:hint="eastAsia" w:ascii="Times New Roman" w:hAnsi="Times New Roman" w:eastAsia="仿宋_GB2312"/>
          <w:sz w:val="32"/>
          <w:szCs w:val="32"/>
          <w:highlight w:val="none"/>
          <w:lang w:val="en-US" w:eastAsia="zh-CN"/>
        </w:rPr>
        <w:t>40.17</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101.89</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253.65</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val="en-US" w:eastAsia="zh-CN"/>
        </w:rPr>
        <w:t>部分项目支出列入县级大预算未列入部门预算。</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6、社会保障和就业支出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960" w:firstLineChars="300"/>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52.75</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52.95</w:t>
      </w:r>
      <w:r>
        <w:rPr>
          <w:rFonts w:hint="eastAsia" w:ascii="Times New Roman" w:hAnsi="Times New Roman" w:eastAsia="仿宋_GB2312"/>
          <w:sz w:val="32"/>
          <w:szCs w:val="32"/>
          <w:highlight w:val="none"/>
        </w:rPr>
        <w:t>元，完成年初预算的</w:t>
      </w:r>
      <w:r>
        <w:rPr>
          <w:rFonts w:hint="eastAsia" w:ascii="Times New Roman" w:hAnsi="Times New Roman" w:eastAsia="仿宋_GB2312"/>
          <w:sz w:val="32"/>
          <w:szCs w:val="32"/>
          <w:highlight w:val="none"/>
          <w:lang w:val="en-US" w:eastAsia="zh-CN"/>
        </w:rPr>
        <w:t>100.38</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工资薪资的调增</w:t>
      </w:r>
      <w:r>
        <w:rPr>
          <w:rFonts w:hint="eastAsia" w:ascii="Times New Roman" w:hAnsi="Times New Roman" w:eastAsia="仿宋_GB2312"/>
          <w:sz w:val="32"/>
          <w:szCs w:val="32"/>
          <w:highlight w:val="none"/>
          <w:lang w:val="en-US"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1280" w:firstLineChars="4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行政单位医疗</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rPr>
        <w:t>年</w:t>
      </w:r>
      <w:r>
        <w:rPr>
          <w:rFonts w:hint="eastAsia" w:ascii="Times New Roman" w:hAnsi="Times New Roman" w:eastAsia="仿宋_GB2312"/>
          <w:sz w:val="32"/>
          <w:szCs w:val="32"/>
          <w:highlight w:val="none"/>
        </w:rPr>
        <w:t>初预算为</w:t>
      </w:r>
      <w:r>
        <w:rPr>
          <w:rFonts w:hint="eastAsia" w:ascii="Times New Roman" w:hAnsi="Times New Roman" w:eastAsia="仿宋_GB2312"/>
          <w:sz w:val="32"/>
          <w:szCs w:val="32"/>
          <w:highlight w:val="none"/>
          <w:lang w:val="en-US" w:eastAsia="zh-CN"/>
        </w:rPr>
        <w:t>28.68</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28.75</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100.24</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rPr>
        <w:t>决算数</w:t>
      </w:r>
      <w:r>
        <w:rPr>
          <w:rFonts w:hint="eastAsia" w:ascii="Times New Roman" w:hAnsi="Times New Roman" w:eastAsia="仿宋_GB2312"/>
          <w:sz w:val="32"/>
          <w:szCs w:val="32"/>
          <w:highlight w:val="none"/>
          <w:lang w:val="en-US" w:eastAsia="zh-CN"/>
        </w:rPr>
        <w:t>大</w:t>
      </w:r>
      <w:r>
        <w:rPr>
          <w:rFonts w:hint="eastAsia" w:ascii="Times New Roman" w:hAnsi="Times New Roman" w:eastAsia="仿宋_GB2312"/>
          <w:sz w:val="32"/>
          <w:szCs w:val="32"/>
          <w:highlight w:val="none"/>
        </w:rPr>
        <w:t>于年初预算数的主要原因是</w:t>
      </w:r>
      <w:r>
        <w:rPr>
          <w:rFonts w:hint="eastAsia" w:ascii="Times New Roman" w:hAnsi="Times New Roman" w:eastAsia="仿宋_GB2312"/>
          <w:sz w:val="32"/>
          <w:szCs w:val="32"/>
          <w:highlight w:val="none"/>
          <w:lang w:eastAsia="zh-CN"/>
        </w:rPr>
        <w:t>工资薪资的调增</w:t>
      </w:r>
      <w:r>
        <w:rPr>
          <w:rFonts w:hint="eastAsia" w:ascii="Times New Roman" w:hAnsi="Times New Roman" w:eastAsia="仿宋_GB2312"/>
          <w:sz w:val="32"/>
          <w:szCs w:val="32"/>
          <w:highlight w:val="none"/>
          <w:lang w:val="en-US"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1280" w:firstLineChars="4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8、社会保障和就业支出</w:t>
      </w:r>
      <w:r>
        <w:rPr>
          <w:rFonts w:hint="eastAsia" w:ascii="Times New Roman" w:hAnsi="Times New Roman" w:eastAsia="仿宋_GB2312"/>
          <w:color w:val="auto"/>
          <w:sz w:val="32"/>
          <w:szCs w:val="32"/>
        </w:rPr>
        <w:t>（类）</w:t>
      </w:r>
      <w:r>
        <w:rPr>
          <w:rFonts w:hint="eastAsia" w:ascii="Times New Roman" w:hAnsi="Times New Roman" w:eastAsia="仿宋_GB2312"/>
          <w:color w:val="auto"/>
          <w:sz w:val="32"/>
          <w:szCs w:val="32"/>
          <w:lang w:val="en-US" w:eastAsia="zh-CN"/>
        </w:rPr>
        <w:t>抚恤</w:t>
      </w:r>
      <w:r>
        <w:rPr>
          <w:rFonts w:hint="eastAsia" w:ascii="Times New Roman" w:hAnsi="Times New Roman" w:eastAsia="仿宋_GB2312"/>
          <w:color w:val="auto"/>
          <w:sz w:val="32"/>
          <w:szCs w:val="32"/>
        </w:rPr>
        <w:t>（款）</w:t>
      </w:r>
      <w:r>
        <w:rPr>
          <w:rFonts w:hint="eastAsia" w:ascii="Times New Roman" w:hAnsi="Times New Roman" w:eastAsia="仿宋_GB2312"/>
          <w:color w:val="auto"/>
          <w:sz w:val="32"/>
          <w:szCs w:val="32"/>
          <w:lang w:val="en-US" w:eastAsia="zh-CN"/>
        </w:rPr>
        <w:t>死亡抚恤</w:t>
      </w:r>
      <w:r>
        <w:rPr>
          <w:rFonts w:hint="eastAsia" w:ascii="Times New Roman" w:hAnsi="Times New Roman" w:eastAsia="仿宋_GB2312"/>
          <w:color w:val="auto"/>
          <w:sz w:val="32"/>
          <w:szCs w:val="32"/>
        </w:rPr>
        <w:t>（项）</w:t>
      </w:r>
      <w:r>
        <w:rPr>
          <w:rFonts w:hint="eastAsia" w:ascii="Times New Roman" w:hAnsi="Times New Roman" w:eastAsia="仿宋_GB2312"/>
          <w:color w:val="auto"/>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left="319" w:leftChars="152" w:firstLine="960" w:firstLineChars="3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3.10</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val="en-US" w:eastAsia="zh-CN"/>
        </w:rPr>
        <w:t>未纳入部门预算，由财政社保股统一纳预算。</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653.84</w:t>
      </w:r>
      <w:r>
        <w:rPr>
          <w:rFonts w:hint="eastAsia" w:ascii="Times New Roman" w:hAnsi="Times New Roman" w:eastAsia="仿宋_GB2312"/>
          <w:sz w:val="32"/>
          <w:szCs w:val="32"/>
        </w:rPr>
        <w:t>万元，其中：</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b/>
          <w:sz w:val="32"/>
          <w:szCs w:val="32"/>
          <w:lang w:val="en-US" w:eastAsia="zh-CN"/>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544.98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83.34</w:t>
      </w:r>
      <w:r>
        <w:rPr>
          <w:rFonts w:hint="eastAsia" w:ascii="Times New Roman" w:hAnsi="Times New Roman" w:eastAsia="仿宋_GB2312"/>
          <w:sz w:val="32"/>
          <w:szCs w:val="32"/>
        </w:rPr>
        <w:t>%,主要包括基本工资、津贴补贴、奖金、伙食补助费、机关事业单位基本养老保险缴费、职业年金缴费、职工基本医疗保险缴费、其他社会保障缴费、住房公积金</w:t>
      </w:r>
      <w:r>
        <w:rPr>
          <w:rFonts w:hint="eastAsia" w:ascii="Times New Roman" w:hAnsi="Times New Roman" w:eastAsia="仿宋_GB2312"/>
          <w:sz w:val="32"/>
          <w:szCs w:val="32"/>
          <w:lang w:val="en-US" w:eastAsia="zh-CN"/>
        </w:rPr>
        <w:t>等</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70.11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10.72</w:t>
      </w:r>
      <w:r>
        <w:rPr>
          <w:rFonts w:hint="eastAsia" w:ascii="Times New Roman" w:hAnsi="Times New Roman" w:eastAsia="仿宋_GB2312"/>
          <w:sz w:val="32"/>
          <w:szCs w:val="32"/>
        </w:rPr>
        <w:t>%，主要包括办公费、印刷费、咨询费、手续费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差旅费、维修（护）费、会议费、培训费、公务接待费、劳务费、工会经费、福利费、其他商品和服务支出</w:t>
      </w:r>
      <w:r>
        <w:rPr>
          <w:rFonts w:hint="eastAsia" w:ascii="Times New Roman" w:hAnsi="Times New Roman" w:eastAsia="仿宋_GB2312"/>
          <w:sz w:val="32"/>
          <w:szCs w:val="32"/>
          <w:lang w:val="en-US" w:eastAsia="zh-CN"/>
        </w:rPr>
        <w:t>等。</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0.82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41.0%。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部分厉行节约，压缩公务接待开支</w:t>
      </w:r>
      <w:r>
        <w:rPr>
          <w:rFonts w:hint="eastAsia" w:ascii="Times New Roman" w:hAnsi="Times New Roman" w:eastAsia="仿宋_GB2312"/>
          <w:sz w:val="32"/>
          <w:szCs w:val="32"/>
        </w:rPr>
        <w:t>。</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0.82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%,全年共接待来访团组</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59</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eastAsia="zh-CN"/>
        </w:rPr>
        <w:t>外</w:t>
      </w:r>
      <w:r>
        <w:rPr>
          <w:rFonts w:hint="eastAsia" w:ascii="Times New Roman" w:hAnsi="Times New Roman" w:eastAsia="仿宋_GB2312"/>
          <w:sz w:val="32"/>
          <w:szCs w:val="32"/>
          <w:lang w:val="en-US" w:eastAsia="zh-CN"/>
        </w:rPr>
        <w:t>省人大来道县调研</w:t>
      </w:r>
      <w:r>
        <w:rPr>
          <w:rFonts w:hint="eastAsia" w:ascii="Times New Roman" w:hAnsi="Times New Roman" w:eastAsia="仿宋_GB2312"/>
          <w:sz w:val="32"/>
          <w:szCs w:val="32"/>
        </w:rPr>
        <w:t>发生的接待支出。</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 xml:space="preserve">        本部门无政府性基金预算收入及支出。</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本部门</w:t>
      </w:r>
      <w:r>
        <w:rPr>
          <w:rFonts w:hint="eastAsia" w:ascii="Times New Roman" w:hAnsi="Times New Roman" w:eastAsia="仿宋_GB2312"/>
          <w:sz w:val="32"/>
          <w:szCs w:val="32"/>
          <w:highlight w:val="none"/>
          <w:lang w:eastAsia="zh-CN"/>
        </w:rPr>
        <w:t>2025年</w:t>
      </w:r>
      <w:r>
        <w:rPr>
          <w:rFonts w:hint="eastAsia" w:ascii="Times New Roman" w:hAnsi="Times New Roman" w:eastAsia="仿宋_GB2312"/>
          <w:sz w:val="32"/>
          <w:szCs w:val="32"/>
          <w:highlight w:val="none"/>
        </w:rPr>
        <w:t>度机关运行经费支出</w:t>
      </w:r>
      <w:r>
        <w:rPr>
          <w:rFonts w:hint="eastAsia" w:ascii="Times New Roman" w:hAnsi="Times New Roman" w:eastAsia="仿宋_GB2312"/>
          <w:sz w:val="32"/>
          <w:szCs w:val="32"/>
          <w:highlight w:val="none"/>
          <w:lang w:val="en-US" w:eastAsia="zh-CN"/>
        </w:rPr>
        <w:t>70.11</w:t>
      </w:r>
      <w:r>
        <w:rPr>
          <w:rFonts w:hint="eastAsia" w:ascii="Times New Roman" w:hAnsi="Times New Roman" w:eastAsia="仿宋_GB2312"/>
          <w:sz w:val="32"/>
          <w:szCs w:val="32"/>
          <w:highlight w:val="none"/>
        </w:rPr>
        <w:t>万元，比上年决算数</w:t>
      </w:r>
      <w:r>
        <w:rPr>
          <w:rFonts w:hint="eastAsia" w:ascii="Times New Roman" w:hAnsi="Times New Roman" w:eastAsia="仿宋_GB2312"/>
          <w:sz w:val="32"/>
          <w:szCs w:val="32"/>
          <w:highlight w:val="none"/>
          <w:lang w:eastAsia="zh-CN"/>
        </w:rPr>
        <w:t>减少</w:t>
      </w:r>
      <w:r>
        <w:rPr>
          <w:rFonts w:hint="eastAsia" w:ascii="Times New Roman" w:hAnsi="Times New Roman" w:eastAsia="仿宋_GB2312"/>
          <w:sz w:val="32"/>
          <w:szCs w:val="32"/>
          <w:highlight w:val="none"/>
          <w:lang w:val="en-US" w:eastAsia="zh-CN"/>
        </w:rPr>
        <w:t>21.14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下降</w:t>
      </w:r>
      <w:r>
        <w:rPr>
          <w:rFonts w:hint="eastAsia" w:ascii="Times New Roman" w:hAnsi="Times New Roman" w:eastAsia="仿宋_GB2312"/>
          <w:sz w:val="32"/>
          <w:szCs w:val="32"/>
          <w:highlight w:val="none"/>
          <w:lang w:val="en-US" w:eastAsia="zh-CN"/>
        </w:rPr>
        <w:t>23.17</w:t>
      </w:r>
      <w:r>
        <w:rPr>
          <w:rFonts w:hint="eastAsia" w:ascii="Times New Roman" w:hAnsi="Times New Roman" w:eastAsia="仿宋_GB2312"/>
          <w:sz w:val="32"/>
          <w:szCs w:val="32"/>
          <w:highlight w:val="none"/>
        </w:rPr>
        <w:t>%。主要原因是：</w:t>
      </w:r>
      <w:r>
        <w:rPr>
          <w:rFonts w:hint="eastAsia" w:ascii="Times New Roman" w:hAnsi="Times New Roman" w:eastAsia="仿宋_GB2312"/>
          <w:sz w:val="32"/>
          <w:szCs w:val="32"/>
          <w:highlight w:val="none"/>
          <w:lang w:val="en-US" w:eastAsia="zh-CN"/>
        </w:rPr>
        <w:t>主要是厉行节约，压缩公用经费</w:t>
      </w:r>
      <w:r>
        <w:rPr>
          <w:rFonts w:hint="eastAsia" w:ascii="Times New Roman" w:hAnsi="Times New Roman" w:eastAsia="仿宋_GB2312"/>
          <w:sz w:val="32"/>
          <w:szCs w:val="32"/>
          <w:highlight w:val="none"/>
        </w:rPr>
        <w:t>。</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3"/>
        <w:keepNext w:val="0"/>
        <w:keepLines w:val="0"/>
        <w:pageBreakBefore w:val="0"/>
        <w:widowControl w:val="0"/>
        <w:kinsoku/>
        <w:wordWrap/>
        <w:overflowPunct/>
        <w:topLinePunct w:val="0"/>
        <w:bidi w:val="0"/>
        <w:snapToGrid/>
        <w:spacing w:line="600" w:lineRule="exact"/>
        <w:ind w:left="319" w:leftChars="152" w:firstLine="960" w:firstLineChars="3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eastAsia="zh-CN"/>
        </w:rPr>
        <w:t>2025年</w:t>
      </w:r>
      <w:r>
        <w:rPr>
          <w:rFonts w:hint="eastAsia" w:ascii="Times New Roman" w:hAnsi="Times New Roman" w:eastAsia="仿宋_GB2312"/>
          <w:color w:val="auto"/>
          <w:sz w:val="32"/>
          <w:szCs w:val="32"/>
          <w:highlight w:val="none"/>
        </w:rPr>
        <w:t>本部门开支会议费</w:t>
      </w:r>
      <w:r>
        <w:rPr>
          <w:rFonts w:hint="eastAsia" w:ascii="Times New Roman" w:hAnsi="Times New Roman" w:eastAsia="仿宋_GB2312"/>
          <w:color w:val="auto"/>
          <w:sz w:val="32"/>
          <w:szCs w:val="32"/>
          <w:highlight w:val="none"/>
          <w:lang w:val="en-US" w:eastAsia="zh-CN"/>
        </w:rPr>
        <w:t>98.7</w:t>
      </w:r>
      <w:r>
        <w:rPr>
          <w:rFonts w:hint="eastAsia" w:ascii="Times New Roman" w:hAnsi="Times New Roman" w:eastAsia="仿宋_GB2312"/>
          <w:color w:val="auto"/>
          <w:sz w:val="32"/>
          <w:szCs w:val="32"/>
          <w:highlight w:val="none"/>
        </w:rPr>
        <w:t>万元，用于召开会议，用于</w:t>
      </w:r>
      <w:bookmarkStart w:id="7" w:name="MEET_FUNDS_COUNT"/>
      <w:r>
        <w:rPr>
          <w:rFonts w:hint="eastAsia" w:ascii="Times New Roman" w:hAnsi="Times New Roman" w:eastAsia="仿宋_GB2312"/>
          <w:color w:val="auto"/>
          <w:sz w:val="32"/>
          <w:szCs w:val="32"/>
          <w:highlight w:val="none"/>
        </w:rPr>
        <w:t>人大</w:t>
      </w:r>
      <w:bookmarkEnd w:id="7"/>
      <w:r>
        <w:rPr>
          <w:rFonts w:hint="eastAsia" w:ascii="Times New Roman" w:hAnsi="Times New Roman" w:eastAsia="仿宋_GB2312"/>
          <w:color w:val="auto"/>
          <w:sz w:val="32"/>
          <w:szCs w:val="32"/>
          <w:highlight w:val="none"/>
        </w:rPr>
        <w:t>会议，人数</w:t>
      </w:r>
      <w:bookmarkStart w:id="8" w:name="MEET_FUNDS_RS"/>
      <w:r>
        <w:rPr>
          <w:rFonts w:hint="eastAsia" w:ascii="Times New Roman" w:hAnsi="Times New Roman" w:eastAsia="仿宋_GB2312"/>
          <w:color w:val="auto"/>
          <w:sz w:val="32"/>
          <w:szCs w:val="32"/>
          <w:highlight w:val="none"/>
        </w:rPr>
        <w:t>52</w:t>
      </w:r>
      <w:bookmarkEnd w:id="8"/>
      <w:r>
        <w:rPr>
          <w:rFonts w:hint="eastAsia" w:ascii="Times New Roman" w:hAnsi="Times New Roman" w:eastAsia="仿宋_GB2312"/>
          <w:color w:val="auto"/>
          <w:sz w:val="32"/>
          <w:szCs w:val="32"/>
          <w:highlight w:val="none"/>
          <w:lang w:val="en-US" w:eastAsia="zh-CN"/>
        </w:rPr>
        <w:t>6</w:t>
      </w:r>
      <w:r>
        <w:rPr>
          <w:rFonts w:hint="eastAsia" w:ascii="Times New Roman" w:hAnsi="Times New Roman" w:eastAsia="仿宋_GB2312"/>
          <w:color w:val="auto"/>
          <w:sz w:val="32"/>
          <w:szCs w:val="32"/>
          <w:highlight w:val="none"/>
        </w:rPr>
        <w:t>人，内容为</w:t>
      </w:r>
      <w:bookmarkStart w:id="9" w:name="MEET_FUNDS_HYNR"/>
      <w:r>
        <w:rPr>
          <w:rFonts w:hint="eastAsia" w:ascii="Times New Roman" w:hAnsi="Times New Roman" w:eastAsia="仿宋_GB2312"/>
          <w:color w:val="auto"/>
          <w:sz w:val="32"/>
          <w:szCs w:val="32"/>
          <w:highlight w:val="none"/>
        </w:rPr>
        <w:t>全县人大代表、特邀人员、列席人员、工作人员等，用于住宿、餐费、资料、租车等</w:t>
      </w:r>
      <w:bookmarkEnd w:id="9"/>
      <w:bookmarkStart w:id="10" w:name="END_MEET_FUNDS_AMT"/>
      <w:bookmarkEnd w:id="10"/>
      <w:r>
        <w:rPr>
          <w:rFonts w:hint="eastAsia" w:ascii="Times New Roman" w:hAnsi="Times New Roman" w:eastAsia="仿宋_GB2312"/>
          <w:color w:val="auto"/>
          <w:sz w:val="32"/>
          <w:szCs w:val="32"/>
          <w:highlight w:val="none"/>
        </w:rPr>
        <w:t>；开支培训费</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万元</w:t>
      </w:r>
      <w:bookmarkStart w:id="11" w:name="START_TRAIN_FUNDS_AMT"/>
      <w:bookmarkEnd w:id="11"/>
      <w:r>
        <w:rPr>
          <w:rFonts w:hint="eastAsia" w:ascii="Times New Roman" w:hAnsi="Times New Roman" w:eastAsia="仿宋_GB2312"/>
          <w:color w:val="auto"/>
          <w:sz w:val="32"/>
          <w:szCs w:val="32"/>
          <w:highlight w:val="none"/>
        </w:rPr>
        <w:t>；</w:t>
      </w:r>
      <w:bookmarkStart w:id="12" w:name="DIS_MARK_YES"/>
      <w:bookmarkEnd w:id="12"/>
      <w:bookmarkStart w:id="13" w:name="START_YES"/>
      <w:bookmarkEnd w:id="13"/>
      <w:bookmarkStart w:id="14" w:name="YES_NO"/>
      <w:bookmarkEnd w:id="14"/>
      <w:bookmarkStart w:id="15" w:name="END_YES"/>
      <w:bookmarkEnd w:id="15"/>
      <w:bookmarkStart w:id="16" w:name="START_NO"/>
      <w:bookmarkEnd w:id="16"/>
      <w:r>
        <w:rPr>
          <w:rFonts w:hint="eastAsia" w:ascii="Times New Roman" w:hAnsi="Times New Roman" w:eastAsia="仿宋_GB2312"/>
          <w:color w:val="auto"/>
          <w:sz w:val="32"/>
          <w:szCs w:val="32"/>
          <w:highlight w:val="none"/>
        </w:rPr>
        <w:t>未举办节庆、晚会、论坛、赛事活动</w:t>
      </w:r>
      <w:r>
        <w:rPr>
          <w:rFonts w:hint="eastAsia" w:ascii="Times New Roman" w:hAnsi="Times New Roman" w:eastAsia="仿宋_GB2312"/>
          <w:color w:val="auto"/>
          <w:sz w:val="32"/>
          <w:szCs w:val="32"/>
          <w:highlight w:val="none"/>
          <w:lang w:eastAsia="zh-CN"/>
        </w:rPr>
        <w:t>。</w:t>
      </w:r>
    </w:p>
    <w:p>
      <w:pPr>
        <w:pStyle w:val="13"/>
        <w:keepNext w:val="0"/>
        <w:keepLines w:val="0"/>
        <w:pageBreakBefore w:val="0"/>
        <w:widowControl w:val="0"/>
        <w:kinsoku/>
        <w:wordWrap/>
        <w:overflowPunct/>
        <w:topLinePunct w:val="0"/>
        <w:bidi w:val="0"/>
        <w:snapToGrid/>
        <w:spacing w:line="600" w:lineRule="exact"/>
        <w:ind w:firstLine="1280" w:firstLineChars="4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left="319" w:leftChars="152" w:firstLine="960" w:firstLineChars="3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rPr>
        <w:t>本部门</w:t>
      </w:r>
      <w:r>
        <w:rPr>
          <w:rFonts w:hint="eastAsia" w:ascii="Times New Roman" w:hAnsi="Times New Roman" w:eastAsia="仿宋_GB2312"/>
          <w:color w:val="auto"/>
          <w:sz w:val="32"/>
          <w:szCs w:val="32"/>
          <w:highlight w:val="none"/>
          <w:lang w:eastAsia="zh-CN"/>
        </w:rPr>
        <w:t>2025年</w:t>
      </w:r>
      <w:r>
        <w:rPr>
          <w:rFonts w:hint="eastAsia" w:ascii="Times New Roman" w:hAnsi="Times New Roman" w:eastAsia="仿宋_GB2312"/>
          <w:color w:val="auto"/>
          <w:sz w:val="32"/>
          <w:szCs w:val="32"/>
          <w:highlight w:val="none"/>
        </w:rPr>
        <w:t>度政府采购支出总额</w:t>
      </w:r>
      <w:r>
        <w:rPr>
          <w:rFonts w:hint="eastAsia" w:ascii="Times New Roman" w:hAnsi="Times New Roman" w:eastAsia="仿宋_GB2312"/>
          <w:color w:val="auto"/>
          <w:sz w:val="32"/>
          <w:szCs w:val="32"/>
          <w:highlight w:val="none"/>
          <w:lang w:val="en-US" w:eastAsia="zh-CN"/>
        </w:rPr>
        <w:t>10</w:t>
      </w:r>
      <w:r>
        <w:rPr>
          <w:rFonts w:hint="eastAsia" w:ascii="Times New Roman" w:hAnsi="Times New Roman" w:eastAsia="仿宋_GB2312"/>
          <w:color w:val="auto"/>
          <w:sz w:val="32"/>
          <w:szCs w:val="32"/>
          <w:highlight w:val="none"/>
        </w:rPr>
        <w:t>万元</w:t>
      </w:r>
      <w:r>
        <w:rPr>
          <w:rFonts w:hint="eastAsia" w:ascii="Times New Roman" w:hAnsi="Times New Roman" w:eastAsia="仿宋_GB2312"/>
          <w:color w:val="auto"/>
          <w:sz w:val="32"/>
          <w:szCs w:val="32"/>
          <w:highlight w:val="none"/>
          <w:lang w:val="en-US" w:eastAsia="zh-CN"/>
        </w:rPr>
        <w:t>，其中：政府采购货物支出</w:t>
      </w:r>
      <w:bookmarkStart w:id="17" w:name="GP_BGT_CGHW_AMT"/>
      <w:r>
        <w:rPr>
          <w:rFonts w:hint="eastAsia" w:ascii="Times New Roman" w:hAnsi="Times New Roman" w:eastAsia="仿宋_GB2312"/>
          <w:color w:val="auto"/>
          <w:sz w:val="32"/>
          <w:szCs w:val="32"/>
          <w:highlight w:val="none"/>
          <w:lang w:val="en-US" w:eastAsia="zh-CN"/>
        </w:rPr>
        <w:t>10</w:t>
      </w:r>
      <w:bookmarkEnd w:id="17"/>
      <w:r>
        <w:rPr>
          <w:rFonts w:hint="eastAsia" w:ascii="Times New Roman" w:hAnsi="Times New Roman" w:eastAsia="仿宋_GB2312"/>
          <w:color w:val="auto"/>
          <w:sz w:val="32"/>
          <w:szCs w:val="32"/>
          <w:highlight w:val="none"/>
          <w:lang w:val="en-US" w:eastAsia="zh-CN"/>
        </w:rPr>
        <w:t>万元、政府采购工程支出</w:t>
      </w:r>
      <w:bookmarkStart w:id="18" w:name="GP_BGT_CGGC_AMT"/>
      <w:r>
        <w:rPr>
          <w:rFonts w:hint="eastAsia" w:ascii="Times New Roman" w:hAnsi="Times New Roman" w:eastAsia="仿宋_GB2312"/>
          <w:color w:val="auto"/>
          <w:sz w:val="32"/>
          <w:szCs w:val="32"/>
          <w:highlight w:val="none"/>
          <w:lang w:val="en-US" w:eastAsia="zh-CN"/>
        </w:rPr>
        <w:t>0</w:t>
      </w:r>
      <w:bookmarkEnd w:id="18"/>
      <w:r>
        <w:rPr>
          <w:rFonts w:hint="eastAsia" w:ascii="Times New Roman" w:hAnsi="Times New Roman" w:eastAsia="仿宋_GB2312"/>
          <w:color w:val="auto"/>
          <w:sz w:val="32"/>
          <w:szCs w:val="32"/>
          <w:highlight w:val="none"/>
          <w:lang w:val="en-US" w:eastAsia="zh-CN"/>
        </w:rPr>
        <w:t>万元、政府采购服务支出</w:t>
      </w:r>
      <w:bookmarkStart w:id="19" w:name="GP_BGT_CGFW_AMT"/>
      <w:r>
        <w:rPr>
          <w:rFonts w:hint="eastAsia" w:ascii="Times New Roman" w:hAnsi="Times New Roman" w:eastAsia="仿宋_GB2312"/>
          <w:color w:val="auto"/>
          <w:sz w:val="32"/>
          <w:szCs w:val="32"/>
          <w:highlight w:val="none"/>
          <w:lang w:val="en-US" w:eastAsia="zh-CN"/>
        </w:rPr>
        <w:t>0</w:t>
      </w:r>
      <w:bookmarkEnd w:id="19"/>
      <w:r>
        <w:rPr>
          <w:rFonts w:hint="eastAsia" w:ascii="Times New Roman" w:hAnsi="Times New Roman" w:eastAsia="仿宋_GB2312"/>
          <w:color w:val="auto"/>
          <w:sz w:val="32"/>
          <w:szCs w:val="32"/>
          <w:highlight w:val="none"/>
          <w:lang w:val="en-US" w:eastAsia="zh-CN"/>
        </w:rPr>
        <w:t>万元。授予中小企业合同金额</w:t>
      </w:r>
      <w:bookmarkStart w:id="20" w:name="GP_BGT_ZXQY_AMT"/>
      <w:r>
        <w:rPr>
          <w:rFonts w:hint="eastAsia" w:ascii="Times New Roman" w:hAnsi="Times New Roman" w:eastAsia="仿宋_GB2312"/>
          <w:color w:val="auto"/>
          <w:sz w:val="32"/>
          <w:szCs w:val="32"/>
          <w:highlight w:val="none"/>
          <w:lang w:val="en-US" w:eastAsia="zh-CN"/>
        </w:rPr>
        <w:t>0</w:t>
      </w:r>
      <w:bookmarkEnd w:id="20"/>
      <w:r>
        <w:rPr>
          <w:rFonts w:hint="eastAsia" w:ascii="Times New Roman" w:hAnsi="Times New Roman" w:eastAsia="仿宋_GB2312"/>
          <w:color w:val="auto"/>
          <w:sz w:val="32"/>
          <w:szCs w:val="32"/>
          <w:highlight w:val="none"/>
          <w:lang w:val="en-US" w:eastAsia="zh-CN"/>
        </w:rPr>
        <w:t>万元，占政府采购支出总额的</w:t>
      </w:r>
      <w:bookmarkStart w:id="21" w:name="GP_BGT_ZXQY_AMT_BL"/>
      <w:r>
        <w:rPr>
          <w:rFonts w:hint="eastAsia" w:ascii="Times New Roman" w:hAnsi="Times New Roman" w:eastAsia="仿宋_GB2312"/>
          <w:color w:val="auto"/>
          <w:sz w:val="32"/>
          <w:szCs w:val="32"/>
          <w:highlight w:val="none"/>
          <w:lang w:val="en-US" w:eastAsia="zh-CN"/>
        </w:rPr>
        <w:t>0.00</w:t>
      </w:r>
      <w:bookmarkEnd w:id="21"/>
      <w:r>
        <w:rPr>
          <w:rFonts w:hint="eastAsia" w:ascii="Times New Roman" w:hAnsi="Times New Roman" w:eastAsia="仿宋_GB2312"/>
          <w:color w:val="auto"/>
          <w:sz w:val="32"/>
          <w:szCs w:val="32"/>
          <w:highlight w:val="none"/>
          <w:lang w:val="en-US" w:eastAsia="zh-CN"/>
        </w:rPr>
        <w:t>%，其中：授予小微企业合同金额2万元，占政府采购支出总额的20.00%；货物采购授予中小企业合同金额占货物支出金额的</w:t>
      </w:r>
      <w:bookmarkStart w:id="22" w:name="GP_BGT_CGHW_AMT_BL"/>
      <w:r>
        <w:rPr>
          <w:rFonts w:hint="eastAsia" w:ascii="Times New Roman" w:hAnsi="Times New Roman" w:eastAsia="仿宋_GB2312"/>
          <w:color w:val="auto"/>
          <w:sz w:val="32"/>
          <w:szCs w:val="32"/>
          <w:highlight w:val="none"/>
          <w:lang w:val="en-US" w:eastAsia="zh-CN"/>
        </w:rPr>
        <w:t>0</w:t>
      </w:r>
      <w:bookmarkEnd w:id="22"/>
      <w:r>
        <w:rPr>
          <w:rFonts w:hint="eastAsia" w:ascii="Times New Roman" w:hAnsi="Times New Roman" w:eastAsia="仿宋_GB2312"/>
          <w:color w:val="auto"/>
          <w:sz w:val="32"/>
          <w:szCs w:val="32"/>
          <w:highlight w:val="none"/>
          <w:lang w:val="en-US" w:eastAsia="zh-CN"/>
        </w:rPr>
        <w:t>%，工程采购授予中小企业合同金额占工程支出金额的</w:t>
      </w:r>
      <w:bookmarkStart w:id="23" w:name="GP_BGT_CGGC_AMT_BL"/>
      <w:r>
        <w:rPr>
          <w:rFonts w:hint="eastAsia" w:ascii="Times New Roman" w:hAnsi="Times New Roman" w:eastAsia="仿宋_GB2312"/>
          <w:color w:val="auto"/>
          <w:sz w:val="32"/>
          <w:szCs w:val="32"/>
          <w:highlight w:val="none"/>
          <w:lang w:val="en-US" w:eastAsia="zh-CN"/>
        </w:rPr>
        <w:t>0</w:t>
      </w:r>
      <w:bookmarkEnd w:id="23"/>
      <w:r>
        <w:rPr>
          <w:rFonts w:hint="eastAsia" w:ascii="Times New Roman" w:hAnsi="Times New Roman" w:eastAsia="仿宋_GB2312"/>
          <w:color w:val="auto"/>
          <w:sz w:val="32"/>
          <w:szCs w:val="32"/>
          <w:highlight w:val="none"/>
          <w:lang w:val="en-US" w:eastAsia="zh-CN"/>
        </w:rPr>
        <w:t>%，服务采购授予中小企业合同金额占服务支出金额的</w:t>
      </w:r>
      <w:bookmarkStart w:id="24" w:name="GP_BGT_CGFW_AMT_BL"/>
      <w:r>
        <w:rPr>
          <w:rFonts w:hint="eastAsia" w:ascii="Times New Roman" w:hAnsi="Times New Roman" w:eastAsia="仿宋_GB2312"/>
          <w:color w:val="auto"/>
          <w:sz w:val="32"/>
          <w:szCs w:val="32"/>
          <w:highlight w:val="none"/>
          <w:lang w:val="en-US" w:eastAsia="zh-CN"/>
        </w:rPr>
        <w:t>0</w:t>
      </w:r>
      <w:bookmarkEnd w:id="24"/>
      <w:r>
        <w:rPr>
          <w:rFonts w:hint="eastAsia" w:ascii="Times New Roman" w:hAnsi="Times New Roman" w:eastAsia="仿宋_GB2312"/>
          <w:color w:val="auto"/>
          <w:sz w:val="32"/>
          <w:szCs w:val="32"/>
          <w:highlight w:val="none"/>
          <w:lang w:val="en-US" w:eastAsia="zh-CN"/>
        </w:rPr>
        <w:t>%。</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1280" w:firstLineChars="4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left="319" w:leftChars="152" w:firstLine="960" w:firstLineChars="300"/>
        <w:textAlignment w:val="auto"/>
        <w:rPr>
          <w:rFonts w:ascii="Times New Roman" w:hAnsi="Times New Roman" w:eastAsia="仿宋_GB2312"/>
          <w:color w:val="auto"/>
          <w:sz w:val="32"/>
          <w:szCs w:val="32"/>
          <w:highlight w:val="yellow"/>
        </w:rPr>
      </w:pPr>
      <w:r>
        <w:rPr>
          <w:rFonts w:hint="eastAsia" w:ascii="Times New Roman" w:hAnsi="Times New Roman" w:eastAsia="仿宋_GB2312"/>
          <w:color w:val="auto"/>
          <w:sz w:val="32"/>
          <w:szCs w:val="32"/>
          <w:highlight w:val="none"/>
        </w:rPr>
        <w:t>截至</w:t>
      </w:r>
      <w:r>
        <w:rPr>
          <w:rFonts w:hint="eastAsia" w:ascii="Times New Roman" w:hAnsi="Times New Roman" w:eastAsia="仿宋_GB2312"/>
          <w:color w:val="auto"/>
          <w:sz w:val="32"/>
          <w:szCs w:val="32"/>
          <w:highlight w:val="none"/>
          <w:lang w:eastAsia="zh-CN"/>
        </w:rPr>
        <w:t>2025年</w:t>
      </w:r>
      <w:r>
        <w:rPr>
          <w:rFonts w:hint="eastAsia" w:ascii="Times New Roman" w:hAnsi="Times New Roman" w:eastAsia="仿宋_GB2312"/>
          <w:color w:val="auto"/>
          <w:sz w:val="32"/>
          <w:szCs w:val="32"/>
          <w:highlight w:val="none"/>
        </w:rPr>
        <w:t>12月31日，</w:t>
      </w:r>
      <w:r>
        <w:rPr>
          <w:rFonts w:hint="eastAsia" w:ascii="Times New Roman" w:hAnsi="Times New Roman" w:eastAsia="仿宋_GB2312"/>
          <w:color w:val="auto"/>
          <w:sz w:val="32"/>
          <w:szCs w:val="32"/>
          <w:highlight w:val="none"/>
          <w:lang w:eastAsia="zh-CN"/>
        </w:rPr>
        <w:t>部门（单位）</w:t>
      </w:r>
      <w:r>
        <w:rPr>
          <w:rFonts w:hint="eastAsia" w:ascii="Times New Roman" w:hAnsi="Times New Roman" w:eastAsia="仿宋_GB2312"/>
          <w:color w:val="auto"/>
          <w:sz w:val="32"/>
          <w:szCs w:val="32"/>
          <w:highlight w:val="none"/>
        </w:rPr>
        <w:t>共有车辆</w:t>
      </w:r>
      <w:r>
        <w:rPr>
          <w:rFonts w:hint="eastAsia" w:ascii="Times New Roman" w:hAnsi="Times New Roman" w:eastAsia="仿宋_GB2312"/>
          <w:color w:val="auto"/>
          <w:sz w:val="32"/>
          <w:szCs w:val="32"/>
          <w:highlight w:val="none"/>
          <w:lang w:val="en-US" w:eastAsia="zh-CN"/>
        </w:rPr>
        <w:t>0</w:t>
      </w:r>
      <w:r>
        <w:rPr>
          <w:rFonts w:hint="eastAsia" w:ascii="Times New Roman" w:hAnsi="Times New Roman" w:eastAsia="仿宋_GB2312"/>
          <w:color w:val="auto"/>
          <w:sz w:val="32"/>
          <w:szCs w:val="32"/>
          <w:highlight w:val="none"/>
        </w:rPr>
        <w:t>辆，本部门共有公务用车0辆，其中，主要领导干部用车0辆、机要通信用车0辆、应急保障用车0辆、执法执勤用车0辆、特种专业技术用车0辆、其他按照规定配备的公务用车0辆；单位价值50万元以上通用设备0台（套），单位价值100万元以上专用设备0台（套）。</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1280" w:firstLineChars="4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十三、关于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绩效情况的说明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1280" w:firstLineChars="400"/>
        <w:jc w:val="left"/>
        <w:textAlignment w:val="auto"/>
        <w:rPr>
          <w:rFonts w:hint="eastAsia" w:ascii="Times New Roman" w:hAnsi="Times New Roman" w:eastAsia="仿宋_GB2312"/>
          <w:b w:val="0"/>
          <w:bCs w:val="0"/>
          <w:color w:val="auto"/>
          <w:sz w:val="32"/>
          <w:szCs w:val="32"/>
          <w:highlight w:val="none"/>
        </w:rPr>
      </w:pPr>
      <w:r>
        <w:rPr>
          <w:rFonts w:hint="eastAsia" w:ascii="楷体" w:hAnsi="楷体" w:eastAsia="楷体" w:cs="楷体"/>
          <w:b w:val="0"/>
          <w:bCs w:val="0"/>
          <w:color w:val="auto"/>
          <w:sz w:val="32"/>
          <w:szCs w:val="32"/>
          <w:highlight w:val="none"/>
          <w:lang w:eastAsia="zh-CN"/>
        </w:rPr>
        <w:t>本部门预算绩效管理开展情况、绩效目标和绩效评价报告等</w:t>
      </w:r>
      <w:r>
        <w:rPr>
          <w:rFonts w:hint="eastAsia" w:ascii="楷体" w:hAnsi="楷体" w:eastAsia="楷体" w:cs="楷体"/>
          <w:b w:val="0"/>
          <w:bCs w:val="0"/>
          <w:color w:val="auto"/>
          <w:sz w:val="32"/>
          <w:szCs w:val="32"/>
          <w:highlight w:val="none"/>
          <w:lang w:val="en-US" w:eastAsia="zh-CN"/>
        </w:rPr>
        <w:t>详见</w:t>
      </w:r>
      <w:r>
        <w:rPr>
          <w:rFonts w:hint="eastAsia" w:ascii="楷体" w:hAnsi="楷体" w:eastAsia="楷体" w:cs="楷体"/>
          <w:b w:val="0"/>
          <w:bCs w:val="0"/>
          <w:color w:val="auto"/>
          <w:sz w:val="32"/>
          <w:szCs w:val="32"/>
          <w:highlight w:val="none"/>
          <w:lang w:eastAsia="zh-CN"/>
        </w:rPr>
        <w:t>附件</w:t>
      </w:r>
      <w:r>
        <w:rPr>
          <w:rFonts w:hint="eastAsia" w:ascii="Times New Roman" w:hAnsi="Times New Roman" w:eastAsia="仿宋_GB2312"/>
          <w:b w:val="0"/>
          <w:bCs w:val="0"/>
          <w:color w:val="auto"/>
          <w:sz w:val="32"/>
          <w:szCs w:val="32"/>
          <w:highlight w:val="none"/>
        </w:rPr>
        <w:t>。</w:t>
      </w:r>
    </w:p>
    <w:p>
      <w:pPr>
        <w:pStyle w:val="13"/>
        <w:jc w:val="both"/>
        <w:rPr>
          <w:color w:val="auto"/>
          <w:sz w:val="72"/>
          <w:szCs w:val="72"/>
          <w:highlight w:val="yellow"/>
        </w:rPr>
      </w:pPr>
    </w:p>
    <w:p>
      <w:pPr>
        <w:pStyle w:val="13"/>
        <w:jc w:val="center"/>
        <w:rPr>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tabs>
          <w:tab w:val="left" w:pos="360"/>
        </w:tabs>
        <w:spacing w:line="360" w:lineRule="auto"/>
        <w:ind w:left="319" w:leftChars="152"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b/>
          <w:bCs/>
          <w:color w:val="000000"/>
          <w:sz w:val="32"/>
          <w:szCs w:val="32"/>
          <w:shd w:val="clear" w:color="auto" w:fill="FFFFFF"/>
          <w:lang w:val="en-US" w:eastAsia="zh-CN"/>
        </w:rPr>
        <w:t>一、</w:t>
      </w:r>
      <w:r>
        <w:rPr>
          <w:rFonts w:hint="eastAsia" w:ascii="仿宋" w:hAnsi="仿宋" w:eastAsia="仿宋" w:cs="仿宋"/>
          <w:b/>
          <w:bCs/>
          <w:color w:val="000000"/>
          <w:sz w:val="32"/>
          <w:szCs w:val="32"/>
          <w:shd w:val="clear" w:color="auto" w:fill="FFFFFF"/>
        </w:rPr>
        <w:t>财政拨款收入：</w:t>
      </w:r>
      <w:r>
        <w:rPr>
          <w:rFonts w:hint="eastAsia" w:ascii="仿宋" w:hAnsi="仿宋" w:eastAsia="仿宋" w:cs="仿宋"/>
          <w:color w:val="000000"/>
          <w:sz w:val="32"/>
          <w:szCs w:val="32"/>
          <w:shd w:val="clear" w:color="auto" w:fill="FFFFFF"/>
        </w:rPr>
        <w:t>指单位本年度从同级财政部门取得的各类财政拨款。</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二、</w:t>
      </w:r>
      <w:r>
        <w:rPr>
          <w:rFonts w:hint="eastAsia" w:ascii="仿宋" w:hAnsi="仿宋" w:eastAsia="仿宋" w:cs="仿宋"/>
          <w:b/>
          <w:bCs/>
          <w:color w:val="000000"/>
          <w:sz w:val="32"/>
          <w:szCs w:val="32"/>
          <w:shd w:val="clear" w:color="auto" w:fill="FFFFFF"/>
        </w:rPr>
        <w:t>机关运行经费：</w:t>
      </w:r>
      <w:r>
        <w:rPr>
          <w:rFonts w:hint="eastAsia" w:ascii="仿宋" w:hAnsi="仿宋" w:eastAsia="仿宋" w:cs="仿宋"/>
          <w:color w:val="000000"/>
          <w:sz w:val="32"/>
          <w:szCs w:val="32"/>
          <w:shd w:val="clear" w:color="auto" w:fill="FFFFFF"/>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三、</w:t>
      </w:r>
      <w:r>
        <w:rPr>
          <w:rFonts w:hint="eastAsia" w:ascii="仿宋" w:hAnsi="仿宋" w:eastAsia="仿宋" w:cs="仿宋"/>
          <w:b/>
          <w:bCs/>
          <w:color w:val="000000"/>
          <w:sz w:val="32"/>
          <w:szCs w:val="32"/>
          <w:shd w:val="clear" w:color="auto" w:fill="FFFFFF"/>
        </w:rPr>
        <w:t>“三公”经费：</w:t>
      </w:r>
      <w:r>
        <w:rPr>
          <w:rFonts w:hint="eastAsia" w:ascii="仿宋" w:hAnsi="仿宋" w:eastAsia="仿宋" w:cs="仿宋"/>
          <w:color w:val="000000"/>
          <w:sz w:val="32"/>
          <w:szCs w:val="32"/>
          <w:shd w:val="clear" w:color="auto" w:fill="FFFFFF"/>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四、</w:t>
      </w:r>
      <w:r>
        <w:rPr>
          <w:rFonts w:hint="eastAsia" w:ascii="仿宋" w:hAnsi="仿宋" w:eastAsia="仿宋" w:cs="仿宋"/>
          <w:b/>
          <w:bCs/>
          <w:color w:val="000000"/>
          <w:sz w:val="32"/>
          <w:szCs w:val="32"/>
          <w:shd w:val="clear" w:color="auto" w:fill="FFFFFF"/>
        </w:rPr>
        <w:t>一般公共服务支出（类）人大事务（款）行政运行（项）：</w:t>
      </w:r>
      <w:r>
        <w:rPr>
          <w:rFonts w:hint="eastAsia" w:ascii="仿宋" w:hAnsi="仿宋" w:eastAsia="仿宋" w:cs="仿宋"/>
          <w:color w:val="000000"/>
          <w:sz w:val="32"/>
          <w:szCs w:val="32"/>
          <w:shd w:val="clear" w:color="auto" w:fill="FFFFFF"/>
        </w:rPr>
        <w:t>反映行政单位（包括实行公务员管理的事业单位）的基本支出。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五、</w:t>
      </w:r>
      <w:r>
        <w:rPr>
          <w:rFonts w:hint="eastAsia" w:ascii="仿宋" w:hAnsi="仿宋" w:eastAsia="仿宋" w:cs="仿宋"/>
          <w:b/>
          <w:bCs/>
          <w:color w:val="000000"/>
          <w:sz w:val="32"/>
          <w:szCs w:val="32"/>
          <w:shd w:val="clear" w:color="auto" w:fill="FFFFFF"/>
        </w:rPr>
        <w:t>一般公共服务支出（类）人大事务（款）人大会议（项）：</w:t>
      </w:r>
      <w:r>
        <w:rPr>
          <w:rFonts w:hint="eastAsia" w:ascii="仿宋" w:hAnsi="仿宋" w:eastAsia="仿宋" w:cs="仿宋"/>
          <w:color w:val="000000"/>
          <w:sz w:val="32"/>
          <w:szCs w:val="32"/>
          <w:shd w:val="clear" w:color="auto" w:fill="FFFFFF"/>
        </w:rPr>
        <w:t>反映各级人大召开人民代表大会等专门会议的支出。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六、</w:t>
      </w:r>
      <w:r>
        <w:rPr>
          <w:rFonts w:hint="eastAsia" w:ascii="仿宋" w:hAnsi="仿宋" w:eastAsia="仿宋" w:cs="仿宋"/>
          <w:b/>
          <w:bCs/>
          <w:color w:val="000000"/>
          <w:sz w:val="32"/>
          <w:szCs w:val="32"/>
          <w:shd w:val="clear" w:color="auto" w:fill="FFFFFF"/>
        </w:rPr>
        <w:t>一般公共服务支出（类）人大事务（款）人大监督（项）：</w:t>
      </w:r>
      <w:r>
        <w:rPr>
          <w:rFonts w:hint="eastAsia" w:ascii="仿宋" w:hAnsi="仿宋" w:eastAsia="仿宋" w:cs="仿宋"/>
          <w:color w:val="000000"/>
          <w:sz w:val="32"/>
          <w:szCs w:val="32"/>
          <w:shd w:val="clear" w:color="auto" w:fill="FFFFFF"/>
        </w:rPr>
        <w:t>反映各级人大开展监督工作的支出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七、</w:t>
      </w:r>
      <w:r>
        <w:rPr>
          <w:rFonts w:hint="eastAsia" w:ascii="仿宋" w:hAnsi="仿宋" w:eastAsia="仿宋" w:cs="仿宋"/>
          <w:b/>
          <w:bCs/>
          <w:color w:val="000000"/>
          <w:sz w:val="32"/>
          <w:szCs w:val="32"/>
          <w:shd w:val="clear" w:color="auto" w:fill="FFFFFF"/>
        </w:rPr>
        <w:t>一般公共服务支出（类）人大事务（款）人大代表履职能力提升（项）：</w:t>
      </w:r>
      <w:r>
        <w:rPr>
          <w:rFonts w:hint="eastAsia" w:ascii="仿宋" w:hAnsi="仿宋" w:eastAsia="仿宋" w:cs="仿宋"/>
          <w:color w:val="000000"/>
          <w:sz w:val="32"/>
          <w:szCs w:val="32"/>
          <w:shd w:val="clear" w:color="auto" w:fill="FFFFFF"/>
        </w:rPr>
        <w:t>反映各级人大为提高代表履职能力所发生的各项支出。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八、</w:t>
      </w:r>
      <w:r>
        <w:rPr>
          <w:rFonts w:hint="eastAsia" w:ascii="仿宋" w:hAnsi="仿宋" w:eastAsia="仿宋" w:cs="仿宋"/>
          <w:b/>
          <w:bCs/>
          <w:color w:val="000000"/>
          <w:sz w:val="32"/>
          <w:szCs w:val="32"/>
          <w:shd w:val="clear" w:color="auto" w:fill="FFFFFF"/>
        </w:rPr>
        <w:t>一般公共服务支出（类）人大事务（款）代表工作（项）：</w:t>
      </w:r>
      <w:r>
        <w:rPr>
          <w:rFonts w:hint="eastAsia" w:ascii="仿宋" w:hAnsi="仿宋" w:eastAsia="仿宋" w:cs="仿宋"/>
          <w:color w:val="000000"/>
          <w:sz w:val="32"/>
          <w:szCs w:val="32"/>
          <w:shd w:val="clear" w:color="auto" w:fill="FFFFFF"/>
        </w:rPr>
        <w:t>反映人大代表开展各类视察等方面的支出。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九、</w:t>
      </w:r>
      <w:r>
        <w:rPr>
          <w:rFonts w:hint="eastAsia" w:ascii="仿宋" w:hAnsi="仿宋" w:eastAsia="仿宋" w:cs="仿宋"/>
          <w:b/>
          <w:bCs/>
          <w:color w:val="000000"/>
          <w:sz w:val="32"/>
          <w:szCs w:val="32"/>
          <w:shd w:val="clear" w:color="auto" w:fill="FFFFFF"/>
        </w:rPr>
        <w:t>一般公共服务支出（类）人大事务（款）其他人大事务支出（项）</w:t>
      </w:r>
      <w:r>
        <w:rPr>
          <w:rFonts w:hint="eastAsia" w:ascii="仿宋" w:hAnsi="仿宋" w:eastAsia="仿宋" w:cs="仿宋"/>
          <w:color w:val="000000"/>
          <w:sz w:val="32"/>
          <w:szCs w:val="32"/>
          <w:shd w:val="clear" w:color="auto" w:fill="FFFFFF"/>
        </w:rPr>
        <w:t>：反映除上述项目以外的其他人大事务支出。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十、</w:t>
      </w:r>
      <w:r>
        <w:rPr>
          <w:rFonts w:hint="eastAsia" w:ascii="仿宋" w:hAnsi="仿宋" w:eastAsia="仿宋" w:cs="仿宋"/>
          <w:b/>
          <w:bCs/>
          <w:color w:val="000000"/>
          <w:sz w:val="32"/>
          <w:szCs w:val="32"/>
          <w:shd w:val="clear" w:color="auto" w:fill="FFFFFF"/>
        </w:rPr>
        <w:t>一般公共服务支出（类）政府办公厅（室）及相关机构事务（款）其他政府办公厅（室）及相关机构事务支出（项）</w:t>
      </w:r>
      <w:r>
        <w:rPr>
          <w:rFonts w:hint="eastAsia" w:ascii="仿宋" w:hAnsi="仿宋" w:eastAsia="仿宋" w:cs="仿宋"/>
          <w:color w:val="000000"/>
          <w:sz w:val="32"/>
          <w:szCs w:val="32"/>
          <w:shd w:val="clear" w:color="auto" w:fill="FFFFFF"/>
        </w:rPr>
        <w:t>：反映除上述项目以外的其他政府办公厅（室）及相关机构事 务支出。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十一、</w:t>
      </w:r>
      <w:r>
        <w:rPr>
          <w:rFonts w:hint="eastAsia" w:ascii="仿宋" w:hAnsi="仿宋" w:eastAsia="仿宋" w:cs="仿宋"/>
          <w:b/>
          <w:bCs/>
          <w:color w:val="000000"/>
          <w:sz w:val="32"/>
          <w:szCs w:val="32"/>
          <w:shd w:val="clear" w:color="auto" w:fill="FFFFFF"/>
        </w:rPr>
        <w:t>社会保障和就业支出（类）行政事业单位养老支出（款）机关事业单位基本养老保险缴费支出（项）：</w:t>
      </w:r>
      <w:r>
        <w:rPr>
          <w:rFonts w:hint="eastAsia" w:ascii="仿宋" w:hAnsi="仿宋" w:eastAsia="仿宋" w:cs="仿宋"/>
          <w:color w:val="000000"/>
          <w:sz w:val="32"/>
          <w:szCs w:val="32"/>
          <w:shd w:val="clear" w:color="auto" w:fill="FFFFFF"/>
        </w:rPr>
        <w:t>反映机关事业单位实施养老保险制度由单位缴纳的基本养老保险费支出。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b/>
          <w:bCs/>
          <w:color w:val="000000"/>
          <w:sz w:val="32"/>
          <w:szCs w:val="32"/>
          <w:shd w:val="clear" w:color="auto" w:fill="FFFFFF"/>
          <w:lang w:val="en-US" w:eastAsia="zh-CN"/>
        </w:rPr>
        <w:t>十二、</w:t>
      </w:r>
      <w:r>
        <w:rPr>
          <w:rFonts w:hint="eastAsia" w:ascii="仿宋" w:hAnsi="仿宋" w:eastAsia="仿宋" w:cs="仿宋"/>
          <w:b/>
          <w:bCs/>
          <w:color w:val="000000"/>
          <w:sz w:val="32"/>
          <w:szCs w:val="32"/>
          <w:shd w:val="clear" w:color="auto" w:fill="FFFFFF"/>
        </w:rPr>
        <w:t>社会保障和就业支出（类）抚恤（款）死亡抚恤（项）：</w:t>
      </w:r>
      <w:r>
        <w:rPr>
          <w:rFonts w:hint="eastAsia" w:ascii="仿宋" w:hAnsi="仿宋" w:eastAsia="仿宋" w:cs="仿宋"/>
          <w:color w:val="000000"/>
          <w:sz w:val="32"/>
          <w:szCs w:val="32"/>
          <w:shd w:val="clear" w:color="auto" w:fill="FFFFFF"/>
        </w:rPr>
        <w:t>反映按规定用于烈士和牺牲、病故人员家属的一次性和定期 抚恤金、丧葬补助费以及烈士褒扬金。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p>
    <w:p>
      <w:pPr>
        <w:pStyle w:val="13"/>
        <w:jc w:val="center"/>
        <w:rPr>
          <w:sz w:val="72"/>
          <w:szCs w:val="72"/>
        </w:rPr>
      </w:pPr>
    </w:p>
    <w:p>
      <w:pP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both"/>
        <w:rPr>
          <w:rFonts w:hint="eastAsia" w:ascii="方正小标宋_GBK" w:hAnsi="方正小标宋_GBK" w:eastAsia="方正小标宋_GBK" w:cs="方正小标宋_GBK"/>
          <w:sz w:val="72"/>
          <w:szCs w:val="72"/>
        </w:rPr>
      </w:pPr>
    </w:p>
    <w:p>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3"/>
        <w:jc w:val="center"/>
        <w:rPr>
          <w:rFonts w:hint="eastAsia" w:ascii="方正小标宋_GBK" w:hAnsi="方正小标宋_GBK" w:eastAsia="方正小标宋_GBK" w:cs="方正小标宋_GBK"/>
          <w:sz w:val="70"/>
          <w:szCs w:val="70"/>
        </w:rPr>
      </w:pPr>
    </w:p>
    <w:p>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13"/>
        <w:keepNext w:val="0"/>
        <w:keepLines w:val="0"/>
        <w:pageBreakBefore w:val="0"/>
        <w:widowControl w:val="0"/>
        <w:kinsoku/>
        <w:wordWrap/>
        <w:overflowPunct/>
        <w:topLinePunct w:val="0"/>
        <w:bidi w:val="0"/>
        <w:snapToGrid/>
        <w:spacing w:line="600" w:lineRule="exact"/>
        <w:ind w:firstLine="1280" w:firstLineChars="4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2025年度部门(单位)整体支出绩效自评报告。</w:t>
      </w:r>
    </w:p>
    <w:p>
      <w:pPr>
        <w:pStyle w:val="13"/>
        <w:ind w:firstLine="1280" w:firstLineChars="40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一、基本情况</w:t>
      </w:r>
    </w:p>
    <w:p>
      <w:pPr>
        <w:pStyle w:val="13"/>
        <w:ind w:firstLine="1280" w:firstLineChars="400"/>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道县人民代表大会设监察和司法委员会、财政经济委员会、教育科</w:t>
      </w:r>
    </w:p>
    <w:p>
      <w:pPr>
        <w:pStyle w:val="13"/>
        <w:ind w:left="319" w:leftChars="152" w:firstLine="0" w:firstLineChars="0"/>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学文化卫生委员会、社会建设委员会、农业农村委员会、环境和资源保护委员会、民族宗教外事委员会等7个专门委员会，常委会设办公室、选举任免联络工作委员会、法律工作委员会、预算工作委员会等4个常设机构和一个事业单位（信息中心）。</w:t>
      </w:r>
      <w:r>
        <w:rPr>
          <w:rFonts w:hint="eastAsia" w:ascii="仿宋_GB2312" w:hAnsi="黑体" w:eastAsia="仿宋_GB2312"/>
          <w:b w:val="0"/>
          <w:bCs w:val="0"/>
          <w:sz w:val="32"/>
          <w:szCs w:val="32"/>
          <w:lang w:val="en-US" w:eastAsia="zh-CN"/>
        </w:rPr>
        <w:t>县人大编制人数为35人，其中行政编制30人（含机关工勤4人），事业编制5人。人大机关现有在职人员39人，其中副处级以上干部10人，正副科级干部19人，其他10人（其中机关工勤人员7人，事业人员3人）。离退休人员38人</w:t>
      </w:r>
      <w:r>
        <w:rPr>
          <w:rFonts w:hint="eastAsia" w:ascii="仿宋" w:hAnsi="仿宋" w:eastAsia="仿宋" w:cs="仿宋"/>
          <w:color w:val="000000"/>
          <w:kern w:val="2"/>
          <w:sz w:val="32"/>
          <w:szCs w:val="32"/>
          <w:shd w:val="clear" w:color="auto" w:fill="FFFFFF"/>
          <w:lang w:val="en-US" w:eastAsia="zh-CN" w:bidi="ar-SA"/>
        </w:rPr>
        <w:t>。</w:t>
      </w:r>
    </w:p>
    <w:p>
      <w:pPr>
        <w:pStyle w:val="13"/>
        <w:ind w:left="319" w:leftChars="152" w:firstLine="960" w:firstLineChars="300"/>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人民代表大会制度是国家根本政治制度，人大常委会是代表人民行使国家权力的机关。地方各级人民代表大会常务委员会的职权是《组织法》确定的，其中县级人大常委会共有十四项职权，概括为四大类。一是监督权，监督同级人民政府、人民法院和人民检察院的工作。二是执法检查权，在本行政区域内，保证宪法、法律、行政法规和上级人民代表大会及其常务委员会决议的遵守和执行。三是重大事项决定权，讨论决定本行政区域内政治、经济、教育、科技、文化、卫生、环境和资源保护、民政、民族等工作的重大事项。四是人事任免权。</w:t>
      </w:r>
    </w:p>
    <w:p>
      <w:pPr>
        <w:pStyle w:val="13"/>
        <w:ind w:firstLine="1280" w:firstLineChars="400"/>
        <w:rPr>
          <w:rFonts w:hint="eastAsia" w:ascii="黑体" w:hAnsi="黑体" w:eastAsia="黑体" w:cs="黑体"/>
          <w:color w:val="000000"/>
          <w:kern w:val="2"/>
          <w:sz w:val="32"/>
          <w:szCs w:val="32"/>
          <w:shd w:val="clear" w:color="auto" w:fill="FFFFFF"/>
          <w:lang w:val="en-US" w:eastAsia="zh-CN" w:bidi="ar-SA"/>
        </w:rPr>
      </w:pPr>
      <w:r>
        <w:rPr>
          <w:rFonts w:hint="eastAsia" w:ascii="黑体" w:hAnsi="黑体" w:eastAsia="黑体" w:cs="黑体"/>
          <w:color w:val="000000"/>
          <w:kern w:val="2"/>
          <w:sz w:val="32"/>
          <w:szCs w:val="32"/>
          <w:shd w:val="clear" w:color="auto" w:fill="FFFFFF"/>
          <w:lang w:val="en-US" w:eastAsia="zh-CN" w:bidi="ar-SA"/>
        </w:rPr>
        <w:t>二、一般公共预算支出情况</w:t>
      </w:r>
    </w:p>
    <w:p>
      <w:pPr>
        <w:pStyle w:val="13"/>
        <w:ind w:left="319" w:leftChars="152" w:firstLine="960" w:firstLineChars="300"/>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2025年县人大整体支出为895.64万元，包括基本支出653.84万元，主要用于人员经费支出和日常公用经费支出，项目支出241.8万元，主要用于全县人大代表调研活动及会议开支。</w:t>
      </w:r>
    </w:p>
    <w:p>
      <w:pPr>
        <w:pStyle w:val="13"/>
        <w:ind w:firstLine="960" w:firstLineChars="300"/>
        <w:rPr>
          <w:rFonts w:hint="eastAsia" w:ascii="仿宋" w:hAnsi="仿宋" w:eastAsia="仿宋" w:cs="仿宋"/>
          <w:b/>
          <w:bCs/>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（一）基本支出情况</w:t>
      </w:r>
    </w:p>
    <w:p>
      <w:pPr>
        <w:pStyle w:val="13"/>
        <w:ind w:firstLine="1280" w:firstLineChars="400"/>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 xml:space="preserve">2025年县人大基本支出653.84万元，包括人员支出544.98万元，  </w:t>
      </w:r>
    </w:p>
    <w:p>
      <w:pPr>
        <w:pStyle w:val="13"/>
        <w:ind w:left="638" w:leftChars="304" w:firstLine="0" w:firstLineChars="0"/>
        <w:rPr>
          <w:rFonts w:hint="eastAsia" w:ascii="仿宋" w:hAnsi="仿宋" w:eastAsia="仿宋" w:cs="仿宋"/>
          <w:color w:val="000000"/>
          <w:kern w:val="2"/>
          <w:sz w:val="32"/>
          <w:szCs w:val="32"/>
          <w:shd w:val="clear" w:color="auto" w:fill="FFFFFF"/>
          <w:lang w:val="en-US" w:eastAsia="zh-CN" w:bidi="ar-SA"/>
        </w:rPr>
      </w:pPr>
    </w:p>
    <w:p>
      <w:pPr>
        <w:pStyle w:val="13"/>
        <w:ind w:left="319" w:leftChars="152" w:firstLine="0" w:firstLineChars="0"/>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公用经费支出108.86万元，其中“三公”经费合计0.82万元，为商务接待费。</w:t>
      </w:r>
    </w:p>
    <w:p>
      <w:pPr>
        <w:pStyle w:val="13"/>
        <w:ind w:firstLine="1280" w:firstLineChars="400"/>
        <w:rPr>
          <w:rFonts w:hint="eastAsia" w:ascii="仿宋" w:hAnsi="仿宋" w:eastAsia="仿宋" w:cs="仿宋"/>
          <w:b/>
          <w:bCs/>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（二）项目支出情况</w:t>
      </w:r>
    </w:p>
    <w:p>
      <w:pPr>
        <w:pStyle w:val="13"/>
        <w:ind w:left="319" w:leftChars="152" w:firstLine="960" w:firstLineChars="300"/>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2025年县财政安排我办项目经费304.17万元，具体包括人大会议100万元；代表议案意见及常委会审议意见督办经费11.9万元；双联工作经费4.90万元；五级人大代表“联系群众办实事”经费4.90元；专门委员会工作经费16.80万元；专题调研经费20.00万元；人大代表及委员活动62.4万元；例会15万元；预算联网监督建设及维护经费9.8万元；代表专题培训15.4万元；人大纪检审计融合监督专项经费5万元；行业代表联络站经费16万元等等。我办实际发生项目支出241.8万元，项目支出安排率达到79.49%。</w:t>
      </w:r>
    </w:p>
    <w:p>
      <w:pPr>
        <w:pStyle w:val="13"/>
        <w:keepNext w:val="0"/>
        <w:keepLines w:val="0"/>
        <w:pageBreakBefore w:val="0"/>
        <w:widowControl w:val="0"/>
        <w:kinsoku/>
        <w:wordWrap/>
        <w:overflowPunct/>
        <w:topLinePunct w:val="0"/>
        <w:autoSpaceDE w:val="0"/>
        <w:autoSpaceDN w:val="0"/>
        <w:bidi w:val="0"/>
        <w:adjustRightInd w:val="0"/>
        <w:snapToGrid/>
        <w:ind w:firstLine="1280" w:firstLineChars="400"/>
        <w:textAlignment w:val="auto"/>
        <w:rPr>
          <w:rFonts w:hint="eastAsia" w:ascii="黑体" w:hAnsi="黑体" w:eastAsia="黑体" w:cs="黑体"/>
          <w:color w:val="000000"/>
          <w:kern w:val="2"/>
          <w:sz w:val="32"/>
          <w:szCs w:val="32"/>
          <w:shd w:val="clear" w:color="auto" w:fill="FFFFFF"/>
          <w:lang w:val="en-US" w:eastAsia="zh-CN" w:bidi="ar-SA"/>
        </w:rPr>
      </w:pPr>
      <w:r>
        <w:rPr>
          <w:rFonts w:hint="eastAsia" w:ascii="黑体" w:hAnsi="黑体" w:eastAsia="黑体" w:cs="黑体"/>
          <w:color w:val="000000"/>
          <w:kern w:val="2"/>
          <w:sz w:val="32"/>
          <w:szCs w:val="32"/>
          <w:shd w:val="clear" w:color="auto" w:fill="FFFFFF"/>
          <w:lang w:val="en-US" w:eastAsia="zh-CN" w:bidi="ar-SA"/>
        </w:rPr>
        <w:t>三、部门整体支出绩效情况</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960" w:firstLineChars="3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 xml:space="preserve">2025年共召开代表大会1次、常委会会议13次，听取审议专项工作报告22项，组织视察和调研20次，开展执法检查或配合省、市执法检查5次，组织代表视察2次，督办代表建议意见235件，对28个政府组成部门主要负责人履职情况进行评议，处理信访案16件，审查规范性文件11件，组织全县1283名各级代表参加活动，联系群众7247人次。  </w:t>
      </w:r>
    </w:p>
    <w:p>
      <w:pPr>
        <w:pStyle w:val="13"/>
        <w:keepNext w:val="0"/>
        <w:keepLines w:val="0"/>
        <w:pageBreakBefore w:val="0"/>
        <w:widowControl w:val="0"/>
        <w:kinsoku/>
        <w:wordWrap/>
        <w:overflowPunct/>
        <w:topLinePunct w:val="0"/>
        <w:autoSpaceDE w:val="0"/>
        <w:autoSpaceDN w:val="0"/>
        <w:bidi w:val="0"/>
        <w:adjustRightInd w:val="0"/>
        <w:snapToGrid/>
        <w:ind w:firstLine="1280" w:firstLineChars="4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（一）聚焦高质量发展，在依法履职尽责中扛起人大担当</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960" w:firstLineChars="3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1、推动重点产业持续向好。持续加强对《关于做大做强“一千五百”产业集群的议案》的督办，狠抓《关于推进道州脐橙产业高质量发展的议案》的落实，推动县政府制定《道县脐橙产业高质量发展若干措施》和重新编制《道县柑橘产业发展规划（2025-2035年）》。</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960" w:firstLineChars="3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2、助力财政经济平稳运行。听取和审议计划、预算执行、预算调整和审计等工作报告，审议道县国有资产管理情况，听取和审议零基预算改革推进情况工作报告，听取和审议政府债务管理情况工作报告，开展“十五五”规划编制工作调研，为县域经济高质量发展出谋划策、赋能续航。对审计查出问题整改情况开展评议，推动审计查出问题整改落实。</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960" w:firstLineChars="3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3、护航社会事业全面发展。专题审议优化营商环境工作，推动县政府研究制定《道县优化营商环境六条措施》等文件，审议全县高标准农田建设情况专项工作报告，促进农村基础设施和公共服务进一步完善，听取和审议环境状况和环境保护目标完成情况的报告，对14个乡镇污水处理厂存在的突出问题进行重点督办和现场视察，对环保督察等反馈交办问题的整改落实进行跟踪监督。</w:t>
      </w:r>
    </w:p>
    <w:p>
      <w:pPr>
        <w:pStyle w:val="13"/>
        <w:keepNext w:val="0"/>
        <w:keepLines w:val="0"/>
        <w:pageBreakBefore w:val="0"/>
        <w:widowControl w:val="0"/>
        <w:kinsoku/>
        <w:wordWrap/>
        <w:overflowPunct/>
        <w:topLinePunct w:val="0"/>
        <w:autoSpaceDE w:val="0"/>
        <w:autoSpaceDN w:val="0"/>
        <w:bidi w:val="0"/>
        <w:adjustRightInd w:val="0"/>
        <w:snapToGrid/>
        <w:ind w:firstLine="960" w:firstLineChars="3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（二）聚焦法治建设，在推进良法善治中展现人大作为</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1、保障法律法规有效实施。开展中小企业促进“一法一办法”、《湖南省先进制造业促进条例》执法检查，开展安全生产“三法一条例两办法”执法检查，开展大气污染防治、水环境污染防治、土壤污染防治以及《永州市饮用水水源地保护规定》等执法检查，开展《湖南省物业管理条例》实施情况执法检查，维护了社会和谐稳定。</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2、提升行政司法监督质效。听取和审议县政府法治政府建设工作报告，对县政府28个工作部门依法行政情况进行评议，有效推动了县政府及政府工作部门依法行政。联合县纪委监委、县检察院等部门组成专门案件评查组，抽查信访案件48件，发现问题89个，建议立案审查或处理13件。听取和审议整治群众身边不正之风和腐败问题情况工作报告，提出了5个方面的措施建议，推动专项整治工作进一步深入开展。</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3、强化法治理念落地见效。组织新任命的国家工作人员进行任前法律考试10人次，向宪法宣誓23人次，全年依法审查规范性文件11件，提出修改意见11条，纠错3件。全年共配合省、市人大开展《永州市电动自行车消防安全管理规定》等立法调研3次，充分反映基层声音。推动代表工作与信访深度融合，稳妥处理16起信访件，有力维护了群众合法权益。</w:t>
      </w:r>
    </w:p>
    <w:p>
      <w:pPr>
        <w:pStyle w:val="13"/>
        <w:keepNext w:val="0"/>
        <w:keepLines w:val="0"/>
        <w:pageBreakBefore w:val="0"/>
        <w:widowControl w:val="0"/>
        <w:kinsoku/>
        <w:wordWrap/>
        <w:overflowPunct/>
        <w:topLinePunct w:val="0"/>
        <w:autoSpaceDE w:val="0"/>
        <w:autoSpaceDN w:val="0"/>
        <w:bidi w:val="0"/>
        <w:adjustRightInd w:val="0"/>
        <w:snapToGrid/>
        <w:ind w:firstLine="960" w:firstLineChars="300"/>
        <w:textAlignment w:val="auto"/>
        <w:rPr>
          <w:rFonts w:hint="eastAsia" w:ascii="仿宋" w:hAnsi="仿宋" w:eastAsia="仿宋" w:cs="仿宋"/>
          <w:b/>
          <w:bCs/>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（三）聚焦民生福祉，在发展基层民主中彰显人大优势</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1、推动民情民意双向畅通。深入“两个联系”，听取和审议了关于全县万人创业就业落实情况专项工作报告，推动县政府出台了《道县万人创业就业工作实施方案》；听取和审议提升医疗服务能力工作开展情况专项报告，促进我县医疗硬件设施、服务水平、学科建设等方面工作持续改善，道县人民医院的“让患者受尊重，让医者被认可”服务模式入选湖南省卫健委第四批典型案例。</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2、促进代表履职提质增效。持续开展“我为群众办实事”履职活动，全县1283名各级代表参加活动，联系群众7247人次。组织部分县人大常委会组成人员和人大代表对文体公园开展专项视察，推动文体公园三馆一场向社会开放。</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3、实现建议意见高质办理。2025年，共235件代表建议已全部办复。其中，代表建议所提问题已经解决或基本解决的占40%，部分解决或列入计划解决的占49.4%，受目前条件限制暂时不能解决的占10.6%。</w:t>
      </w:r>
    </w:p>
    <w:p>
      <w:pPr>
        <w:pStyle w:val="13"/>
        <w:keepNext w:val="0"/>
        <w:keepLines w:val="0"/>
        <w:pageBreakBefore w:val="0"/>
        <w:widowControl w:val="0"/>
        <w:kinsoku/>
        <w:wordWrap/>
        <w:overflowPunct/>
        <w:topLinePunct w:val="0"/>
        <w:autoSpaceDE w:val="0"/>
        <w:autoSpaceDN w:val="0"/>
        <w:bidi w:val="0"/>
        <w:adjustRightInd w:val="0"/>
        <w:snapToGrid/>
        <w:ind w:firstLine="960" w:firstLineChars="300"/>
        <w:textAlignment w:val="auto"/>
        <w:rPr>
          <w:rFonts w:hint="eastAsia" w:ascii="仿宋" w:hAnsi="仿宋" w:eastAsia="仿宋" w:cs="仿宋"/>
          <w:b/>
          <w:bCs/>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（四）聚焦强基固本，在加强自身建设中树立人大形象</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1、加强政治建设。严肃党内政治生活，严格落实基层党组织“三会一课”、民主生活会、“一月一课一片一实践”主题党日活动等制度。机关退休干部党支部获评全省“六好”离退休干部党支部。扎实开展深入贯彻中央八项规定精神学习教育，落实中央八项规定精神，落实省内公务“零接待”等制度。认真落实意识形态责任制，主动做好宣传工作，共有20余篇文章被《湖南日报》《人民之友》等媒体采用。</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2、强化基层基础。全年共指导乡镇召开代表大会26次，街道召开居民议事会议7次。配齐配强基层人大力量，全年共调整乡镇人大副主席、街道人大工委副主任6人。各乡镇人大主席团和街道人大工委依法履职，积极探索新的工作实践。</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3、服务中心工作。常委会领导班子成员自觉服从服务于县委中心工作，统筹完成了重点项目建设、服务园区企业、乡村振兴、安全生产等各项工作任务。县人大各专门委员会和常委会各工作机构充分发挥职能作用，围绕县委中心工作主动作为，为常委会完成各项工作作出积极贡献。</w:t>
      </w:r>
    </w:p>
    <w:p>
      <w:pPr>
        <w:pStyle w:val="13"/>
        <w:keepNext w:val="0"/>
        <w:keepLines w:val="0"/>
        <w:pageBreakBefore w:val="0"/>
        <w:widowControl w:val="0"/>
        <w:kinsoku/>
        <w:wordWrap/>
        <w:overflowPunct/>
        <w:topLinePunct w:val="0"/>
        <w:autoSpaceDE w:val="0"/>
        <w:autoSpaceDN w:val="0"/>
        <w:bidi w:val="0"/>
        <w:adjustRightInd w:val="0"/>
        <w:snapToGrid/>
        <w:ind w:firstLine="1280" w:firstLineChars="4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四、存在的问题及原因分析</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 xml:space="preserve">严格遵守《预算法》、《政府会计制度》，无违规使用资金情况存在。但是存在未及时报账的现象，致部分调研项目开支跨年报销，年度预算执行不精准。 </w:t>
      </w:r>
    </w:p>
    <w:p>
      <w:pPr>
        <w:pStyle w:val="13"/>
        <w:keepNext w:val="0"/>
        <w:keepLines w:val="0"/>
        <w:pageBreakBefore w:val="0"/>
        <w:widowControl w:val="0"/>
        <w:kinsoku/>
        <w:wordWrap/>
        <w:overflowPunct/>
        <w:topLinePunct w:val="0"/>
        <w:autoSpaceDE w:val="0"/>
        <w:autoSpaceDN w:val="0"/>
        <w:bidi w:val="0"/>
        <w:adjustRightInd w:val="0"/>
        <w:snapToGrid/>
        <w:ind w:firstLine="1280" w:firstLineChars="400"/>
        <w:textAlignment w:val="auto"/>
        <w:rPr>
          <w:rFonts w:hint="eastAsia" w:ascii="仿宋" w:hAnsi="仿宋" w:eastAsia="仿宋" w:cs="仿宋"/>
          <w:b/>
          <w:bCs/>
          <w:color w:val="000000"/>
          <w:kern w:val="2"/>
          <w:sz w:val="32"/>
          <w:szCs w:val="32"/>
          <w:shd w:val="clear" w:color="auto" w:fill="FFFFFF"/>
          <w:lang w:val="en-US" w:eastAsia="zh-CN" w:bidi="ar-SA"/>
        </w:rPr>
      </w:pPr>
      <w:r>
        <w:rPr>
          <w:rFonts w:hint="eastAsia" w:ascii="仿宋" w:hAnsi="仿宋" w:eastAsia="仿宋" w:cs="仿宋"/>
          <w:b/>
          <w:bCs/>
          <w:color w:val="000000"/>
          <w:kern w:val="2"/>
          <w:sz w:val="32"/>
          <w:szCs w:val="32"/>
          <w:shd w:val="clear" w:color="auto" w:fill="FFFFFF"/>
          <w:lang w:val="en-US" w:eastAsia="zh-CN" w:bidi="ar-SA"/>
        </w:rPr>
        <w:t>五、下一步改进措施</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（一）进一步加强绩效意识和绩效管理理念，逐步探索将绩效管理贯穿于预算管理全流程的方法。</w:t>
      </w:r>
    </w:p>
    <w:p>
      <w:pPr>
        <w:pStyle w:val="13"/>
        <w:keepNext w:val="0"/>
        <w:keepLines w:val="0"/>
        <w:pageBreakBefore w:val="0"/>
        <w:widowControl w:val="0"/>
        <w:kinsoku/>
        <w:wordWrap/>
        <w:overflowPunct/>
        <w:topLinePunct w:val="0"/>
        <w:autoSpaceDE w:val="0"/>
        <w:autoSpaceDN w:val="0"/>
        <w:bidi w:val="0"/>
        <w:adjustRightInd w:val="0"/>
        <w:snapToGrid/>
        <w:ind w:left="317" w:leftChars="151" w:firstLine="640" w:firstLineChars="200"/>
        <w:textAlignment w:val="auto"/>
        <w:rPr>
          <w:rFonts w:hint="eastAsia" w:ascii="仿宋" w:hAnsi="仿宋" w:eastAsia="仿宋" w:cs="仿宋"/>
          <w:color w:val="000000"/>
          <w:kern w:val="2"/>
          <w:sz w:val="32"/>
          <w:szCs w:val="32"/>
          <w:shd w:val="clear" w:color="auto" w:fill="FFFFFF"/>
          <w:lang w:val="en-US" w:eastAsia="zh-CN" w:bidi="ar-SA"/>
        </w:rPr>
      </w:pPr>
      <w:r>
        <w:rPr>
          <w:rFonts w:hint="eastAsia" w:ascii="仿宋" w:hAnsi="仿宋" w:eastAsia="仿宋" w:cs="仿宋"/>
          <w:color w:val="000000"/>
          <w:kern w:val="2"/>
          <w:sz w:val="32"/>
          <w:szCs w:val="32"/>
          <w:shd w:val="clear" w:color="auto" w:fill="FFFFFF"/>
          <w:lang w:val="en-US" w:eastAsia="zh-CN" w:bidi="ar-SA"/>
        </w:rPr>
        <w:t>（二）督促机关各部门及时报账，减少跨年报销现象。</w:t>
      </w:r>
    </w:p>
    <w:p>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pStyle w:val="13"/>
        <w:jc w:val="center"/>
        <w:rPr>
          <w:sz w:val="72"/>
          <w:szCs w:val="72"/>
        </w:rPr>
      </w:pPr>
    </w:p>
    <w:p>
      <w:pPr>
        <w:pStyle w:val="13"/>
        <w:jc w:val="center"/>
        <w:rPr>
          <w:sz w:val="72"/>
          <w:szCs w:val="7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647CE"/>
    <w:multiLevelType w:val="singleLevel"/>
    <w:tmpl w:val="9D4647C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wNjExZjVjNTg5Mjg1YjViYThlZWY1NmQ3Zjk5MTIifQ=="/>
    <w:docVar w:name="KSO_WPS_MARK_KEY" w:val="a7053a75-e531-40de-a43c-1f035a20819b"/>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714AB7"/>
    <w:rsid w:val="01816758"/>
    <w:rsid w:val="01826A17"/>
    <w:rsid w:val="033124A2"/>
    <w:rsid w:val="04295F6E"/>
    <w:rsid w:val="05F11A75"/>
    <w:rsid w:val="080F08D8"/>
    <w:rsid w:val="09995380"/>
    <w:rsid w:val="0B0E4E77"/>
    <w:rsid w:val="0D300AF6"/>
    <w:rsid w:val="0D43683D"/>
    <w:rsid w:val="0DF02F5A"/>
    <w:rsid w:val="0ECD5908"/>
    <w:rsid w:val="0F31382A"/>
    <w:rsid w:val="0F9718DF"/>
    <w:rsid w:val="101A3CD3"/>
    <w:rsid w:val="10726D8C"/>
    <w:rsid w:val="113605CA"/>
    <w:rsid w:val="11926660"/>
    <w:rsid w:val="132A4818"/>
    <w:rsid w:val="14B91D4F"/>
    <w:rsid w:val="14F926E3"/>
    <w:rsid w:val="154C4F1A"/>
    <w:rsid w:val="15581B10"/>
    <w:rsid w:val="162503E3"/>
    <w:rsid w:val="183447B5"/>
    <w:rsid w:val="18EF0876"/>
    <w:rsid w:val="19D32C4B"/>
    <w:rsid w:val="1AD80334"/>
    <w:rsid w:val="1B50328A"/>
    <w:rsid w:val="1D2247B2"/>
    <w:rsid w:val="1D93306B"/>
    <w:rsid w:val="1D97DEFF"/>
    <w:rsid w:val="1DFF72E5"/>
    <w:rsid w:val="1E1D39FE"/>
    <w:rsid w:val="1EFC6F07"/>
    <w:rsid w:val="22B747EE"/>
    <w:rsid w:val="24A76D36"/>
    <w:rsid w:val="24E96548"/>
    <w:rsid w:val="27B16E5E"/>
    <w:rsid w:val="28060F58"/>
    <w:rsid w:val="296A5517"/>
    <w:rsid w:val="2C136339"/>
    <w:rsid w:val="2CFC0B7C"/>
    <w:rsid w:val="2EF36828"/>
    <w:rsid w:val="2FA774C5"/>
    <w:rsid w:val="2FDF85B8"/>
    <w:rsid w:val="2FFFEE04"/>
    <w:rsid w:val="30182170"/>
    <w:rsid w:val="313B3500"/>
    <w:rsid w:val="320E50AB"/>
    <w:rsid w:val="32E45808"/>
    <w:rsid w:val="33833ADA"/>
    <w:rsid w:val="34DF85B0"/>
    <w:rsid w:val="3719363B"/>
    <w:rsid w:val="37CF7ABC"/>
    <w:rsid w:val="3894610C"/>
    <w:rsid w:val="3AC768E1"/>
    <w:rsid w:val="3B1656ED"/>
    <w:rsid w:val="3B8F36BC"/>
    <w:rsid w:val="3BCF68B4"/>
    <w:rsid w:val="3BEE1EE7"/>
    <w:rsid w:val="3C9B4778"/>
    <w:rsid w:val="3D3D6D72"/>
    <w:rsid w:val="3DF01C91"/>
    <w:rsid w:val="3F0F467F"/>
    <w:rsid w:val="41526B64"/>
    <w:rsid w:val="419A3FAE"/>
    <w:rsid w:val="436438EC"/>
    <w:rsid w:val="439C0E92"/>
    <w:rsid w:val="45B46040"/>
    <w:rsid w:val="46A62739"/>
    <w:rsid w:val="491FF225"/>
    <w:rsid w:val="4B2A6BF6"/>
    <w:rsid w:val="4BE14522"/>
    <w:rsid w:val="4CCA7EF7"/>
    <w:rsid w:val="4E2B7CA4"/>
    <w:rsid w:val="4E691E31"/>
    <w:rsid w:val="4FFD214C"/>
    <w:rsid w:val="56907A9B"/>
    <w:rsid w:val="574F5BC8"/>
    <w:rsid w:val="5777D4F5"/>
    <w:rsid w:val="57BBD70C"/>
    <w:rsid w:val="59DD8326"/>
    <w:rsid w:val="5A694EE1"/>
    <w:rsid w:val="5CE943C9"/>
    <w:rsid w:val="5DEF592A"/>
    <w:rsid w:val="5E8E6FD6"/>
    <w:rsid w:val="5FC6BB1E"/>
    <w:rsid w:val="5FF720F1"/>
    <w:rsid w:val="612D10E9"/>
    <w:rsid w:val="62CA07F9"/>
    <w:rsid w:val="662F5543"/>
    <w:rsid w:val="6655487D"/>
    <w:rsid w:val="67C43A69"/>
    <w:rsid w:val="67FF5C0B"/>
    <w:rsid w:val="684C0FFA"/>
    <w:rsid w:val="68BB0F81"/>
    <w:rsid w:val="69675A50"/>
    <w:rsid w:val="69EA352F"/>
    <w:rsid w:val="6A5710C9"/>
    <w:rsid w:val="6CE16E6B"/>
    <w:rsid w:val="6D5E2269"/>
    <w:rsid w:val="6EED5944"/>
    <w:rsid w:val="6EFC0924"/>
    <w:rsid w:val="6F5165F4"/>
    <w:rsid w:val="6FB74722"/>
    <w:rsid w:val="6FEF8B7E"/>
    <w:rsid w:val="70A43D62"/>
    <w:rsid w:val="71A6591B"/>
    <w:rsid w:val="737D59BA"/>
    <w:rsid w:val="74604B19"/>
    <w:rsid w:val="74EE481B"/>
    <w:rsid w:val="77470212"/>
    <w:rsid w:val="77C37683"/>
    <w:rsid w:val="77D82FAB"/>
    <w:rsid w:val="79B00633"/>
    <w:rsid w:val="79FF515B"/>
    <w:rsid w:val="7A9838D8"/>
    <w:rsid w:val="7ADB139D"/>
    <w:rsid w:val="7B7B2BE8"/>
    <w:rsid w:val="7C5C0654"/>
    <w:rsid w:val="7E9E1962"/>
    <w:rsid w:val="7E9F11B4"/>
    <w:rsid w:val="7ECC8221"/>
    <w:rsid w:val="7F37EC1E"/>
    <w:rsid w:val="7F594B1A"/>
    <w:rsid w:val="7F657B87"/>
    <w:rsid w:val="7F7DCD9D"/>
    <w:rsid w:val="7F970A6F"/>
    <w:rsid w:val="7FAD2577"/>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9830</Words>
  <Characters>11347</Characters>
  <Lines>63</Lines>
  <Paragraphs>18</Paragraphs>
  <TotalTime>9</TotalTime>
  <ScaleCrop>false</ScaleCrop>
  <LinksUpToDate>false</LinksUpToDate>
  <CharactersWithSpaces>12344</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2020-07-08T18:32:00Z</dcterms:created>
  <dc:creator>李航 null</dc:creator>
  <cp:lastModifiedBy>蒋琼</cp:lastModifiedBy>
  <cp:lastPrinted>2025-08-18T19:23:00Z</cp:lastPrinted>
  <dcterms:modified xsi:type="dcterms:W3CDTF">2026-09-15T03:38:34Z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C669F9823BE44F398F20E0F8C1E8D686</vt:lpwstr>
  </property>
</Properties>
</file>