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cs="Times New Roman"/>
          <w:sz w:val="56"/>
          <w:szCs w:val="56"/>
        </w:rPr>
      </w:pPr>
    </w:p>
    <w:p>
      <w:pPr>
        <w:pStyle w:val="12"/>
        <w:jc w:val="center"/>
        <w:rPr>
          <w:rFonts w:cs="Times New Roman"/>
          <w:sz w:val="56"/>
          <w:szCs w:val="56"/>
        </w:rPr>
      </w:pPr>
    </w:p>
    <w:p>
      <w:pPr>
        <w:pStyle w:val="12"/>
        <w:jc w:val="center"/>
        <w:rPr>
          <w:rFonts w:cs="Times New Roman"/>
          <w:sz w:val="84"/>
          <w:szCs w:val="84"/>
        </w:rPr>
      </w:pPr>
    </w:p>
    <w:p>
      <w:pPr>
        <w:pStyle w:val="12"/>
        <w:jc w:val="center"/>
        <w:rPr>
          <w:rFonts w:cs="Times New Roman"/>
          <w:sz w:val="84"/>
          <w:szCs w:val="84"/>
        </w:rPr>
      </w:pPr>
    </w:p>
    <w:p>
      <w:pPr>
        <w:pStyle w:val="12"/>
        <w:jc w:val="center"/>
        <w:rPr>
          <w:rFonts w:cs="Times New Roman"/>
          <w:sz w:val="84"/>
          <w:szCs w:val="84"/>
        </w:rPr>
      </w:pPr>
      <w:r>
        <w:rPr>
          <w:sz w:val="84"/>
          <w:szCs w:val="84"/>
        </w:rPr>
        <w:t>202</w:t>
      </w:r>
      <w:r>
        <w:rPr>
          <w:rFonts w:hint="eastAsia"/>
          <w:sz w:val="84"/>
          <w:szCs w:val="84"/>
          <w:lang w:val="en-US" w:eastAsia="zh-CN"/>
        </w:rPr>
        <w:t>5</w:t>
      </w:r>
      <w:r>
        <w:rPr>
          <w:rFonts w:hint="eastAsia"/>
          <w:sz w:val="84"/>
          <w:szCs w:val="84"/>
        </w:rPr>
        <w:t>年度</w:t>
      </w:r>
    </w:p>
    <w:p>
      <w:pPr>
        <w:pStyle w:val="12"/>
        <w:jc w:val="center"/>
        <w:rPr>
          <w:rFonts w:cs="Times New Roman"/>
          <w:sz w:val="84"/>
          <w:szCs w:val="84"/>
        </w:rPr>
      </w:pPr>
      <w:r>
        <w:rPr>
          <w:rFonts w:hint="eastAsia"/>
          <w:sz w:val="84"/>
          <w:szCs w:val="84"/>
        </w:rPr>
        <w:t>道县民政局部门决算</w:t>
      </w:r>
    </w:p>
    <w:p>
      <w:pPr>
        <w:pStyle w:val="12"/>
        <w:jc w:val="center"/>
        <w:rPr>
          <w:rFonts w:cs="Times New Roman"/>
          <w:sz w:val="56"/>
          <w:szCs w:val="56"/>
        </w:rPr>
      </w:pPr>
    </w:p>
    <w:p>
      <w:pPr>
        <w:pStyle w:val="12"/>
        <w:jc w:val="center"/>
        <w:rPr>
          <w:rFonts w:cs="Times New Roman"/>
          <w:sz w:val="56"/>
          <w:szCs w:val="56"/>
        </w:rPr>
      </w:pPr>
    </w:p>
    <w:p>
      <w:pPr>
        <w:pStyle w:val="12"/>
        <w:jc w:val="center"/>
        <w:rPr>
          <w:rFonts w:cs="Times New Roman"/>
          <w:sz w:val="56"/>
          <w:szCs w:val="56"/>
        </w:rPr>
      </w:pPr>
    </w:p>
    <w:p>
      <w:pPr>
        <w:pStyle w:val="12"/>
        <w:jc w:val="center"/>
        <w:rPr>
          <w:rFonts w:cs="Times New Roman"/>
          <w:sz w:val="56"/>
          <w:szCs w:val="56"/>
        </w:rPr>
      </w:pPr>
    </w:p>
    <w:p>
      <w:pPr>
        <w:pStyle w:val="12"/>
        <w:jc w:val="center"/>
        <w:rPr>
          <w:rFonts w:cs="Times New Roman"/>
          <w:sz w:val="32"/>
          <w:szCs w:val="32"/>
        </w:rPr>
      </w:pPr>
    </w:p>
    <w:p>
      <w:pPr>
        <w:pStyle w:val="12"/>
        <w:jc w:val="center"/>
        <w:rPr>
          <w:rFonts w:cs="Times New Roman"/>
          <w:sz w:val="32"/>
          <w:szCs w:val="32"/>
        </w:rPr>
      </w:pPr>
    </w:p>
    <w:p>
      <w:pPr>
        <w:pStyle w:val="12"/>
        <w:jc w:val="center"/>
        <w:rPr>
          <w:rFonts w:cs="Times New Roman"/>
          <w:sz w:val="32"/>
          <w:szCs w:val="32"/>
        </w:rPr>
      </w:pPr>
    </w:p>
    <w:p>
      <w:pPr>
        <w:pStyle w:val="12"/>
        <w:jc w:val="center"/>
        <w:rPr>
          <w:rFonts w:cs="Times New Roman"/>
          <w:sz w:val="32"/>
          <w:szCs w:val="32"/>
        </w:rPr>
      </w:pPr>
    </w:p>
    <w:p>
      <w:pPr>
        <w:pStyle w:val="12"/>
        <w:jc w:val="center"/>
        <w:rPr>
          <w:rFonts w:cs="Times New Roman"/>
          <w:sz w:val="32"/>
          <w:szCs w:val="32"/>
        </w:rPr>
      </w:pPr>
    </w:p>
    <w:p>
      <w:pPr>
        <w:pStyle w:val="12"/>
        <w:spacing w:line="540" w:lineRule="exact"/>
        <w:jc w:val="center"/>
        <w:rPr>
          <w:rFonts w:cs="Times New Roman"/>
          <w:sz w:val="56"/>
          <w:szCs w:val="56"/>
        </w:rPr>
      </w:pPr>
    </w:p>
    <w:p>
      <w:pPr>
        <w:pStyle w:val="12"/>
        <w:spacing w:line="500" w:lineRule="exact"/>
        <w:jc w:val="center"/>
        <w:rPr>
          <w:rFonts w:cs="Times New Roman"/>
          <w:b/>
          <w:bCs/>
          <w:sz w:val="36"/>
          <w:szCs w:val="36"/>
        </w:rPr>
      </w:pPr>
    </w:p>
    <w:p>
      <w:pPr>
        <w:pStyle w:val="12"/>
        <w:spacing w:line="500" w:lineRule="exact"/>
        <w:jc w:val="center"/>
        <w:rPr>
          <w:rFonts w:cs="Times New Roman"/>
          <w:b/>
          <w:bCs/>
          <w:sz w:val="36"/>
          <w:szCs w:val="36"/>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五、一般公共预算财政拨款支出决算</w:t>
      </w:r>
      <w:r>
        <w:rPr>
          <w:rFonts w:hint="eastAsia" w:ascii="Times New Roman" w:hAnsi="Times New Roman" w:eastAsia="仿宋_GB2312" w:cs="Times New Roman"/>
          <w:color w:val="000000"/>
          <w:kern w:val="0"/>
          <w:sz w:val="32"/>
          <w:szCs w:val="32"/>
          <w:lang w:val="en-US" w:eastAsia="zh-CN"/>
        </w:rPr>
        <w:t>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sectPr>
          <w:footerReference r:id="rId3" w:type="default"/>
          <w:pgSz w:w="11906" w:h="16838"/>
          <w:pgMar w:top="1417" w:right="1588" w:bottom="1417" w:left="1588" w:header="851" w:footer="992" w:gutter="0"/>
          <w:pgNumType w:start="1"/>
          <w:cols w:space="425" w:num="1"/>
          <w:docGrid w:type="lines" w:linePitch="312" w:charSpace="0"/>
        </w:sectPr>
      </w:pPr>
    </w:p>
    <w:p>
      <w:pPr>
        <w:rPr>
          <w:rFonts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黑体" w:hAnsi="黑体" w:eastAsia="黑体" w:cs="Times New Roman"/>
          <w:sz w:val="32"/>
          <w:szCs w:val="32"/>
        </w:rPr>
      </w:pPr>
      <w:r>
        <w:rPr>
          <w:rFonts w:ascii="Times New Roman" w:hAnsi="Times New Roman" w:eastAsia="方正小标宋_GBK" w:cs="Times New Roman"/>
          <w:sz w:val="52"/>
          <w:szCs w:val="52"/>
        </w:rPr>
        <w:t>单位概况</w:t>
      </w:r>
    </w:p>
    <w:p>
      <w:pPr>
        <w:pStyle w:val="13"/>
        <w:ind w:left="720" w:firstLine="0" w:firstLineChars="0"/>
        <w:jc w:val="left"/>
        <w:rPr>
          <w:rFonts w:ascii="黑体" w:hAnsi="黑体" w:eastAsia="黑体" w:cs="Times New Roman"/>
          <w:sz w:val="32"/>
          <w:szCs w:val="32"/>
        </w:rPr>
      </w:pPr>
    </w:p>
    <w:p>
      <w:pPr>
        <w:pStyle w:val="13"/>
        <w:numPr>
          <w:ilvl w:val="0"/>
          <w:numId w:val="1"/>
        </w:numPr>
        <w:ind w:firstLineChars="0"/>
        <w:jc w:val="left"/>
        <w:rPr>
          <w:rFonts w:ascii="黑体" w:hAnsi="黑体" w:eastAsia="黑体" w:cs="Times New Roman"/>
          <w:sz w:val="32"/>
          <w:szCs w:val="32"/>
        </w:rPr>
      </w:pPr>
      <w:r>
        <w:rPr>
          <w:rFonts w:hint="eastAsia" w:ascii="黑体" w:hAnsi="黑体" w:eastAsia="黑体" w:cs="黑体"/>
          <w:sz w:val="32"/>
          <w:szCs w:val="32"/>
        </w:rPr>
        <w:t>部门职责</w:t>
      </w:r>
    </w:p>
    <w:p>
      <w:pPr>
        <w:widowControl/>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根据规定，本单位主要工作职责是：困难群众生活救助、基层政权和社区建设、社会事务管理工作，健全城乡社会救助体系，负责城乡居民最低生活保障、特困供养、临时救助、生活无着人员救助工作。</w:t>
      </w:r>
    </w:p>
    <w:p>
      <w:pPr>
        <w:widowControl/>
        <w:spacing w:line="600" w:lineRule="exact"/>
        <w:rPr>
          <w:rFonts w:ascii="黑体" w:hAnsi="黑体" w:eastAsia="黑体" w:cs="Times New Roman"/>
          <w:kern w:val="0"/>
          <w:sz w:val="32"/>
          <w:szCs w:val="32"/>
        </w:rPr>
      </w:pPr>
      <w:r>
        <w:rPr>
          <w:rFonts w:hint="eastAsia" w:ascii="黑体" w:hAnsi="黑体" w:eastAsia="黑体" w:cs="黑体"/>
          <w:kern w:val="0"/>
          <w:sz w:val="32"/>
          <w:szCs w:val="32"/>
        </w:rPr>
        <w:t>二、机构设置及决算单位构成</w:t>
      </w:r>
    </w:p>
    <w:p>
      <w:pPr>
        <w:widowControl/>
        <w:spacing w:line="600" w:lineRule="exact"/>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（一）内设机构设置。本单位为正科级单位，局机关内设综合股、社会组织管理和慈善事业促进股、社会救助股、区划地名股、养老服务股等</w:t>
      </w:r>
      <w:r>
        <w:rPr>
          <w:rFonts w:ascii="仿宋" w:hAnsi="仿宋" w:eastAsia="仿宋" w:cs="仿宋"/>
          <w:kern w:val="0"/>
          <w:sz w:val="32"/>
          <w:szCs w:val="32"/>
        </w:rPr>
        <w:t>7</w:t>
      </w:r>
      <w:r>
        <w:rPr>
          <w:rFonts w:hint="eastAsia" w:ascii="仿宋" w:hAnsi="仿宋" w:eastAsia="仿宋" w:cs="仿宋"/>
          <w:kern w:val="0"/>
          <w:sz w:val="32"/>
          <w:szCs w:val="32"/>
        </w:rPr>
        <w:t>个股室，下设社会事务管理中心、社会福利院、救助站等机构。</w:t>
      </w:r>
      <w:r>
        <w:rPr>
          <w:rFonts w:hint="eastAsia" w:ascii="Times New Roman" w:hAnsi="Times New Roman" w:eastAsia="仿宋_GB2312" w:cs="Times New Roman"/>
          <w:color w:val="000000"/>
          <w:kern w:val="0"/>
          <w:sz w:val="32"/>
          <w:szCs w:val="32"/>
        </w:rPr>
        <w:t>现有在职在编人员6</w:t>
      </w:r>
      <w:r>
        <w:rPr>
          <w:rFonts w:hint="eastAsia" w:ascii="Times New Roman" w:hAnsi="Times New Roman" w:eastAsia="仿宋_GB2312" w:cs="Times New Roman"/>
          <w:color w:val="000000"/>
          <w:kern w:val="0"/>
          <w:sz w:val="32"/>
          <w:szCs w:val="32"/>
          <w:lang w:val="en-US" w:eastAsia="zh-CN"/>
        </w:rPr>
        <w:t>6</w:t>
      </w:r>
      <w:r>
        <w:rPr>
          <w:rFonts w:hint="eastAsia" w:ascii="Times New Roman" w:hAnsi="Times New Roman" w:eastAsia="仿宋_GB2312" w:cs="Times New Roman"/>
          <w:color w:val="000000"/>
          <w:kern w:val="0"/>
          <w:sz w:val="32"/>
          <w:szCs w:val="32"/>
        </w:rPr>
        <w:t>人，其中行政编制2</w:t>
      </w:r>
      <w:r>
        <w:rPr>
          <w:rFonts w:hint="eastAsia" w:ascii="Times New Roman" w:hAnsi="Times New Roman" w:eastAsia="仿宋_GB2312" w:cs="Times New Roman"/>
          <w:color w:val="000000"/>
          <w:kern w:val="0"/>
          <w:sz w:val="32"/>
          <w:szCs w:val="32"/>
          <w:lang w:val="en-US" w:eastAsia="zh-CN"/>
        </w:rPr>
        <w:t>0</w:t>
      </w:r>
      <w:r>
        <w:rPr>
          <w:rFonts w:hint="eastAsia" w:ascii="Times New Roman" w:hAnsi="Times New Roman" w:eastAsia="仿宋_GB2312" w:cs="Times New Roman"/>
          <w:color w:val="000000"/>
          <w:kern w:val="0"/>
          <w:sz w:val="32"/>
          <w:szCs w:val="32"/>
        </w:rPr>
        <w:t>人，全额拨款事业编制3</w:t>
      </w:r>
      <w:r>
        <w:rPr>
          <w:rFonts w:hint="eastAsia" w:ascii="Times New Roman" w:hAnsi="Times New Roman" w:eastAsia="仿宋_GB2312"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rPr>
        <w:t>人，差额拨款事业编制14人；离退休人员5</w:t>
      </w:r>
      <w:r>
        <w:rPr>
          <w:rFonts w:hint="eastAsia" w:ascii="Times New Roman" w:hAnsi="Times New Roman" w:eastAsia="仿宋_GB2312" w:cs="Times New Roman"/>
          <w:color w:val="000000"/>
          <w:kern w:val="0"/>
          <w:sz w:val="32"/>
          <w:szCs w:val="32"/>
          <w:lang w:val="en-US" w:eastAsia="zh-CN"/>
        </w:rPr>
        <w:t>5</w:t>
      </w:r>
      <w:r>
        <w:rPr>
          <w:rFonts w:hint="eastAsia" w:ascii="Times New Roman" w:hAnsi="Times New Roman" w:eastAsia="仿宋_GB2312" w:cs="Times New Roman"/>
          <w:color w:val="000000"/>
          <w:kern w:val="0"/>
          <w:sz w:val="32"/>
          <w:szCs w:val="32"/>
        </w:rPr>
        <w:t>人。</w:t>
      </w:r>
      <w:r>
        <w:rPr>
          <w:rFonts w:hint="eastAsia" w:ascii="仿宋" w:hAnsi="仿宋" w:eastAsia="仿宋" w:cs="仿宋"/>
          <w:kern w:val="0"/>
          <w:sz w:val="32"/>
          <w:szCs w:val="32"/>
        </w:rPr>
        <w:t>公务用车</w:t>
      </w:r>
      <w:r>
        <w:rPr>
          <w:rFonts w:ascii="仿宋" w:hAnsi="仿宋" w:eastAsia="仿宋" w:cs="仿宋"/>
          <w:kern w:val="0"/>
          <w:sz w:val="32"/>
          <w:szCs w:val="32"/>
        </w:rPr>
        <w:t>1</w:t>
      </w:r>
      <w:r>
        <w:rPr>
          <w:rFonts w:hint="eastAsia" w:ascii="仿宋" w:hAnsi="仿宋" w:eastAsia="仿宋" w:cs="仿宋"/>
          <w:kern w:val="0"/>
          <w:sz w:val="32"/>
          <w:szCs w:val="32"/>
        </w:rPr>
        <w:t>辆。</w:t>
      </w:r>
    </w:p>
    <w:p>
      <w:pPr>
        <w:widowControl/>
        <w:spacing w:line="600" w:lineRule="exact"/>
        <w:ind w:firstLine="640" w:firstLineChars="200"/>
        <w:rPr>
          <w:rFonts w:ascii="仿宋" w:hAnsi="仿宋" w:eastAsia="仿宋" w:cs="Times New Roman"/>
          <w:kern w:val="0"/>
          <w:sz w:val="32"/>
          <w:szCs w:val="32"/>
        </w:rPr>
      </w:pPr>
      <w:r>
        <w:rPr>
          <w:rFonts w:hint="eastAsia" w:ascii="仿宋" w:hAnsi="仿宋" w:eastAsia="仿宋" w:cs="仿宋"/>
          <w:kern w:val="0"/>
          <w:sz w:val="32"/>
          <w:szCs w:val="32"/>
        </w:rPr>
        <w:t>（二）决算单位构成。道县民政局只有本级，没有其他二级预算单位，因此，纳入</w:t>
      </w:r>
      <w:r>
        <w:rPr>
          <w:rFonts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年部门决算编制范围的只有道县民政局本级。</w:t>
      </w:r>
    </w:p>
    <w:p>
      <w:pPr>
        <w:jc w:val="left"/>
        <w:rPr>
          <w:rFonts w:ascii="仿宋_GB2312" w:hAnsi="宋体" w:eastAsia="仿宋_GB2312" w:cs="Times New Roman"/>
          <w:sz w:val="28"/>
          <w:szCs w:val="28"/>
        </w:rPr>
      </w:pPr>
    </w:p>
    <w:p>
      <w:pPr>
        <w:jc w:val="center"/>
        <w:rPr>
          <w:rFonts w:ascii="黑体" w:hAnsi="黑体" w:eastAsia="黑体" w:cs="Times New Roman"/>
          <w:sz w:val="28"/>
          <w:szCs w:val="28"/>
        </w:rPr>
      </w:pPr>
    </w:p>
    <w:p>
      <w:pPr>
        <w:jc w:val="center"/>
        <w:rPr>
          <w:rFonts w:ascii="黑体" w:hAnsi="黑体" w:eastAsia="黑体" w:cs="Times New Roman"/>
          <w:sz w:val="28"/>
          <w:szCs w:val="28"/>
        </w:rPr>
      </w:pPr>
    </w:p>
    <w:p>
      <w:pPr>
        <w:jc w:val="left"/>
        <w:rPr>
          <w:rFonts w:ascii="宋体" w:cs="Times New Roman"/>
          <w:sz w:val="32"/>
          <w:szCs w:val="32"/>
        </w:rPr>
        <w:sectPr>
          <w:pgSz w:w="11906" w:h="16838"/>
          <w:pgMar w:top="720" w:right="1526" w:bottom="720" w:left="1560" w:header="851" w:footer="992" w:gutter="0"/>
          <w:cols w:space="425" w:num="1"/>
          <w:docGrid w:type="lines" w:linePitch="312" w:charSpace="0"/>
        </w:sectPr>
      </w:pPr>
    </w:p>
    <w:tbl>
      <w:tblPr>
        <w:tblStyle w:val="6"/>
        <w:tblW w:w="14081" w:type="dxa"/>
        <w:tblInd w:w="-106"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noWrap/>
            <w:vAlign w:val="center"/>
          </w:tcPr>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p>
        </w:tc>
        <w:tc>
          <w:tcPr>
            <w:tcW w:w="697" w:type="dxa"/>
            <w:gridSpan w:val="2"/>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p>
          <w:p>
            <w:pPr>
              <w:widowControl/>
              <w:jc w:val="center"/>
              <w:rPr>
                <w:rFonts w:ascii="宋体" w:cs="Times New Roman"/>
                <w:kern w:val="0"/>
                <w:sz w:val="24"/>
                <w:szCs w:val="24"/>
              </w:rPr>
            </w:pP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0"/>
                <w:szCs w:val="20"/>
              </w:rPr>
            </w:pPr>
            <w:r>
              <w:rPr>
                <w:rFonts w:hint="eastAsia" w:ascii="宋体" w:hAnsi="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0"/>
                <w:szCs w:val="20"/>
              </w:rPr>
            </w:pPr>
            <w:r>
              <w:rPr>
                <w:rFonts w:hint="eastAsia" w:ascii="宋体" w:hAnsi="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ascii="宋体" w:cs="Times New Roman"/>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ascii="宋体" w:cs="Times New Roman"/>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230" w:type="dxa"/>
            <w:gridSpan w:val="2"/>
            <w:tcBorders>
              <w:top w:val="nil"/>
              <w:left w:val="nil"/>
              <w:bottom w:val="single" w:color="auto" w:sz="4" w:space="0"/>
              <w:right w:val="single" w:color="auto" w:sz="4" w:space="0"/>
            </w:tcBorders>
            <w:noWrap/>
            <w:vAlign w:val="center"/>
          </w:tcPr>
          <w:p>
            <w:pPr>
              <w:widowControl/>
              <w:jc w:val="right"/>
              <w:textAlignment w:val="center"/>
              <w:rPr>
                <w:rFonts w:hint="eastAsia" w:ascii="宋体" w:eastAsia="宋体" w:cs="Times New Roman"/>
                <w:kern w:val="0"/>
                <w:sz w:val="22"/>
                <w:szCs w:val="22"/>
                <w:lang w:val="en-US" w:eastAsia="zh-CN"/>
              </w:rPr>
            </w:pPr>
            <w:r>
              <w:rPr>
                <w:rFonts w:ascii="宋体" w:hAnsi="宋体" w:cs="宋体"/>
                <w:kern w:val="0"/>
                <w:sz w:val="22"/>
                <w:szCs w:val="22"/>
              </w:rPr>
              <w:t>19</w:t>
            </w:r>
            <w:r>
              <w:rPr>
                <w:rFonts w:ascii="宋体" w:cs="宋体"/>
                <w:color w:val="000000"/>
                <w:kern w:val="0"/>
                <w:sz w:val="22"/>
                <w:szCs w:val="22"/>
              </w:rPr>
              <w:t>,</w:t>
            </w:r>
            <w:r>
              <w:rPr>
                <w:rFonts w:hint="eastAsia" w:ascii="宋体" w:hAnsi="宋体" w:cs="宋体"/>
                <w:kern w:val="0"/>
                <w:sz w:val="22"/>
                <w:szCs w:val="22"/>
                <w:lang w:val="en-US" w:eastAsia="zh-CN"/>
              </w:rPr>
              <w:t>534</w:t>
            </w:r>
            <w:r>
              <w:rPr>
                <w:rFonts w:ascii="宋体" w:hAnsi="宋体" w:cs="宋体"/>
                <w:kern w:val="0"/>
                <w:sz w:val="22"/>
                <w:szCs w:val="22"/>
              </w:rPr>
              <w:t>.3</w:t>
            </w:r>
            <w:r>
              <w:rPr>
                <w:rFonts w:hint="eastAsia" w:ascii="宋体" w:hAnsi="宋体" w:cs="宋体"/>
                <w:kern w:val="0"/>
                <w:sz w:val="22"/>
                <w:szCs w:val="22"/>
                <w:lang w:val="en-US" w:eastAsia="zh-CN"/>
              </w:rPr>
              <w:t>9</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230" w:type="dxa"/>
            <w:gridSpan w:val="2"/>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kern w:val="0"/>
                <w:sz w:val="22"/>
                <w:szCs w:val="22"/>
                <w:lang w:val="en-US" w:eastAsia="zh-CN"/>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kern w:val="0"/>
                <w:sz w:val="22"/>
                <w:szCs w:val="22"/>
                <w:lang w:val="en-US" w:eastAsia="zh-CN"/>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480.88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hint="eastAsia" w:ascii="宋体" w:eastAsia="宋体" w:cs="Times New Roman"/>
                <w:b/>
                <w:bCs/>
                <w:kern w:val="0"/>
                <w:sz w:val="22"/>
                <w:szCs w:val="22"/>
                <w:lang w:eastAsia="zh-CN"/>
              </w:rPr>
            </w:pPr>
            <w:r>
              <w:rPr>
                <w:rFonts w:ascii="宋体" w:hAnsi="宋体" w:cs="宋体"/>
                <w:color w:val="000000"/>
                <w:kern w:val="0"/>
                <w:sz w:val="22"/>
                <w:szCs w:val="22"/>
              </w:rPr>
              <w:t>3</w:t>
            </w:r>
            <w:r>
              <w:rPr>
                <w:rFonts w:hint="eastAsia" w:ascii="宋体" w:hAnsi="宋体" w:cs="宋体"/>
                <w:color w:val="000000"/>
                <w:kern w:val="0"/>
                <w:sz w:val="22"/>
                <w:szCs w:val="22"/>
                <w:lang w:val="en-US" w:eastAsia="zh-CN"/>
              </w:rPr>
              <w:t>8</w:t>
            </w:r>
            <w:r>
              <w:rPr>
                <w:rFonts w:ascii="宋体" w:hAnsi="宋体" w:cs="宋体"/>
                <w:color w:val="000000"/>
                <w:kern w:val="0"/>
                <w:sz w:val="22"/>
                <w:szCs w:val="22"/>
              </w:rPr>
              <w:t>.5</w:t>
            </w:r>
            <w:r>
              <w:rPr>
                <w:rFonts w:hint="eastAsia" w:ascii="宋体" w:hAnsi="宋体" w:cs="宋体"/>
                <w:color w:val="000000"/>
                <w:kern w:val="0"/>
                <w:sz w:val="22"/>
                <w:szCs w:val="22"/>
                <w:lang w:val="en-US" w:eastAsia="zh-CN"/>
              </w:rPr>
              <w:t>1</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3633" w:type="dxa"/>
            <w:gridSpan w:val="3"/>
            <w:tcBorders>
              <w:top w:val="nil"/>
              <w:left w:val="nil"/>
              <w:bottom w:val="single" w:color="auto" w:sz="4" w:space="0"/>
              <w:right w:val="single" w:color="auto" w:sz="4" w:space="0"/>
            </w:tcBorders>
            <w:noWrap/>
            <w:vAlign w:val="center"/>
          </w:tcPr>
          <w:p>
            <w:pPr>
              <w:jc w:val="right"/>
              <w:rPr>
                <w:rFonts w:hint="default" w:ascii="宋体" w:eastAsia="宋体" w:cs="Times New Roman"/>
                <w:kern w:val="0"/>
                <w:sz w:val="22"/>
                <w:szCs w:val="22"/>
                <w:lang w:val="en-US" w:eastAsia="zh-CN"/>
              </w:rPr>
            </w:pPr>
            <w:r>
              <w:rPr>
                <w:rFonts w:hint="eastAsia" w:ascii="宋体" w:cs="Times New Roman"/>
                <w:kern w:val="0"/>
                <w:sz w:val="22"/>
                <w:szCs w:val="22"/>
                <w:lang w:val="en-US" w:eastAsia="zh-CN"/>
              </w:rPr>
              <w:t>15.00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ascii="宋体" w:cs="Times New Roman"/>
                <w:b/>
                <w:bCs/>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center"/>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0"/>
                <w:szCs w:val="20"/>
              </w:rPr>
              <w:t>24</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0"/>
                <w:szCs w:val="20"/>
              </w:rPr>
              <w:t>25</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0"/>
                <w:szCs w:val="20"/>
              </w:rPr>
              <w:t>26</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230" w:type="dxa"/>
            <w:gridSpan w:val="2"/>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kern w:val="0"/>
                <w:sz w:val="22"/>
                <w:szCs w:val="22"/>
                <w:lang w:val="en-US" w:eastAsia="zh-CN"/>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c>
          <w:tcPr>
            <w:tcW w:w="3798" w:type="dxa"/>
            <w:gridSpan w:val="3"/>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ascii="宋体" w:cs="Times New Roman"/>
                <w:b/>
                <w:bCs/>
                <w:kern w:val="0"/>
                <w:sz w:val="22"/>
                <w:szCs w:val="22"/>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3633" w:type="dxa"/>
            <w:gridSpan w:val="3"/>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230" w:type="dxa"/>
            <w:gridSpan w:val="2"/>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pPr>
              <w:jc w:val="left"/>
              <w:rPr>
                <w:rFonts w:ascii="宋体" w:cs="Times New Roman"/>
                <w:kern w:val="0"/>
                <w:sz w:val="22"/>
                <w:szCs w:val="22"/>
              </w:rPr>
            </w:pP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3633" w:type="dxa"/>
            <w:gridSpan w:val="3"/>
            <w:tcBorders>
              <w:top w:val="nil"/>
              <w:left w:val="nil"/>
              <w:bottom w:val="single" w:color="auto" w:sz="4" w:space="0"/>
              <w:right w:val="single" w:color="auto" w:sz="4" w:space="0"/>
            </w:tcBorders>
            <w:noWrap/>
            <w:vAlign w:val="center"/>
          </w:tcPr>
          <w:p>
            <w:pPr>
              <w:jc w:val="left"/>
              <w:rPr>
                <w:rFonts w:ascii="宋体" w:cs="Times New Roman"/>
                <w:kern w:val="0"/>
                <w:sz w:val="22"/>
                <w:szCs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230" w:type="dxa"/>
            <w:gridSpan w:val="2"/>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3633" w:type="dxa"/>
            <w:gridSpan w:val="3"/>
            <w:tcBorders>
              <w:top w:val="nil"/>
              <w:left w:val="nil"/>
              <w:bottom w:val="single" w:color="auto" w:sz="4" w:space="0"/>
              <w:right w:val="single" w:color="auto" w:sz="4" w:space="0"/>
            </w:tcBorders>
            <w:noWrap/>
            <w:vAlign w:val="center"/>
          </w:tcPr>
          <w:p>
            <w:pPr>
              <w:widowControl/>
              <w:jc w:val="right"/>
              <w:textAlignment w:val="center"/>
              <w:rPr>
                <w:rFonts w:ascii="宋体" w:cs="Times New Roman"/>
                <w:b/>
                <w:bCs/>
                <w:kern w:val="0"/>
                <w:sz w:val="22"/>
                <w:szCs w:val="22"/>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vAlign w:val="center"/>
          </w:tcPr>
          <w:p>
            <w:pPr>
              <w:widowControl/>
              <w:jc w:val="left"/>
              <w:rPr>
                <w:rFonts w:ascii="宋体" w:cs="Times New Roman"/>
                <w:kern w:val="0"/>
                <w:sz w:val="24"/>
                <w:szCs w:val="24"/>
              </w:rPr>
            </w:pPr>
            <w:r>
              <w:rPr>
                <w:rFonts w:hint="eastAsia" w:ascii="宋体" w:hAnsi="宋体" w:cs="宋体"/>
                <w:kern w:val="0"/>
                <w:sz w:val="24"/>
                <w:szCs w:val="24"/>
              </w:rPr>
              <w:t>注：</w:t>
            </w:r>
            <w:r>
              <w:rPr>
                <w:rFonts w:ascii="宋体" w:hAnsi="宋体" w:cs="宋体"/>
                <w:kern w:val="0"/>
                <w:sz w:val="24"/>
                <w:szCs w:val="24"/>
              </w:rPr>
              <w:t>1.</w:t>
            </w:r>
            <w:r>
              <w:rPr>
                <w:rFonts w:hint="eastAsia" w:ascii="宋体" w:hAnsi="宋体" w:cs="宋体"/>
                <w:kern w:val="0"/>
                <w:sz w:val="24"/>
                <w:szCs w:val="24"/>
              </w:rPr>
              <w:t>本表反映部门本年度的总收支和年末结转结余情况。</w:t>
            </w:r>
            <w:r>
              <w:rPr>
                <w:rFonts w:ascii="宋体" w:cs="Times New Roman"/>
                <w:kern w:val="0"/>
                <w:sz w:val="24"/>
                <w:szCs w:val="24"/>
              </w:rPr>
              <w:br w:type="textWrapping"/>
            </w:r>
            <w:r>
              <w:rPr>
                <w:rFonts w:ascii="宋体" w:hAnsi="宋体" w:cs="宋体"/>
                <w:kern w:val="0"/>
                <w:sz w:val="24"/>
                <w:szCs w:val="24"/>
              </w:rPr>
              <w:t xml:space="preserve"> 2.</w:t>
            </w:r>
            <w:r>
              <w:rPr>
                <w:rFonts w:hint="eastAsia" w:ascii="宋体" w:hAnsi="宋体" w:cs="宋体"/>
                <w:kern w:val="0"/>
                <w:sz w:val="24"/>
                <w:szCs w:val="24"/>
              </w:rPr>
              <w:t>本套报表金额单位转换时可能存在尾数误差。</w:t>
            </w:r>
          </w:p>
        </w:tc>
      </w:tr>
    </w:tbl>
    <w:p>
      <w:pPr>
        <w:jc w:val="both"/>
        <w:rPr>
          <w:rFonts w:ascii="黑体" w:hAnsi="黑体" w:eastAsia="黑体" w:cs="Times New Roman"/>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386" w:type="dxa"/>
        <w:tblInd w:w="2" w:type="dxa"/>
        <w:tblLayout w:type="autofit"/>
        <w:tblCellMar>
          <w:top w:w="0" w:type="dxa"/>
          <w:left w:w="0" w:type="dxa"/>
          <w:bottom w:w="0" w:type="dxa"/>
          <w:right w:w="0" w:type="dxa"/>
        </w:tblCellMar>
      </w:tblPr>
      <w:tblGrid>
        <w:gridCol w:w="1030"/>
        <w:gridCol w:w="74"/>
        <w:gridCol w:w="2676"/>
        <w:gridCol w:w="1470"/>
        <w:gridCol w:w="1575"/>
        <w:gridCol w:w="1785"/>
        <w:gridCol w:w="1680"/>
        <w:gridCol w:w="1575"/>
        <w:gridCol w:w="1680"/>
        <w:gridCol w:w="1841"/>
      </w:tblGrid>
      <w:tr>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noWrap/>
            <w:tcMar>
              <w:top w:w="15" w:type="dxa"/>
              <w:left w:w="15" w:type="dxa"/>
              <w:bottom w:w="0" w:type="dxa"/>
              <w:right w:w="15" w:type="dxa"/>
            </w:tcMar>
            <w:vAlign w:val="center"/>
          </w:tcPr>
          <w:p>
            <w:pPr>
              <w:jc w:val="center"/>
              <w:rPr>
                <w:rFonts w:ascii="华文中宋" w:hAnsi="华文中宋" w:eastAsia="华文中宋" w:cs="Times New Roman"/>
                <w:color w:val="000000"/>
                <w:sz w:val="32"/>
                <w:szCs w:val="32"/>
              </w:rPr>
            </w:pPr>
            <w:r>
              <w:rPr>
                <w:rFonts w:hint="eastAsia" w:ascii="华文中宋" w:hAnsi="华文中宋" w:eastAsia="华文中宋" w:cs="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26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4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78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84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color w:val="000000"/>
                <w:sz w:val="20"/>
                <w:szCs w:val="20"/>
              </w:rPr>
            </w:pPr>
            <w:r>
              <w:rPr>
                <w:rFonts w:hint="eastAsia" w:cs="宋体"/>
                <w:color w:val="000000"/>
                <w:sz w:val="20"/>
                <w:szCs w:val="20"/>
              </w:rPr>
              <w:t>公开</w:t>
            </w:r>
            <w:r>
              <w:rPr>
                <w:color w:val="000000"/>
                <w:sz w:val="20"/>
                <w:szCs w:val="20"/>
              </w:rPr>
              <w:t>02</w:t>
            </w:r>
            <w:r>
              <w:rPr>
                <w:rFonts w:hint="eastAsia" w:cs="宋体"/>
                <w:color w:val="000000"/>
                <w:sz w:val="20"/>
                <w:szCs w:val="20"/>
              </w:rPr>
              <w:t>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cs="Times New Roman"/>
                <w:color w:val="000000"/>
                <w:sz w:val="20"/>
                <w:szCs w:val="20"/>
              </w:rPr>
            </w:pPr>
            <w:r>
              <w:rPr>
                <w:rFonts w:hint="eastAsia" w:cs="宋体"/>
                <w:color w:val="000000"/>
                <w:sz w:val="20"/>
                <w:szCs w:val="20"/>
              </w:rPr>
              <w:t>部门：</w:t>
            </w:r>
          </w:p>
        </w:tc>
        <w:tc>
          <w:tcPr>
            <w:tcW w:w="26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4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785"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cs="Times New Roman"/>
                <w:color w:val="000000"/>
                <w:sz w:val="20"/>
                <w:szCs w:val="20"/>
              </w:rPr>
            </w:pPr>
            <w:r>
              <w:rPr>
                <w:rFonts w:hint="eastAsia" w:cs="宋体"/>
                <w:color w:val="000000"/>
                <w:sz w:val="20"/>
                <w:szCs w:val="20"/>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5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sz w:val="24"/>
                <w:szCs w:val="24"/>
              </w:rPr>
            </w:pPr>
            <w:r>
              <w:rPr>
                <w:rFonts w:hint="eastAsia" w:cs="宋体"/>
              </w:rPr>
              <w:t>　</w:t>
            </w:r>
          </w:p>
        </w:tc>
        <w:tc>
          <w:tcPr>
            <w:tcW w:w="184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cs="Times New Roman"/>
                <w:color w:val="000000"/>
                <w:sz w:val="20"/>
                <w:szCs w:val="20"/>
              </w:rPr>
            </w:pPr>
            <w:r>
              <w:rPr>
                <w:rFonts w:hint="eastAsia" w:cs="宋体"/>
                <w:color w:val="000000"/>
                <w:sz w:val="20"/>
                <w:szCs w:val="20"/>
              </w:rPr>
              <w:t>单位：万元</w:t>
            </w:r>
          </w:p>
        </w:tc>
      </w:tr>
      <w:tr>
        <w:tblPrEx>
          <w:tblCellMar>
            <w:top w:w="0" w:type="dxa"/>
            <w:left w:w="0" w:type="dxa"/>
            <w:bottom w:w="0" w:type="dxa"/>
            <w:right w:w="0" w:type="dxa"/>
          </w:tblCellMar>
        </w:tblPrEx>
        <w:trPr>
          <w:trHeight w:val="450" w:hRule="atLeast"/>
        </w:trPr>
        <w:tc>
          <w:tcPr>
            <w:tcW w:w="378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项</w:t>
            </w:r>
            <w:r>
              <w:t xml:space="preserve">    </w:t>
            </w:r>
            <w:r>
              <w:rPr>
                <w:rFonts w:hint="eastAsia" w:cs="宋体"/>
              </w:rPr>
              <w:t>目</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本年收入合计</w:t>
            </w:r>
          </w:p>
        </w:tc>
        <w:tc>
          <w:tcPr>
            <w:tcW w:w="1575"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cs="Times New Roman"/>
                <w:sz w:val="24"/>
                <w:szCs w:val="24"/>
              </w:rPr>
            </w:pPr>
            <w:r>
              <w:rPr>
                <w:rFonts w:hint="eastAsia" w:cs="宋体"/>
              </w:rPr>
              <w:t>财政拨款收入</w:t>
            </w:r>
          </w:p>
        </w:tc>
        <w:tc>
          <w:tcPr>
            <w:tcW w:w="17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上级补助收入</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事业收入</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经营收入</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附属单位上缴收入</w:t>
            </w:r>
          </w:p>
        </w:tc>
        <w:tc>
          <w:tcPr>
            <w:tcW w:w="18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其他收入</w:t>
            </w:r>
          </w:p>
        </w:tc>
      </w:tr>
      <w:tr>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功能分类科目编码</w:t>
            </w:r>
          </w:p>
        </w:tc>
        <w:tc>
          <w:tcPr>
            <w:tcW w:w="267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cs="Times New Roman"/>
                <w:sz w:val="24"/>
                <w:szCs w:val="24"/>
              </w:rPr>
            </w:pPr>
            <w:r>
              <w:rPr>
                <w:rFonts w:hint="eastAsia" w:cs="宋体"/>
              </w:rPr>
              <w:t>科目名称</w:t>
            </w: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2676" w:type="dxa"/>
            <w:vMerge w:val="continue"/>
            <w:tcBorders>
              <w:top w:val="nil"/>
              <w:left w:val="single" w:color="auto" w:sz="4" w:space="0"/>
              <w:bottom w:val="single" w:color="auto" w:sz="4" w:space="0"/>
              <w:right w:val="single" w:color="auto" w:sz="4" w:space="0"/>
            </w:tcBorders>
            <w:vAlign w:val="center"/>
          </w:tcPr>
          <w:p>
            <w:pPr>
              <w:rPr>
                <w:rFonts w:ascii="宋体" w:cs="Times New Roman"/>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c>
          <w:tcPr>
            <w:tcW w:w="18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Times New Roman"/>
                <w:sz w:val="24"/>
                <w:szCs w:val="24"/>
              </w:rPr>
            </w:pPr>
          </w:p>
        </w:tc>
      </w:tr>
      <w:tr>
        <w:tblPrEx>
          <w:tblCellMar>
            <w:top w:w="0" w:type="dxa"/>
            <w:left w:w="0" w:type="dxa"/>
            <w:bottom w:w="0" w:type="dxa"/>
            <w:right w:w="0" w:type="dxa"/>
          </w:tblCellMar>
        </w:tblPrEx>
        <w:trPr>
          <w:trHeight w:val="450" w:hRule="atLeast"/>
        </w:trPr>
        <w:tc>
          <w:tcPr>
            <w:tcW w:w="378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hint="eastAsia" w:ascii="宋体" w:hAnsi="宋体" w:cs="宋体"/>
                <w:color w:val="000000"/>
                <w:kern w:val="0"/>
                <w:sz w:val="22"/>
                <w:szCs w:val="22"/>
              </w:rPr>
              <w:t>栏次</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1</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2</w:t>
            </w:r>
          </w:p>
        </w:tc>
        <w:tc>
          <w:tcPr>
            <w:tcW w:w="17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3</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4</w:t>
            </w:r>
          </w:p>
        </w:tc>
        <w:tc>
          <w:tcPr>
            <w:tcW w:w="15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5</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6</w:t>
            </w:r>
          </w:p>
        </w:tc>
        <w:tc>
          <w:tcPr>
            <w:tcW w:w="18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ascii="宋体" w:hAnsi="宋体" w:cs="宋体"/>
                <w:color w:val="000000"/>
                <w:kern w:val="0"/>
                <w:sz w:val="22"/>
                <w:szCs w:val="22"/>
              </w:rPr>
              <w:t>7</w:t>
            </w:r>
          </w:p>
        </w:tc>
      </w:tr>
      <w:tr>
        <w:tblPrEx>
          <w:tblCellMar>
            <w:top w:w="0" w:type="dxa"/>
            <w:left w:w="0" w:type="dxa"/>
            <w:bottom w:w="0" w:type="dxa"/>
            <w:right w:w="0" w:type="dxa"/>
          </w:tblCellMar>
        </w:tblPrEx>
        <w:trPr>
          <w:trHeight w:val="450" w:hRule="atLeast"/>
        </w:trPr>
        <w:tc>
          <w:tcPr>
            <w:tcW w:w="378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ascii="宋体" w:cs="Times New Roman"/>
                <w:sz w:val="24"/>
                <w:szCs w:val="24"/>
              </w:rPr>
            </w:pPr>
            <w:r>
              <w:rPr>
                <w:rFonts w:hint="eastAsia" w:ascii="宋体" w:hAnsi="宋体" w:cs="宋体"/>
                <w:color w:val="000000"/>
                <w:kern w:val="0"/>
                <w:sz w:val="22"/>
                <w:szCs w:val="22"/>
              </w:rPr>
              <w:t>合计</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right"/>
              <w:textAlignment w:val="center"/>
              <w:rPr>
                <w:rFonts w:ascii="宋体" w:cs="Times New Roman"/>
                <w:b/>
                <w:bCs/>
                <w:color w:val="000000"/>
                <w:kern w:val="0"/>
                <w:sz w:val="22"/>
                <w:szCs w:val="22"/>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right"/>
              <w:textAlignment w:val="center"/>
              <w:rPr>
                <w:rFonts w:ascii="宋体" w:cs="Times New Roman"/>
                <w:b/>
                <w:bCs/>
                <w:color w:val="000000"/>
                <w:kern w:val="0"/>
                <w:sz w:val="22"/>
                <w:szCs w:val="22"/>
              </w:rPr>
            </w:pPr>
            <w:r>
              <w:rPr>
                <w:rFonts w:ascii="宋体" w:hAnsi="宋体" w:cs="宋体"/>
                <w:color w:val="000000"/>
                <w:kern w:val="0"/>
                <w:sz w:val="22"/>
                <w:szCs w:val="22"/>
              </w:rPr>
              <w:t>20,</w:t>
            </w:r>
            <w:r>
              <w:rPr>
                <w:rFonts w:hint="eastAsia" w:ascii="宋体" w:hAnsi="宋体" w:cs="宋体"/>
                <w:color w:val="000000"/>
                <w:kern w:val="0"/>
                <w:sz w:val="22"/>
                <w:szCs w:val="22"/>
                <w:lang w:val="en-US" w:eastAsia="zh-CN"/>
              </w:rPr>
              <w:t>399</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85</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208</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hint="eastAsia" w:ascii="宋体" w:hAnsi="宋体" w:cs="宋体"/>
                <w:color w:val="000000"/>
                <w:kern w:val="0"/>
                <w:sz w:val="22"/>
                <w:szCs w:val="22"/>
              </w:rPr>
              <w:t>社会保障和就业支出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right"/>
              <w:textAlignment w:val="center"/>
              <w:rPr>
                <w:rFonts w:ascii="宋体" w:cs="Times New Roman"/>
                <w:sz w:val="24"/>
                <w:szCs w:val="24"/>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480.88</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right"/>
              <w:textAlignment w:val="center"/>
              <w:rPr>
                <w:rFonts w:ascii="宋体" w:cs="Times New Roman"/>
                <w:sz w:val="24"/>
                <w:szCs w:val="24"/>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480.88</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20802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hint="eastAsia" w:ascii="宋体" w:hAnsi="宋体" w:cs="宋体"/>
                <w:color w:val="000000"/>
                <w:kern w:val="0"/>
                <w:sz w:val="22"/>
                <w:szCs w:val="22"/>
              </w:rPr>
              <w:t>民政管理事务</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945.20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945.20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2080201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802.78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802.78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2080206</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ind w:firstLine="220" w:firstLineChars="100"/>
              <w:jc w:val="left"/>
              <w:textAlignment w:val="center"/>
              <w:rPr>
                <w:rFonts w:ascii="宋体" w:cs="Times New Roman"/>
                <w:color w:val="000000"/>
                <w:kern w:val="0"/>
                <w:sz w:val="22"/>
                <w:szCs w:val="22"/>
              </w:rPr>
            </w:pPr>
            <w:r>
              <w:rPr>
                <w:rFonts w:hint="eastAsia" w:ascii="宋体" w:hAnsi="宋体" w:cs="宋体"/>
                <w:color w:val="000000"/>
                <w:kern w:val="0"/>
                <w:sz w:val="22"/>
                <w:szCs w:val="22"/>
              </w:rPr>
              <w:t>社会组织管理</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2080299</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其他民政管理事务支出</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141.34 </w:t>
            </w:r>
          </w:p>
        </w:tc>
        <w:tc>
          <w:tcPr>
            <w:tcW w:w="15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141.34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20805</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行政事业单位养老支出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2080505</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20808</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抚恤</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2080801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20810</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社会福利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2081001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儿童福利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2081002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老年福利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2081004</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殡葬</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2081005</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社会福利事业单位</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残疾人事业</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2081107</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残疾人生活和护理补贴</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20819</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最低生活保障</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2081901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城市最低生活保障金支出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2081902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农村最低生活保障金支出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20820</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临时救助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2082001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临时救助支出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2082002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流浪乞讨人员救助支出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特困人员救助供养</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2082101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城市特困人员救助供养支出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2082102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农村特困人员救助供养支出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20825</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color w:val="000000"/>
                <w:kern w:val="0"/>
                <w:sz w:val="22"/>
                <w:szCs w:val="22"/>
              </w:rPr>
            </w:pPr>
            <w:r>
              <w:rPr>
                <w:rFonts w:hint="eastAsia" w:ascii="宋体" w:hAnsi="宋体" w:cs="宋体"/>
                <w:color w:val="000000"/>
                <w:kern w:val="0"/>
                <w:sz w:val="22"/>
                <w:szCs w:val="22"/>
              </w:rPr>
              <w:t>其他生活救助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2082502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ind w:firstLine="220" w:firstLineChars="100"/>
              <w:jc w:val="left"/>
              <w:textAlignment w:val="center"/>
              <w:rPr>
                <w:rFonts w:ascii="宋体" w:cs="Times New Roman"/>
                <w:color w:val="000000"/>
                <w:kern w:val="0"/>
                <w:sz w:val="22"/>
                <w:szCs w:val="22"/>
              </w:rPr>
            </w:pPr>
            <w:r>
              <w:rPr>
                <w:rFonts w:hint="eastAsia" w:ascii="宋体" w:hAnsi="宋体" w:cs="宋体"/>
                <w:color w:val="000000"/>
                <w:kern w:val="0"/>
                <w:sz w:val="22"/>
                <w:szCs w:val="22"/>
              </w:rPr>
              <w:t>其他农村生活救助</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210</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卫生健康支出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21011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行政事业单位医疗</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right"/>
              <w:textAlignment w:val="center"/>
              <w:rPr>
                <w:rFonts w:ascii="华文中宋" w:hAnsi="华文中宋" w:eastAsia="华文中宋"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2101101</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eastAsia="宋体" w:cs="Times New Roman"/>
                <w:color w:val="000000"/>
                <w:kern w:val="0"/>
                <w:sz w:val="22"/>
                <w:szCs w:val="22"/>
                <w:lang w:val="en-US" w:eastAsia="zh-CN"/>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农林水支出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default" w:ascii="宋体" w:eastAsia="宋体" w:cs="Times New Roman"/>
                <w:color w:val="000000"/>
                <w:kern w:val="0"/>
                <w:sz w:val="22"/>
                <w:szCs w:val="22"/>
                <w:lang w:val="en-US" w:eastAsia="zh-CN"/>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default" w:ascii="宋体" w:eastAsia="宋体" w:cs="Times New Roman"/>
                <w:color w:val="000000"/>
                <w:kern w:val="0"/>
                <w:sz w:val="22"/>
                <w:szCs w:val="22"/>
                <w:lang w:val="en-US" w:eastAsia="zh-CN"/>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30504</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农村基础设施建设</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229</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其他支出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ascii="宋体" w:hAnsi="宋体" w:cs="宋体"/>
                <w:color w:val="000000"/>
                <w:kern w:val="0"/>
                <w:sz w:val="22"/>
                <w:szCs w:val="22"/>
              </w:rPr>
              <w:t>22960</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Times New Roman"/>
              </w:rPr>
            </w:pPr>
            <w:r>
              <w:rPr>
                <w:rFonts w:hint="eastAsia" w:ascii="宋体" w:hAnsi="宋体" w:cs="宋体"/>
                <w:color w:val="000000"/>
                <w:kern w:val="0"/>
                <w:sz w:val="22"/>
                <w:szCs w:val="22"/>
              </w:rPr>
              <w:t>彩票公益金安排的支出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cs="Times New Roman"/>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2296002</w:t>
            </w:r>
          </w:p>
        </w:tc>
        <w:tc>
          <w:tcPr>
            <w:tcW w:w="275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cs="Times New Roman"/>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用于社会福利的彩票公益金支出</w:t>
            </w:r>
          </w:p>
        </w:tc>
        <w:tc>
          <w:tcPr>
            <w:tcW w:w="14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865.46 </w:t>
            </w: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865.46 </w:t>
            </w:r>
          </w:p>
        </w:tc>
        <w:tc>
          <w:tcPr>
            <w:tcW w:w="178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57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68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c>
          <w:tcPr>
            <w:tcW w:w="184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ascii="宋体" w:cs="Times New Roman"/>
                <w:sz w:val="24"/>
                <w:szCs w:val="24"/>
              </w:rPr>
            </w:pPr>
          </w:p>
        </w:tc>
      </w:tr>
      <w:tr>
        <w:tblPrEx>
          <w:tblCellMar>
            <w:top w:w="0" w:type="dxa"/>
            <w:left w:w="0" w:type="dxa"/>
            <w:bottom w:w="0" w:type="dxa"/>
            <w:right w:w="0" w:type="dxa"/>
          </w:tblCellMar>
        </w:tblPrEx>
        <w:trPr>
          <w:trHeight w:val="450" w:hRule="atLeast"/>
        </w:trPr>
        <w:tc>
          <w:tcPr>
            <w:tcW w:w="15386" w:type="dxa"/>
            <w:gridSpan w:val="10"/>
            <w:tcBorders>
              <w:top w:val="nil"/>
              <w:left w:val="nil"/>
              <w:bottom w:val="nil"/>
              <w:right w:val="single" w:color="auto" w:sz="4" w:space="0"/>
            </w:tcBorders>
            <w:noWrap/>
            <w:tcMar>
              <w:top w:w="15" w:type="dxa"/>
              <w:left w:w="15" w:type="dxa"/>
              <w:bottom w:w="0" w:type="dxa"/>
              <w:right w:w="15" w:type="dxa"/>
            </w:tcMar>
            <w:vAlign w:val="center"/>
          </w:tcPr>
          <w:p>
            <w:pPr>
              <w:jc w:val="right"/>
              <w:rPr>
                <w:rFonts w:cs="Times New Roman"/>
              </w:rPr>
            </w:pPr>
            <w:r>
              <w:rPr>
                <w:rFonts w:hint="eastAsia" w:cs="宋体"/>
              </w:rPr>
              <w:t>注：本表反映部门本年度取得的各项收入情况。</w:t>
            </w:r>
          </w:p>
        </w:tc>
      </w:tr>
    </w:tbl>
    <w:p>
      <w:pPr>
        <w:widowControl/>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6"/>
        <w:tblW w:w="14125" w:type="dxa"/>
        <w:tblInd w:w="-106" w:type="dxa"/>
        <w:tblLayout w:type="autofit"/>
        <w:tblCellMar>
          <w:top w:w="0" w:type="dxa"/>
          <w:left w:w="108" w:type="dxa"/>
          <w:bottom w:w="0" w:type="dxa"/>
          <w:right w:w="108" w:type="dxa"/>
        </w:tblCellMar>
      </w:tblPr>
      <w:tblGrid>
        <w:gridCol w:w="986"/>
        <w:gridCol w:w="822"/>
        <w:gridCol w:w="236"/>
        <w:gridCol w:w="1411"/>
        <w:gridCol w:w="1646"/>
        <w:gridCol w:w="1679"/>
        <w:gridCol w:w="1679"/>
        <w:gridCol w:w="1679"/>
        <w:gridCol w:w="1679"/>
        <w:gridCol w:w="2308"/>
      </w:tblGrid>
      <w:tr>
        <w:tblPrEx>
          <w:tblCellMar>
            <w:top w:w="0" w:type="dxa"/>
            <w:left w:w="108" w:type="dxa"/>
            <w:bottom w:w="0" w:type="dxa"/>
            <w:right w:w="108" w:type="dxa"/>
          </w:tblCellMar>
        </w:tblPrEx>
        <w:trPr>
          <w:trHeight w:val="435" w:hRule="atLeast"/>
        </w:trPr>
        <w:tc>
          <w:tcPr>
            <w:tcW w:w="14125" w:type="dxa"/>
            <w:gridSpan w:val="10"/>
            <w:tcBorders>
              <w:top w:val="nil"/>
              <w:left w:val="nil"/>
              <w:bottom w:val="nil"/>
              <w:right w:val="nil"/>
            </w:tcBorders>
            <w:noWrap/>
            <w:vAlign w:val="center"/>
          </w:tcPr>
          <w:p>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236"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03</w:t>
            </w:r>
            <w:r>
              <w:rPr>
                <w:rFonts w:hint="eastAsia" w:ascii="宋体" w:hAnsi="宋体" w:cs="宋体"/>
                <w:color w:val="000000"/>
                <w:kern w:val="0"/>
                <w:sz w:val="20"/>
                <w:szCs w:val="20"/>
              </w:rPr>
              <w:t>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p>
        </w:tc>
        <w:tc>
          <w:tcPr>
            <w:tcW w:w="236"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center"/>
              <w:rPr>
                <w:rFonts w:ascii="宋体" w:cs="Times New Roman"/>
                <w:color w:val="000000"/>
                <w:kern w:val="0"/>
                <w:sz w:val="20"/>
                <w:szCs w:val="20"/>
              </w:rPr>
            </w:pPr>
            <w:r>
              <w:rPr>
                <w:rFonts w:hint="eastAsia" w:ascii="宋体" w:hAnsi="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345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2044"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cs="Times New Roman"/>
                <w:kern w:val="0"/>
                <w:sz w:val="24"/>
                <w:szCs w:val="24"/>
              </w:rPr>
            </w:pPr>
            <w:r>
              <w:rPr>
                <w:rFonts w:hint="eastAsia" w:ascii="宋体" w:hAnsi="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2044"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345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646"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c>
          <w:tcPr>
            <w:tcW w:w="2308"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6</w:t>
            </w:r>
          </w:p>
        </w:tc>
      </w:tr>
      <w:tr>
        <w:tblPrEx>
          <w:tblCellMar>
            <w:top w:w="0" w:type="dxa"/>
            <w:left w:w="108" w:type="dxa"/>
            <w:bottom w:w="0" w:type="dxa"/>
            <w:right w:w="108" w:type="dxa"/>
          </w:tblCellMar>
        </w:tblPrEx>
        <w:trPr>
          <w:trHeight w:val="450" w:hRule="atLeast"/>
        </w:trPr>
        <w:tc>
          <w:tcPr>
            <w:tcW w:w="345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合计</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20,399.85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912.42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19,487.43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208</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hint="eastAsia" w:ascii="宋体" w:hAnsi="宋体" w:cs="宋体"/>
                <w:color w:val="000000"/>
                <w:kern w:val="0"/>
                <w:sz w:val="22"/>
                <w:szCs w:val="22"/>
              </w:rPr>
              <w:t>社会保障和就业支出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19,480.88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873.91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18,606.97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20802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hint="eastAsia" w:ascii="宋体" w:hAnsi="宋体" w:cs="宋体"/>
                <w:color w:val="000000"/>
                <w:kern w:val="0"/>
                <w:sz w:val="22"/>
                <w:szCs w:val="22"/>
              </w:rPr>
              <w:t>民政管理事务</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945.20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802.78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142.42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2080201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802.78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802.78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2080206</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ind w:firstLine="220" w:firstLineChars="100"/>
              <w:jc w:val="left"/>
              <w:textAlignment w:val="center"/>
              <w:rPr>
                <w:rFonts w:ascii="宋体" w:cs="Times New Roman"/>
                <w:color w:val="000000"/>
                <w:kern w:val="0"/>
                <w:sz w:val="22"/>
                <w:szCs w:val="22"/>
              </w:rPr>
            </w:pPr>
            <w:r>
              <w:rPr>
                <w:rFonts w:hint="eastAsia" w:ascii="宋体" w:hAnsi="宋体" w:cs="宋体"/>
                <w:color w:val="000000"/>
                <w:kern w:val="0"/>
                <w:sz w:val="22"/>
                <w:szCs w:val="22"/>
              </w:rPr>
              <w:t>社会组织管理</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2080299</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其他民政管理事务支出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141.34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141.34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20805</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行政事业单位养老支出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2080505</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20808</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抚恤</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2080801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20810</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社会福利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2081001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儿童福利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2081002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老年福利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2081004</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殡葬</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2081005</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社会福利事业单位</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残疾人事业</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2081107</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残疾人生活和护理补贴</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20819</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最低生活保障</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2081901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城市最低生活保障金支出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2081902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农村最低生活保障金支出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20820</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临时救助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2082001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临时救助支出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2082002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流浪乞讨人员救助支出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特困人员救助供养</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2082101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城市特困人员救助供养支出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2082102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农村特困人员救助供养支出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20825</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hint="eastAsia" w:ascii="宋体" w:hAnsi="宋体" w:cs="宋体"/>
                <w:color w:val="000000"/>
                <w:kern w:val="0"/>
                <w:sz w:val="22"/>
                <w:szCs w:val="22"/>
              </w:rPr>
              <w:t>其他生活救助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2082502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ind w:firstLine="220" w:firstLineChars="100"/>
              <w:jc w:val="left"/>
              <w:textAlignment w:val="center"/>
              <w:rPr>
                <w:rFonts w:ascii="宋体" w:cs="Times New Roman"/>
                <w:color w:val="000000"/>
                <w:kern w:val="0"/>
                <w:sz w:val="22"/>
                <w:szCs w:val="22"/>
              </w:rPr>
            </w:pPr>
            <w:r>
              <w:rPr>
                <w:rFonts w:hint="eastAsia" w:ascii="宋体" w:hAnsi="宋体" w:cs="宋体"/>
                <w:color w:val="000000"/>
                <w:kern w:val="0"/>
                <w:sz w:val="22"/>
                <w:szCs w:val="22"/>
              </w:rPr>
              <w:t>其他农村生活救助</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210</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卫生健康支出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21011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行政事业单位医疗</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2101101</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w:t>
            </w:r>
          </w:p>
        </w:tc>
        <w:tc>
          <w:tcPr>
            <w:tcW w:w="2469"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农林水支出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w:t>
            </w:r>
          </w:p>
        </w:tc>
        <w:tc>
          <w:tcPr>
            <w:tcW w:w="2469"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30504</w:t>
            </w:r>
          </w:p>
        </w:tc>
        <w:tc>
          <w:tcPr>
            <w:tcW w:w="2469"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农村基础设施建设</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229</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其他支出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ascii="宋体" w:hAnsi="宋体" w:cs="宋体"/>
                <w:color w:val="000000"/>
                <w:kern w:val="0"/>
                <w:sz w:val="22"/>
                <w:szCs w:val="22"/>
              </w:rPr>
              <w:t>22960</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Times New Roman"/>
              </w:rPr>
            </w:pPr>
            <w:r>
              <w:rPr>
                <w:rFonts w:hint="eastAsia" w:ascii="宋体" w:hAnsi="宋体" w:cs="宋体"/>
                <w:color w:val="000000"/>
                <w:kern w:val="0"/>
                <w:sz w:val="22"/>
                <w:szCs w:val="22"/>
              </w:rPr>
              <w:t>彩票公益金安排的支出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ascii="宋体" w:hAnsi="宋体" w:cs="宋体"/>
                <w:color w:val="000000"/>
                <w:kern w:val="0"/>
                <w:sz w:val="22"/>
                <w:szCs w:val="22"/>
              </w:rPr>
              <w:t>2296002</w:t>
            </w:r>
          </w:p>
        </w:tc>
        <w:tc>
          <w:tcPr>
            <w:tcW w:w="2469"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cs="Times New Roman"/>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用于社会福利的彩票公益金支出</w:t>
            </w:r>
          </w:p>
        </w:tc>
        <w:tc>
          <w:tcPr>
            <w:tcW w:w="1646"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865.46 </w:t>
            </w: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630" w:hRule="atLeast"/>
        </w:trPr>
        <w:tc>
          <w:tcPr>
            <w:tcW w:w="14125" w:type="dxa"/>
            <w:gridSpan w:val="10"/>
            <w:tcBorders>
              <w:top w:val="nil"/>
              <w:left w:val="nil"/>
              <w:bottom w:val="nil"/>
              <w:right w:val="nil"/>
            </w:tcBorders>
            <w:vAlign w:val="center"/>
          </w:tcPr>
          <w:p>
            <w:pPr>
              <w:widowControl/>
              <w:jc w:val="left"/>
              <w:rPr>
                <w:rFonts w:ascii="宋体" w:cs="Times New Roman"/>
                <w:kern w:val="0"/>
                <w:sz w:val="24"/>
                <w:szCs w:val="24"/>
              </w:rPr>
            </w:pPr>
            <w:r>
              <w:rPr>
                <w:rFonts w:hint="eastAsia" w:ascii="宋体" w:hAnsi="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p>
      <w:pPr>
        <w:widowControl/>
        <w:ind w:left="93"/>
        <w:jc w:val="center"/>
        <w:rPr>
          <w:rFonts w:ascii="Times New Roman" w:hAnsi="Times New Roman" w:eastAsia="方正小标宋_GBK" w:cs="Times New Roman"/>
          <w:color w:val="000000"/>
          <w:kern w:val="0"/>
          <w:sz w:val="36"/>
          <w:szCs w:val="36"/>
        </w:rPr>
      </w:pPr>
    </w:p>
    <w:tbl>
      <w:tblPr>
        <w:tblStyle w:val="6"/>
        <w:tblW w:w="15617" w:type="dxa"/>
        <w:tblInd w:w="-106" w:type="dxa"/>
        <w:tblLayout w:type="autofit"/>
        <w:tblCellMar>
          <w:top w:w="0" w:type="dxa"/>
          <w:left w:w="108" w:type="dxa"/>
          <w:bottom w:w="0" w:type="dxa"/>
          <w:right w:w="108" w:type="dxa"/>
        </w:tblCellMar>
      </w:tblPr>
      <w:tblGrid>
        <w:gridCol w:w="3363"/>
        <w:gridCol w:w="660"/>
        <w:gridCol w:w="1335"/>
        <w:gridCol w:w="366"/>
        <w:gridCol w:w="2908"/>
        <w:gridCol w:w="631"/>
        <w:gridCol w:w="434"/>
        <w:gridCol w:w="1569"/>
        <w:gridCol w:w="1391"/>
        <w:gridCol w:w="1391"/>
        <w:gridCol w:w="1569"/>
      </w:tblGrid>
      <w:tr>
        <w:tblPrEx>
          <w:tblCellMar>
            <w:top w:w="0" w:type="dxa"/>
            <w:left w:w="108" w:type="dxa"/>
            <w:bottom w:w="0" w:type="dxa"/>
            <w:right w:w="108" w:type="dxa"/>
          </w:tblCellMar>
        </w:tblPrEx>
        <w:trPr>
          <w:trHeight w:val="285" w:hRule="atLeast"/>
        </w:trPr>
        <w:tc>
          <w:tcPr>
            <w:tcW w:w="3363" w:type="dxa"/>
            <w:tcBorders>
              <w:top w:val="nil"/>
              <w:left w:val="nil"/>
              <w:bottom w:val="nil"/>
              <w:right w:val="nil"/>
            </w:tcBorders>
            <w:noWrap/>
            <w:vAlign w:val="center"/>
          </w:tcPr>
          <w:p>
            <w:pPr>
              <w:widowControl/>
              <w:jc w:val="left"/>
              <w:rPr>
                <w:rFonts w:ascii="黑体" w:hAnsi="黑体" w:eastAsia="黑体" w:cs="Times New Roman"/>
                <w:kern w:val="0"/>
                <w:sz w:val="24"/>
                <w:szCs w:val="24"/>
              </w:rPr>
            </w:pPr>
            <w:bookmarkStart w:id="0" w:name="RANGE_A1_I22"/>
            <w:bookmarkEnd w:id="0"/>
            <w:bookmarkStart w:id="1" w:name="RANGE_A1_F16"/>
          </w:p>
        </w:tc>
        <w:tc>
          <w:tcPr>
            <w:tcW w:w="660" w:type="dxa"/>
            <w:tcBorders>
              <w:top w:val="nil"/>
              <w:left w:val="nil"/>
              <w:bottom w:val="nil"/>
              <w:right w:val="nil"/>
            </w:tcBorders>
            <w:noWrap/>
            <w:vAlign w:val="center"/>
          </w:tcPr>
          <w:p>
            <w:pPr>
              <w:widowControl/>
              <w:jc w:val="right"/>
              <w:rPr>
                <w:rFonts w:ascii="宋体" w:cs="Times New Roman"/>
                <w:kern w:val="0"/>
                <w:sz w:val="24"/>
                <w:szCs w:val="24"/>
              </w:rPr>
            </w:pPr>
          </w:p>
        </w:tc>
        <w:tc>
          <w:tcPr>
            <w:tcW w:w="1701" w:type="dxa"/>
            <w:gridSpan w:val="2"/>
            <w:tcBorders>
              <w:top w:val="nil"/>
              <w:left w:val="nil"/>
              <w:bottom w:val="nil"/>
              <w:right w:val="nil"/>
            </w:tcBorders>
            <w:noWrap/>
            <w:vAlign w:val="center"/>
          </w:tcPr>
          <w:p>
            <w:pPr>
              <w:widowControl/>
              <w:jc w:val="right"/>
              <w:rPr>
                <w:rFonts w:ascii="宋体" w:cs="Times New Roman"/>
                <w:kern w:val="0"/>
                <w:sz w:val="24"/>
                <w:szCs w:val="24"/>
              </w:rPr>
            </w:pPr>
          </w:p>
        </w:tc>
        <w:tc>
          <w:tcPr>
            <w:tcW w:w="3539" w:type="dxa"/>
            <w:gridSpan w:val="2"/>
            <w:tcBorders>
              <w:top w:val="nil"/>
              <w:left w:val="nil"/>
              <w:bottom w:val="nil"/>
              <w:right w:val="nil"/>
            </w:tcBorders>
            <w:noWrap/>
            <w:vAlign w:val="center"/>
          </w:tcPr>
          <w:p>
            <w:pPr>
              <w:widowControl/>
              <w:jc w:val="right"/>
              <w:rPr>
                <w:rFonts w:ascii="宋体" w:cs="Times New Roman"/>
                <w:kern w:val="0"/>
                <w:sz w:val="24"/>
                <w:szCs w:val="24"/>
              </w:rPr>
            </w:pPr>
          </w:p>
        </w:tc>
        <w:tc>
          <w:tcPr>
            <w:tcW w:w="434" w:type="dxa"/>
            <w:tcBorders>
              <w:top w:val="nil"/>
              <w:left w:val="nil"/>
              <w:bottom w:val="nil"/>
              <w:right w:val="nil"/>
            </w:tcBorders>
            <w:noWrap/>
            <w:vAlign w:val="center"/>
          </w:tcPr>
          <w:p>
            <w:pPr>
              <w:widowControl/>
              <w:jc w:val="right"/>
              <w:rPr>
                <w:rFonts w:ascii="宋体" w:cs="Times New Roman"/>
                <w:kern w:val="0"/>
                <w:sz w:val="24"/>
                <w:szCs w:val="24"/>
              </w:rPr>
            </w:pPr>
          </w:p>
        </w:tc>
        <w:tc>
          <w:tcPr>
            <w:tcW w:w="1569" w:type="dxa"/>
            <w:tcBorders>
              <w:top w:val="nil"/>
              <w:left w:val="nil"/>
              <w:bottom w:val="nil"/>
              <w:right w:val="nil"/>
            </w:tcBorders>
            <w:noWrap/>
            <w:vAlign w:val="center"/>
          </w:tcPr>
          <w:p>
            <w:pPr>
              <w:widowControl/>
              <w:jc w:val="right"/>
              <w:rPr>
                <w:rFonts w:ascii="宋体" w:cs="Times New Roman"/>
                <w:kern w:val="0"/>
                <w:sz w:val="24"/>
                <w:szCs w:val="24"/>
              </w:rPr>
            </w:pPr>
          </w:p>
        </w:tc>
        <w:tc>
          <w:tcPr>
            <w:tcW w:w="1391" w:type="dxa"/>
            <w:tcBorders>
              <w:top w:val="nil"/>
              <w:left w:val="nil"/>
              <w:bottom w:val="nil"/>
              <w:right w:val="nil"/>
            </w:tcBorders>
            <w:noWrap/>
            <w:vAlign w:val="center"/>
          </w:tcPr>
          <w:p>
            <w:pPr>
              <w:widowControl/>
              <w:jc w:val="right"/>
              <w:rPr>
                <w:rFonts w:ascii="宋体" w:cs="Times New Roman"/>
                <w:kern w:val="0"/>
                <w:sz w:val="24"/>
                <w:szCs w:val="24"/>
              </w:rPr>
            </w:pPr>
          </w:p>
        </w:tc>
        <w:tc>
          <w:tcPr>
            <w:tcW w:w="1391" w:type="dxa"/>
            <w:tcBorders>
              <w:top w:val="nil"/>
              <w:left w:val="nil"/>
              <w:bottom w:val="nil"/>
              <w:right w:val="nil"/>
            </w:tcBorders>
            <w:noWrap/>
            <w:vAlign w:val="center"/>
          </w:tcPr>
          <w:p>
            <w:pPr>
              <w:widowControl/>
              <w:jc w:val="right"/>
              <w:rPr>
                <w:rFonts w:ascii="宋体" w:cs="Times New Roman"/>
                <w:kern w:val="0"/>
                <w:sz w:val="24"/>
                <w:szCs w:val="24"/>
              </w:rPr>
            </w:pPr>
          </w:p>
        </w:tc>
        <w:tc>
          <w:tcPr>
            <w:tcW w:w="1569" w:type="dxa"/>
            <w:tcBorders>
              <w:top w:val="nil"/>
              <w:left w:val="nil"/>
              <w:bottom w:val="nil"/>
              <w:right w:val="nil"/>
            </w:tcBorders>
            <w:noWrap/>
            <w:vAlign w:val="center"/>
          </w:tcPr>
          <w:p>
            <w:pPr>
              <w:widowControl/>
              <w:jc w:val="right"/>
              <w:rPr>
                <w:rFonts w:ascii="宋体" w:cs="Times New Roman"/>
                <w:kern w:val="0"/>
                <w:sz w:val="24"/>
                <w:szCs w:val="24"/>
              </w:rPr>
            </w:pPr>
          </w:p>
        </w:tc>
      </w:tr>
      <w:tr>
        <w:tblPrEx>
          <w:tblCellMar>
            <w:top w:w="0" w:type="dxa"/>
            <w:left w:w="108" w:type="dxa"/>
            <w:bottom w:w="0" w:type="dxa"/>
            <w:right w:w="108" w:type="dxa"/>
          </w:tblCellMar>
        </w:tblPrEx>
        <w:trPr>
          <w:trHeight w:val="360" w:hRule="atLeast"/>
        </w:trPr>
        <w:tc>
          <w:tcPr>
            <w:tcW w:w="15617" w:type="dxa"/>
            <w:gridSpan w:val="11"/>
            <w:tcBorders>
              <w:top w:val="nil"/>
              <w:left w:val="nil"/>
              <w:bottom w:val="nil"/>
              <w:right w:val="nil"/>
            </w:tcBorders>
            <w:noWrap/>
            <w:vAlign w:val="center"/>
          </w:tcPr>
          <w:p>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363"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660"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35"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3905" w:type="dxa"/>
            <w:gridSpan w:val="3"/>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434"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56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569" w:type="dxa"/>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tblPrEx>
          <w:tblCellMar>
            <w:top w:w="0" w:type="dxa"/>
            <w:left w:w="108" w:type="dxa"/>
            <w:bottom w:w="0" w:type="dxa"/>
            <w:right w:w="108" w:type="dxa"/>
          </w:tblCellMar>
        </w:tblPrEx>
        <w:trPr>
          <w:trHeight w:val="300" w:hRule="atLeast"/>
        </w:trPr>
        <w:tc>
          <w:tcPr>
            <w:tcW w:w="3363" w:type="dxa"/>
            <w:tcBorders>
              <w:top w:val="nil"/>
              <w:left w:val="nil"/>
              <w:bottom w:val="nil"/>
              <w:right w:val="nil"/>
            </w:tcBorders>
            <w:shd w:val="clear" w:color="000000" w:fill="FFFFFF"/>
            <w:noWrap/>
            <w:vAlign w:val="center"/>
          </w:tcPr>
          <w:p>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p>
        </w:tc>
        <w:tc>
          <w:tcPr>
            <w:tcW w:w="660"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35"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3905" w:type="dxa"/>
            <w:gridSpan w:val="3"/>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434"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569"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cs="Times New Roman"/>
                <w:kern w:val="0"/>
                <w:sz w:val="24"/>
                <w:szCs w:val="24"/>
              </w:rPr>
            </w:pPr>
            <w:r>
              <w:rPr>
                <w:rFonts w:hint="eastAsia" w:ascii="宋体" w:hAnsi="宋体" w:cs="宋体"/>
                <w:kern w:val="0"/>
                <w:sz w:val="24"/>
                <w:szCs w:val="24"/>
              </w:rPr>
              <w:t>　</w:t>
            </w:r>
          </w:p>
        </w:tc>
        <w:tc>
          <w:tcPr>
            <w:tcW w:w="1569" w:type="dxa"/>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35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收入</w:t>
            </w:r>
          </w:p>
        </w:tc>
        <w:tc>
          <w:tcPr>
            <w:tcW w:w="10259"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cs="Times New Roman"/>
                <w:kern w:val="0"/>
                <w:sz w:val="24"/>
                <w:szCs w:val="24"/>
              </w:rPr>
            </w:pPr>
            <w:r>
              <w:rPr>
                <w:rFonts w:hint="eastAsia" w:ascii="宋体" w:hAnsi="宋体" w:cs="宋体"/>
                <w:kern w:val="0"/>
                <w:sz w:val="24"/>
                <w:szCs w:val="24"/>
              </w:rPr>
              <w:t>支出</w:t>
            </w:r>
          </w:p>
        </w:tc>
      </w:tr>
      <w:tr>
        <w:tblPrEx>
          <w:tblCellMar>
            <w:top w:w="0" w:type="dxa"/>
            <w:left w:w="108" w:type="dxa"/>
            <w:bottom w:w="0" w:type="dxa"/>
            <w:right w:w="108" w:type="dxa"/>
          </w:tblCellMar>
        </w:tblPrEx>
        <w:trPr>
          <w:trHeight w:val="630" w:hRule="atLeast"/>
        </w:trPr>
        <w:tc>
          <w:tcPr>
            <w:tcW w:w="3363" w:type="dxa"/>
            <w:tcBorders>
              <w:top w:val="nil"/>
              <w:left w:val="single" w:color="auto" w:sz="4" w:space="0"/>
              <w:bottom w:val="single" w:color="auto" w:sz="4" w:space="0"/>
              <w:right w:val="single" w:color="auto" w:sz="4" w:space="0"/>
            </w:tcBorders>
            <w:noWrap/>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660" w:type="dxa"/>
            <w:tcBorders>
              <w:top w:val="nil"/>
              <w:left w:val="nil"/>
              <w:bottom w:val="single" w:color="auto" w:sz="4" w:space="0"/>
              <w:right w:val="single" w:color="auto" w:sz="4" w:space="0"/>
            </w:tcBorders>
            <w:noWrap/>
            <w:vAlign w:val="center"/>
          </w:tcPr>
          <w:p>
            <w:pPr>
              <w:widowControl/>
              <w:jc w:val="center"/>
              <w:rPr>
                <w:rFonts w:ascii="宋体" w:cs="Times New Roman"/>
                <w:kern w:val="0"/>
                <w:sz w:val="20"/>
                <w:szCs w:val="20"/>
              </w:rPr>
            </w:pPr>
            <w:r>
              <w:rPr>
                <w:rFonts w:hint="eastAsia" w:ascii="宋体" w:hAnsi="宋体" w:cs="宋体"/>
                <w:kern w:val="0"/>
                <w:sz w:val="20"/>
                <w:szCs w:val="20"/>
              </w:rPr>
              <w:t>行次</w:t>
            </w:r>
          </w:p>
        </w:tc>
        <w:tc>
          <w:tcPr>
            <w:tcW w:w="1335" w:type="dxa"/>
            <w:tcBorders>
              <w:top w:val="nil"/>
              <w:left w:val="nil"/>
              <w:bottom w:val="single" w:color="auto" w:sz="4" w:space="0"/>
              <w:right w:val="single" w:color="auto" w:sz="4" w:space="0"/>
            </w:tcBorders>
            <w:noWrap/>
            <w:vAlign w:val="center"/>
          </w:tcPr>
          <w:p>
            <w:pPr>
              <w:widowControl/>
              <w:jc w:val="center"/>
              <w:rPr>
                <w:rFonts w:ascii="宋体" w:cs="Times New Roman"/>
                <w:kern w:val="0"/>
                <w:sz w:val="24"/>
                <w:szCs w:val="24"/>
              </w:rPr>
            </w:pPr>
            <w:r>
              <w:rPr>
                <w:rFonts w:hint="eastAsia" w:ascii="宋体" w:hAnsi="宋体" w:cs="宋体"/>
                <w:kern w:val="0"/>
                <w:sz w:val="24"/>
                <w:szCs w:val="24"/>
              </w:rPr>
              <w:t>金额</w:t>
            </w:r>
          </w:p>
        </w:tc>
        <w:tc>
          <w:tcPr>
            <w:tcW w:w="3274" w:type="dxa"/>
            <w:gridSpan w:val="2"/>
            <w:tcBorders>
              <w:top w:val="nil"/>
              <w:left w:val="nil"/>
              <w:bottom w:val="single" w:color="auto" w:sz="4" w:space="0"/>
              <w:right w:val="single" w:color="auto" w:sz="4" w:space="0"/>
            </w:tcBorders>
            <w:noWrap/>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065" w:type="dxa"/>
            <w:gridSpan w:val="2"/>
            <w:tcBorders>
              <w:top w:val="nil"/>
              <w:left w:val="nil"/>
              <w:bottom w:val="single" w:color="auto" w:sz="4" w:space="0"/>
              <w:right w:val="single" w:color="auto" w:sz="4" w:space="0"/>
            </w:tcBorders>
            <w:noWrap/>
            <w:vAlign w:val="center"/>
          </w:tcPr>
          <w:p>
            <w:pPr>
              <w:widowControl/>
              <w:jc w:val="center"/>
              <w:rPr>
                <w:rFonts w:ascii="宋体" w:cs="Times New Roman"/>
                <w:kern w:val="0"/>
                <w:sz w:val="20"/>
                <w:szCs w:val="20"/>
              </w:rPr>
            </w:pPr>
            <w:r>
              <w:rPr>
                <w:rFonts w:hint="eastAsia" w:ascii="宋体" w:hAnsi="宋体" w:cs="宋体"/>
                <w:kern w:val="0"/>
                <w:sz w:val="20"/>
                <w:szCs w:val="20"/>
              </w:rPr>
              <w:t>行次</w:t>
            </w:r>
          </w:p>
        </w:tc>
        <w:tc>
          <w:tcPr>
            <w:tcW w:w="1569" w:type="dxa"/>
            <w:tcBorders>
              <w:top w:val="nil"/>
              <w:left w:val="nil"/>
              <w:bottom w:val="single" w:color="auto" w:sz="4" w:space="0"/>
              <w:right w:val="single" w:color="auto" w:sz="4" w:space="0"/>
            </w:tcBorders>
            <w:noWrap/>
            <w:vAlign w:val="center"/>
          </w:tcPr>
          <w:p>
            <w:pPr>
              <w:widowControl/>
              <w:jc w:val="center"/>
              <w:rPr>
                <w:rFonts w:ascii="宋体" w:cs="Times New Roman"/>
                <w:kern w:val="0"/>
                <w:sz w:val="24"/>
                <w:szCs w:val="24"/>
              </w:rPr>
            </w:pPr>
            <w:r>
              <w:rPr>
                <w:rFonts w:hint="eastAsia" w:ascii="宋体" w:hAnsi="宋体" w:cs="宋体"/>
                <w:kern w:val="0"/>
                <w:sz w:val="24"/>
                <w:szCs w:val="24"/>
              </w:rPr>
              <w:t>合计</w:t>
            </w:r>
          </w:p>
        </w:tc>
        <w:tc>
          <w:tcPr>
            <w:tcW w:w="1391" w:type="dxa"/>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一般公共预算财政拨款</w:t>
            </w:r>
          </w:p>
        </w:tc>
        <w:tc>
          <w:tcPr>
            <w:tcW w:w="1391" w:type="dxa"/>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政府性基金预算财政拨款</w:t>
            </w:r>
          </w:p>
        </w:tc>
        <w:tc>
          <w:tcPr>
            <w:tcW w:w="1569" w:type="dxa"/>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660" w:type="dxa"/>
            <w:tcBorders>
              <w:top w:val="nil"/>
              <w:left w:val="nil"/>
              <w:bottom w:val="single" w:color="auto" w:sz="4" w:space="0"/>
              <w:right w:val="single" w:color="auto" w:sz="4" w:space="0"/>
            </w:tcBorders>
            <w:noWrap/>
            <w:vAlign w:val="center"/>
          </w:tcPr>
          <w:p>
            <w:pPr>
              <w:jc w:val="center"/>
              <w:rPr>
                <w:rFonts w:ascii="宋体" w:cs="Times New Roman"/>
                <w:kern w:val="0"/>
                <w:sz w:val="24"/>
                <w:szCs w:val="24"/>
              </w:rPr>
            </w:pPr>
          </w:p>
        </w:tc>
        <w:tc>
          <w:tcPr>
            <w:tcW w:w="1335"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274"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065" w:type="dxa"/>
            <w:gridSpan w:val="2"/>
            <w:tcBorders>
              <w:top w:val="nil"/>
              <w:left w:val="nil"/>
              <w:bottom w:val="single" w:color="auto" w:sz="4" w:space="0"/>
              <w:right w:val="single" w:color="auto" w:sz="4" w:space="0"/>
            </w:tcBorders>
            <w:noWrap/>
            <w:vAlign w:val="center"/>
          </w:tcPr>
          <w:p>
            <w:pPr>
              <w:jc w:val="center"/>
              <w:rPr>
                <w:rFonts w:ascii="宋体" w:cs="Times New Roman"/>
                <w:kern w:val="0"/>
                <w:sz w:val="24"/>
                <w:szCs w:val="24"/>
              </w:rPr>
            </w:pPr>
          </w:p>
        </w:tc>
        <w:tc>
          <w:tcPr>
            <w:tcW w:w="1569"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391"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391"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569"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335"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kern w:val="0"/>
                <w:sz w:val="22"/>
                <w:szCs w:val="22"/>
              </w:rPr>
              <w:t>19</w:t>
            </w:r>
            <w:r>
              <w:rPr>
                <w:rFonts w:ascii="宋体" w:cs="宋体"/>
                <w:color w:val="000000"/>
                <w:kern w:val="0"/>
                <w:sz w:val="22"/>
                <w:szCs w:val="22"/>
              </w:rPr>
              <w:t>,</w:t>
            </w:r>
            <w:r>
              <w:rPr>
                <w:rFonts w:hint="eastAsia" w:ascii="宋体" w:hAnsi="宋体" w:cs="宋体"/>
                <w:kern w:val="0"/>
                <w:sz w:val="22"/>
                <w:szCs w:val="22"/>
                <w:lang w:val="en-US" w:eastAsia="zh-CN"/>
              </w:rPr>
              <w:t>534</w:t>
            </w:r>
            <w:r>
              <w:rPr>
                <w:rFonts w:ascii="宋体" w:hAnsi="宋体" w:cs="宋体"/>
                <w:kern w:val="0"/>
                <w:sz w:val="22"/>
                <w:szCs w:val="22"/>
              </w:rPr>
              <w:t>.3</w:t>
            </w:r>
            <w:r>
              <w:rPr>
                <w:rFonts w:hint="eastAsia" w:ascii="宋体" w:hAnsi="宋体" w:cs="宋体"/>
                <w:kern w:val="0"/>
                <w:sz w:val="22"/>
                <w:szCs w:val="22"/>
                <w:lang w:val="en-US" w:eastAsia="zh-CN"/>
              </w:rPr>
              <w:t>9</w:t>
            </w: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335"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1569"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480.88</w:t>
            </w: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480.88</w:t>
            </w: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九、卫生健康支出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1569"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3</w:t>
            </w:r>
            <w:r>
              <w:rPr>
                <w:rFonts w:hint="eastAsia" w:ascii="宋体" w:hAnsi="宋体" w:cs="宋体"/>
                <w:color w:val="000000"/>
                <w:kern w:val="0"/>
                <w:sz w:val="22"/>
                <w:szCs w:val="22"/>
                <w:lang w:val="en-US" w:eastAsia="zh-CN"/>
              </w:rPr>
              <w:t>8</w:t>
            </w:r>
            <w:r>
              <w:rPr>
                <w:rFonts w:ascii="宋体" w:hAnsi="宋体" w:cs="宋体"/>
                <w:color w:val="000000"/>
                <w:kern w:val="0"/>
                <w:sz w:val="22"/>
                <w:szCs w:val="22"/>
              </w:rPr>
              <w:t>.5</w:t>
            </w:r>
            <w:r>
              <w:rPr>
                <w:rFonts w:hint="eastAsia" w:ascii="宋体" w:hAnsi="宋体" w:cs="宋体"/>
                <w:color w:val="000000"/>
                <w:kern w:val="0"/>
                <w:sz w:val="22"/>
                <w:szCs w:val="22"/>
                <w:lang w:val="en-US" w:eastAsia="zh-CN"/>
              </w:rPr>
              <w:t>1</w:t>
            </w: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3</w:t>
            </w:r>
            <w:r>
              <w:rPr>
                <w:rFonts w:hint="eastAsia" w:ascii="宋体" w:hAnsi="宋体" w:cs="宋体"/>
                <w:color w:val="000000"/>
                <w:kern w:val="0"/>
                <w:sz w:val="22"/>
                <w:szCs w:val="22"/>
                <w:lang w:val="en-US" w:eastAsia="zh-CN"/>
              </w:rPr>
              <w:t>8</w:t>
            </w:r>
            <w:r>
              <w:rPr>
                <w:rFonts w:ascii="宋体" w:hAnsi="宋体" w:cs="宋体"/>
                <w:color w:val="000000"/>
                <w:kern w:val="0"/>
                <w:sz w:val="22"/>
                <w:szCs w:val="22"/>
              </w:rPr>
              <w:t>.5</w:t>
            </w:r>
            <w:r>
              <w:rPr>
                <w:rFonts w:hint="eastAsia" w:ascii="宋体" w:hAnsi="宋体" w:cs="宋体"/>
                <w:color w:val="000000"/>
                <w:kern w:val="0"/>
                <w:sz w:val="22"/>
                <w:szCs w:val="22"/>
                <w:lang w:val="en-US" w:eastAsia="zh-CN"/>
              </w:rPr>
              <w:t>1</w:t>
            </w: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十、节能环保支出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十一、城乡社区支出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1569"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十二、农林水支出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r>
              <w:rPr>
                <w:rFonts w:hint="eastAsia" w:ascii="宋体" w:cs="Times New Roman"/>
                <w:kern w:val="0"/>
                <w:sz w:val="22"/>
                <w:szCs w:val="22"/>
                <w:lang w:val="en-US" w:eastAsia="zh-CN"/>
              </w:rPr>
              <w:t>15.00</w:t>
            </w: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r>
              <w:rPr>
                <w:rFonts w:hint="eastAsia" w:ascii="宋体" w:cs="Times New Roman"/>
                <w:kern w:val="0"/>
                <w:sz w:val="22"/>
                <w:szCs w:val="22"/>
                <w:lang w:val="en-US" w:eastAsia="zh-CN"/>
              </w:rPr>
              <w:t>15.00</w:t>
            </w: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十三、交通运输支出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十四、资源勘探工业信息等支出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十五、商业服务业等支出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十六、金融支出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十七、援助其他地区支出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十八、自然资源海洋气象等支出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十九、住房保障支出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二十、粮油物资储备支出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二十一、国有资本经营预算支出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二十二、灾害防治及应急管理支出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二十三、其他支出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1569"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center"/>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24</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二十四、债务还本支出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25</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二十五、债务付息支出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jc w:val="left"/>
              <w:rPr>
                <w:rFonts w:ascii="宋体" w:cs="Times New Roman"/>
                <w:kern w:val="0"/>
                <w:sz w:val="22"/>
                <w:szCs w:val="22"/>
              </w:rPr>
            </w:pP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26</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二十六、抗疫特别国债安排的支出</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本年收入合计</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335"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20,399.85</w:t>
            </w:r>
          </w:p>
        </w:tc>
        <w:tc>
          <w:tcPr>
            <w:tcW w:w="3274"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本年支出合计</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1569"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20,399.85</w:t>
            </w: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kern w:val="0"/>
                <w:sz w:val="22"/>
                <w:szCs w:val="22"/>
              </w:rPr>
              <w:t>19</w:t>
            </w:r>
            <w:r>
              <w:rPr>
                <w:rFonts w:ascii="宋体" w:cs="宋体"/>
                <w:color w:val="000000"/>
                <w:kern w:val="0"/>
                <w:sz w:val="22"/>
                <w:szCs w:val="22"/>
              </w:rPr>
              <w:t>,</w:t>
            </w:r>
            <w:r>
              <w:rPr>
                <w:rFonts w:hint="eastAsia" w:ascii="宋体" w:hAnsi="宋体" w:cs="宋体"/>
                <w:kern w:val="0"/>
                <w:sz w:val="22"/>
                <w:szCs w:val="22"/>
                <w:lang w:val="en-US" w:eastAsia="zh-CN"/>
              </w:rPr>
              <w:t>534</w:t>
            </w:r>
            <w:r>
              <w:rPr>
                <w:rFonts w:ascii="宋体" w:hAnsi="宋体" w:cs="宋体"/>
                <w:kern w:val="0"/>
                <w:sz w:val="22"/>
                <w:szCs w:val="22"/>
              </w:rPr>
              <w:t>.3</w:t>
            </w:r>
            <w:r>
              <w:rPr>
                <w:rFonts w:hint="eastAsia" w:ascii="宋体" w:hAnsi="宋体" w:cs="宋体"/>
                <w:kern w:val="0"/>
                <w:sz w:val="22"/>
                <w:szCs w:val="22"/>
                <w:lang w:val="en-US" w:eastAsia="zh-CN"/>
              </w:rPr>
              <w:t>9</w:t>
            </w: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年初财政拨款结转和结余</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年末财政拨款结转和结余</w:t>
            </w: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一般公共预算财政拨款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jc w:val="left"/>
              <w:rPr>
                <w:rFonts w:ascii="宋体" w:cs="Times New Roman"/>
                <w:kern w:val="0"/>
                <w:sz w:val="22"/>
                <w:szCs w:val="22"/>
              </w:rPr>
            </w:pP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政府性基金预算财政拨款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jc w:val="left"/>
              <w:rPr>
                <w:rFonts w:ascii="宋体" w:cs="Times New Roman"/>
                <w:kern w:val="0"/>
                <w:sz w:val="22"/>
                <w:szCs w:val="22"/>
              </w:rPr>
            </w:pP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国有资本经营预算财政拨款</w:t>
            </w:r>
          </w:p>
        </w:tc>
        <w:tc>
          <w:tcPr>
            <w:tcW w:w="660" w:type="dxa"/>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335"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3274" w:type="dxa"/>
            <w:gridSpan w:val="2"/>
            <w:tcBorders>
              <w:top w:val="nil"/>
              <w:left w:val="nil"/>
              <w:bottom w:val="single" w:color="auto" w:sz="4" w:space="0"/>
              <w:right w:val="single" w:color="auto" w:sz="4" w:space="0"/>
            </w:tcBorders>
            <w:noWrap/>
            <w:vAlign w:val="center"/>
          </w:tcPr>
          <w:p>
            <w:pPr>
              <w:jc w:val="left"/>
              <w:rPr>
                <w:rFonts w:ascii="宋体" w:cs="Times New Roman"/>
                <w:kern w:val="0"/>
                <w:sz w:val="22"/>
                <w:szCs w:val="22"/>
              </w:rPr>
            </w:pPr>
          </w:p>
        </w:tc>
        <w:tc>
          <w:tcPr>
            <w:tcW w:w="1065" w:type="dxa"/>
            <w:gridSpan w:val="2"/>
            <w:tcBorders>
              <w:top w:val="nil"/>
              <w:left w:val="nil"/>
              <w:bottom w:val="single" w:color="auto" w:sz="4" w:space="0"/>
              <w:right w:val="single" w:color="auto" w:sz="4" w:space="0"/>
            </w:tcBorders>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63</w:t>
            </w: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391"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c>
          <w:tcPr>
            <w:tcW w:w="1569" w:type="dxa"/>
            <w:tcBorders>
              <w:top w:val="nil"/>
              <w:left w:val="nil"/>
              <w:bottom w:val="single" w:color="auto" w:sz="4" w:space="0"/>
              <w:right w:val="single" w:color="auto" w:sz="4" w:space="0"/>
            </w:tcBorders>
            <w:noWrap/>
            <w:vAlign w:val="center"/>
          </w:tcPr>
          <w:p>
            <w:pPr>
              <w:jc w:val="right"/>
              <w:rPr>
                <w:rFonts w:ascii="宋体" w:cs="Times New Roman"/>
                <w:kern w:val="0"/>
                <w:sz w:val="22"/>
                <w:szCs w:val="22"/>
              </w:rPr>
            </w:pPr>
          </w:p>
        </w:tc>
      </w:tr>
      <w:tr>
        <w:tblPrEx>
          <w:tblCellMar>
            <w:top w:w="0" w:type="dxa"/>
            <w:left w:w="108" w:type="dxa"/>
            <w:bottom w:w="0" w:type="dxa"/>
            <w:right w:w="108" w:type="dxa"/>
          </w:tblCellMar>
        </w:tblPrEx>
        <w:trPr>
          <w:trHeight w:val="402" w:hRule="atLeast"/>
        </w:trPr>
        <w:tc>
          <w:tcPr>
            <w:tcW w:w="3363"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660"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1335"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20,399.85</w:t>
            </w:r>
          </w:p>
        </w:tc>
        <w:tc>
          <w:tcPr>
            <w:tcW w:w="3274" w:type="dxa"/>
            <w:gridSpan w:val="2"/>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1065" w:type="dxa"/>
            <w:gridSpan w:val="2"/>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cs="Times New Roman"/>
                <w:kern w:val="0"/>
                <w:sz w:val="22"/>
                <w:szCs w:val="22"/>
              </w:rPr>
            </w:pPr>
            <w:r>
              <w:rPr>
                <w:rFonts w:ascii="宋体" w:hAnsi="宋体" w:cs="宋体"/>
                <w:color w:val="000000"/>
                <w:kern w:val="0"/>
                <w:sz w:val="22"/>
                <w:szCs w:val="22"/>
              </w:rPr>
              <w:t>64</w:t>
            </w:r>
          </w:p>
        </w:tc>
        <w:tc>
          <w:tcPr>
            <w:tcW w:w="1569" w:type="dxa"/>
            <w:tcBorders>
              <w:top w:val="nil"/>
              <w:left w:val="nil"/>
              <w:bottom w:val="single" w:color="auto" w:sz="4" w:space="0"/>
              <w:right w:val="single" w:color="auto" w:sz="4" w:space="0"/>
            </w:tcBorders>
            <w:shd w:val="clear" w:color="000000" w:fill="FFFFFF"/>
            <w:noWrap/>
            <w:vAlign w:val="center"/>
          </w:tcPr>
          <w:p>
            <w:pPr>
              <w:widowControl/>
              <w:jc w:val="right"/>
              <w:textAlignment w:val="center"/>
              <w:rPr>
                <w:rFonts w:ascii="宋体" w:cs="Times New Roman"/>
                <w:kern w:val="0"/>
                <w:sz w:val="22"/>
                <w:szCs w:val="22"/>
              </w:rPr>
            </w:pPr>
            <w:r>
              <w:rPr>
                <w:rFonts w:hint="eastAsia" w:ascii="宋体" w:hAnsi="宋体" w:eastAsia="宋体" w:cs="宋体"/>
                <w:i w:val="0"/>
                <w:iCs w:val="0"/>
                <w:color w:val="000000"/>
                <w:kern w:val="0"/>
                <w:sz w:val="22"/>
                <w:szCs w:val="22"/>
                <w:u w:val="none"/>
                <w:lang w:val="en-US" w:eastAsia="zh-CN" w:bidi="ar"/>
              </w:rPr>
              <w:t>20,399.85</w:t>
            </w:r>
          </w:p>
        </w:tc>
        <w:tc>
          <w:tcPr>
            <w:tcW w:w="1391" w:type="dxa"/>
            <w:tcBorders>
              <w:top w:val="nil"/>
              <w:left w:val="nil"/>
              <w:bottom w:val="single" w:color="auto" w:sz="4" w:space="0"/>
              <w:right w:val="single" w:color="auto" w:sz="4" w:space="0"/>
            </w:tcBorders>
            <w:shd w:val="clear" w:color="000000" w:fill="FFFFFF"/>
            <w:noWrap/>
            <w:vAlign w:val="center"/>
          </w:tcPr>
          <w:p>
            <w:pPr>
              <w:widowControl/>
              <w:jc w:val="right"/>
              <w:textAlignment w:val="center"/>
              <w:rPr>
                <w:rFonts w:ascii="宋体" w:cs="Times New Roman"/>
                <w:kern w:val="0"/>
                <w:sz w:val="22"/>
                <w:szCs w:val="22"/>
              </w:rPr>
            </w:pPr>
            <w:r>
              <w:rPr>
                <w:rFonts w:ascii="宋体" w:hAnsi="宋体" w:cs="宋体"/>
                <w:kern w:val="0"/>
                <w:sz w:val="22"/>
                <w:szCs w:val="22"/>
              </w:rPr>
              <w:t>19</w:t>
            </w:r>
            <w:r>
              <w:rPr>
                <w:rFonts w:ascii="宋体" w:cs="宋体"/>
                <w:color w:val="000000"/>
                <w:kern w:val="0"/>
                <w:sz w:val="22"/>
                <w:szCs w:val="22"/>
              </w:rPr>
              <w:t>,</w:t>
            </w:r>
            <w:r>
              <w:rPr>
                <w:rFonts w:hint="eastAsia" w:ascii="宋体" w:hAnsi="宋体" w:cs="宋体"/>
                <w:kern w:val="0"/>
                <w:sz w:val="22"/>
                <w:szCs w:val="22"/>
                <w:lang w:val="en-US" w:eastAsia="zh-CN"/>
              </w:rPr>
              <w:t>534</w:t>
            </w:r>
            <w:r>
              <w:rPr>
                <w:rFonts w:ascii="宋体" w:hAnsi="宋体" w:cs="宋体"/>
                <w:kern w:val="0"/>
                <w:sz w:val="22"/>
                <w:szCs w:val="22"/>
              </w:rPr>
              <w:t>.3</w:t>
            </w:r>
            <w:r>
              <w:rPr>
                <w:rFonts w:hint="eastAsia" w:ascii="宋体" w:hAnsi="宋体" w:cs="宋体"/>
                <w:kern w:val="0"/>
                <w:sz w:val="22"/>
                <w:szCs w:val="22"/>
                <w:lang w:val="en-US" w:eastAsia="zh-CN"/>
              </w:rPr>
              <w:t>9</w:t>
            </w:r>
          </w:p>
        </w:tc>
        <w:tc>
          <w:tcPr>
            <w:tcW w:w="1391"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b/>
                <w:bCs/>
                <w:kern w:val="0"/>
                <w:sz w:val="22"/>
                <w:szCs w:val="22"/>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65.46</w:t>
            </w:r>
          </w:p>
        </w:tc>
        <w:tc>
          <w:tcPr>
            <w:tcW w:w="1569" w:type="dxa"/>
            <w:tcBorders>
              <w:top w:val="nil"/>
              <w:left w:val="nil"/>
              <w:bottom w:val="single" w:color="auto" w:sz="4" w:space="0"/>
              <w:right w:val="single" w:color="auto" w:sz="4" w:space="0"/>
            </w:tcBorders>
            <w:noWrap/>
            <w:vAlign w:val="center"/>
          </w:tcPr>
          <w:p>
            <w:pPr>
              <w:jc w:val="right"/>
              <w:rPr>
                <w:rFonts w:ascii="宋体" w:cs="Times New Roman"/>
                <w:b/>
                <w:bCs/>
                <w:kern w:val="0"/>
                <w:sz w:val="22"/>
                <w:szCs w:val="22"/>
              </w:rPr>
            </w:pPr>
          </w:p>
        </w:tc>
      </w:tr>
      <w:tr>
        <w:tblPrEx>
          <w:tblCellMar>
            <w:top w:w="0" w:type="dxa"/>
            <w:left w:w="108" w:type="dxa"/>
            <w:bottom w:w="0" w:type="dxa"/>
            <w:right w:w="108" w:type="dxa"/>
          </w:tblCellMar>
        </w:tblPrEx>
        <w:trPr>
          <w:trHeight w:val="585" w:hRule="atLeast"/>
        </w:trPr>
        <w:tc>
          <w:tcPr>
            <w:tcW w:w="15617" w:type="dxa"/>
            <w:gridSpan w:val="11"/>
            <w:tcBorders>
              <w:top w:val="nil"/>
              <w:left w:val="nil"/>
              <w:bottom w:val="nil"/>
              <w:right w:val="nil"/>
            </w:tcBorders>
            <w:vAlign w:val="center"/>
          </w:tcPr>
          <w:p>
            <w:pPr>
              <w:widowControl/>
              <w:jc w:val="left"/>
              <w:rPr>
                <w:rFonts w:ascii="宋体" w:cs="Times New Roman"/>
                <w:kern w:val="0"/>
                <w:sz w:val="24"/>
                <w:szCs w:val="24"/>
              </w:rPr>
            </w:pPr>
            <w:r>
              <w:rPr>
                <w:rFonts w:hint="eastAsia" w:ascii="宋体" w:hAnsi="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hint="eastAsia" w:ascii="Times New Roman" w:hAnsi="Times New Roman" w:eastAsia="方正小标宋_GBK" w:cs="方正小标宋_GBK"/>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05</w:t>
      </w:r>
      <w:r>
        <w:rPr>
          <w:rFonts w:hint="eastAsia" w:ascii="Times New Roman" w:hAnsi="Times New Roman" w:eastAsia="仿宋_GB2312" w:cs="仿宋_GB2312"/>
          <w:color w:val="000000"/>
          <w:kern w:val="0"/>
        </w:rPr>
        <w:t>表</w:t>
      </w:r>
    </w:p>
    <w:p>
      <w:pPr>
        <w:widowControl/>
        <w:jc w:val="left"/>
        <w:rPr>
          <w:rFonts w:ascii="Times New Roman" w:hAnsi="Times New Roman" w:cs="Times New Roman"/>
          <w:color w:val="000000"/>
          <w:kern w:val="0"/>
          <w:sz w:val="20"/>
          <w:szCs w:val="20"/>
        </w:rPr>
      </w:pP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单位：万元</w:t>
      </w:r>
    </w:p>
    <w:tbl>
      <w:tblPr>
        <w:tblStyle w:val="6"/>
        <w:tblW w:w="14219" w:type="dxa"/>
        <w:jc w:val="center"/>
        <w:tblLayout w:type="autofit"/>
        <w:tblCellMar>
          <w:top w:w="0" w:type="dxa"/>
          <w:left w:w="108" w:type="dxa"/>
          <w:bottom w:w="0" w:type="dxa"/>
          <w:right w:w="108" w:type="dxa"/>
        </w:tblCellMar>
      </w:tblPr>
      <w:tblGrid>
        <w:gridCol w:w="986"/>
        <w:gridCol w:w="998"/>
        <w:gridCol w:w="3265"/>
        <w:gridCol w:w="2849"/>
        <w:gridCol w:w="3271"/>
        <w:gridCol w:w="2850"/>
      </w:tblGrid>
      <w:tr>
        <w:tblPrEx>
          <w:tblCellMar>
            <w:top w:w="0" w:type="dxa"/>
            <w:left w:w="108" w:type="dxa"/>
            <w:bottom w:w="0" w:type="dxa"/>
            <w:right w:w="108" w:type="dxa"/>
          </w:tblCellMar>
        </w:tblPrEx>
        <w:trPr>
          <w:trHeight w:val="405" w:hRule="atLeast"/>
          <w:jc w:val="center"/>
        </w:trPr>
        <w:tc>
          <w:tcPr>
            <w:tcW w:w="5249" w:type="dxa"/>
            <w:gridSpan w:val="3"/>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w:t>
            </w:r>
            <w:r>
              <w:rPr>
                <w:rFonts w:ascii="Times New Roman" w:hAnsi="Times New Roman" w:eastAsia="仿宋_GB2312" w:cs="Times New Roman"/>
                <w:b/>
                <w:bCs/>
                <w:kern w:val="0"/>
              </w:rPr>
              <w:t xml:space="preserve"> </w:t>
            </w:r>
            <w:r>
              <w:rPr>
                <w:rFonts w:hint="eastAsia" w:ascii="Times New Roman" w:hAnsi="Times New Roman" w:eastAsia="仿宋_GB2312" w:cs="仿宋_GB2312"/>
                <w:b/>
                <w:bCs/>
                <w:kern w:val="0"/>
              </w:rPr>
              <w:t>目</w:t>
            </w:r>
          </w:p>
        </w:tc>
        <w:tc>
          <w:tcPr>
            <w:tcW w:w="8970"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本年支出</w:t>
            </w:r>
          </w:p>
        </w:tc>
      </w:tr>
      <w:tr>
        <w:tblPrEx>
          <w:tblCellMar>
            <w:top w:w="0" w:type="dxa"/>
            <w:left w:w="108" w:type="dxa"/>
            <w:bottom w:w="0" w:type="dxa"/>
            <w:right w:w="108" w:type="dxa"/>
          </w:tblCellMar>
        </w:tblPrEx>
        <w:trPr>
          <w:trHeight w:val="495" w:hRule="atLeast"/>
          <w:jc w:val="center"/>
        </w:trPr>
        <w:tc>
          <w:tcPr>
            <w:tcW w:w="1984" w:type="dxa"/>
            <w:gridSpan w:val="2"/>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功能分类科目编码</w:t>
            </w:r>
          </w:p>
        </w:tc>
        <w:tc>
          <w:tcPr>
            <w:tcW w:w="3265"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科目名称</w:t>
            </w:r>
          </w:p>
        </w:tc>
        <w:tc>
          <w:tcPr>
            <w:tcW w:w="2849"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小计</w:t>
            </w:r>
          </w:p>
        </w:tc>
        <w:tc>
          <w:tcPr>
            <w:tcW w:w="3271"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基本支出</w:t>
            </w:r>
          </w:p>
        </w:tc>
        <w:tc>
          <w:tcPr>
            <w:tcW w:w="285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项目支出</w:t>
            </w:r>
          </w:p>
        </w:tc>
      </w:tr>
      <w:tr>
        <w:tblPrEx>
          <w:tblCellMar>
            <w:top w:w="0" w:type="dxa"/>
            <w:left w:w="108" w:type="dxa"/>
            <w:bottom w:w="0" w:type="dxa"/>
            <w:right w:w="108" w:type="dxa"/>
          </w:tblCellMar>
        </w:tblPrEx>
        <w:trPr>
          <w:trHeight w:val="360" w:hRule="atLeast"/>
          <w:jc w:val="center"/>
        </w:trPr>
        <w:tc>
          <w:tcPr>
            <w:tcW w:w="1984"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rPr>
            </w:pPr>
          </w:p>
        </w:tc>
        <w:tc>
          <w:tcPr>
            <w:tcW w:w="326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rPr>
            </w:pPr>
          </w:p>
        </w:tc>
        <w:tc>
          <w:tcPr>
            <w:tcW w:w="284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327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285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rPr>
            </w:pPr>
          </w:p>
        </w:tc>
      </w:tr>
      <w:tr>
        <w:tblPrEx>
          <w:tblCellMar>
            <w:top w:w="0" w:type="dxa"/>
            <w:left w:w="108" w:type="dxa"/>
            <w:bottom w:w="0" w:type="dxa"/>
            <w:right w:w="108" w:type="dxa"/>
          </w:tblCellMar>
        </w:tblPrEx>
        <w:trPr>
          <w:trHeight w:val="450" w:hRule="atLeast"/>
          <w:jc w:val="center"/>
        </w:trPr>
        <w:tc>
          <w:tcPr>
            <w:tcW w:w="1984"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rPr>
            </w:pPr>
          </w:p>
        </w:tc>
        <w:tc>
          <w:tcPr>
            <w:tcW w:w="326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rPr>
            </w:pPr>
          </w:p>
        </w:tc>
        <w:tc>
          <w:tcPr>
            <w:tcW w:w="284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327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285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rPr>
            </w:pPr>
          </w:p>
        </w:tc>
      </w:tr>
      <w:tr>
        <w:tblPrEx>
          <w:tblCellMar>
            <w:top w:w="0" w:type="dxa"/>
            <w:left w:w="108" w:type="dxa"/>
            <w:bottom w:w="0" w:type="dxa"/>
            <w:right w:w="108" w:type="dxa"/>
          </w:tblCellMar>
        </w:tblPrEx>
        <w:trPr>
          <w:trHeight w:val="450" w:hRule="atLeast"/>
          <w:jc w:val="center"/>
        </w:trPr>
        <w:tc>
          <w:tcPr>
            <w:tcW w:w="5249" w:type="dxa"/>
            <w:gridSpan w:val="3"/>
            <w:tcBorders>
              <w:top w:val="single" w:color="auto" w:sz="4" w:space="0"/>
              <w:left w:val="single" w:color="auto" w:sz="8" w:space="0"/>
              <w:bottom w:val="single" w:color="auto" w:sz="4" w:space="0"/>
              <w:right w:val="single" w:color="auto" w:sz="4" w:space="0"/>
            </w:tcBorders>
            <w:vAlign w:val="center"/>
          </w:tcPr>
          <w:p>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栏次</w:t>
            </w:r>
          </w:p>
        </w:tc>
        <w:tc>
          <w:tcPr>
            <w:tcW w:w="2849" w:type="dxa"/>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1</w:t>
            </w:r>
          </w:p>
        </w:tc>
        <w:tc>
          <w:tcPr>
            <w:tcW w:w="3271" w:type="dxa"/>
            <w:tcBorders>
              <w:top w:val="nil"/>
              <w:left w:val="nil"/>
              <w:bottom w:val="single" w:color="auto" w:sz="4" w:space="0"/>
              <w:right w:val="single" w:color="auto" w:sz="4" w:space="0"/>
            </w:tcBorders>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2</w:t>
            </w:r>
          </w:p>
        </w:tc>
        <w:tc>
          <w:tcPr>
            <w:tcW w:w="2850" w:type="dxa"/>
            <w:tcBorders>
              <w:top w:val="nil"/>
              <w:left w:val="nil"/>
              <w:bottom w:val="single" w:color="auto" w:sz="4" w:space="0"/>
              <w:right w:val="single" w:color="auto" w:sz="8" w:space="0"/>
            </w:tcBorders>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3</w:t>
            </w:r>
          </w:p>
        </w:tc>
      </w:tr>
      <w:tr>
        <w:tblPrEx>
          <w:tblCellMar>
            <w:top w:w="0" w:type="dxa"/>
            <w:left w:w="108" w:type="dxa"/>
            <w:bottom w:w="0" w:type="dxa"/>
            <w:right w:w="108" w:type="dxa"/>
          </w:tblCellMar>
        </w:tblPrEx>
        <w:trPr>
          <w:trHeight w:val="450" w:hRule="atLeast"/>
          <w:jc w:val="center"/>
        </w:trPr>
        <w:tc>
          <w:tcPr>
            <w:tcW w:w="5249" w:type="dxa"/>
            <w:gridSpan w:val="3"/>
            <w:tcBorders>
              <w:top w:val="single" w:color="auto" w:sz="4" w:space="0"/>
              <w:left w:val="single" w:color="auto" w:sz="8" w:space="0"/>
              <w:bottom w:val="single" w:color="auto" w:sz="4" w:space="0"/>
              <w:right w:val="single" w:color="auto" w:sz="4" w:space="0"/>
            </w:tcBorders>
            <w:vAlign w:val="center"/>
          </w:tcPr>
          <w:p>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合计</w:t>
            </w:r>
          </w:p>
        </w:tc>
        <w:tc>
          <w:tcPr>
            <w:tcW w:w="2849" w:type="dxa"/>
            <w:tcBorders>
              <w:top w:val="nil"/>
              <w:left w:val="nil"/>
              <w:bottom w:val="single" w:color="auto" w:sz="4" w:space="0"/>
              <w:right w:val="single" w:color="auto" w:sz="4" w:space="0"/>
            </w:tcBorders>
            <w:vAlign w:val="center"/>
          </w:tcPr>
          <w:p>
            <w:pPr>
              <w:widowControl/>
              <w:jc w:val="right"/>
              <w:textAlignment w:val="center"/>
              <w:rPr>
                <w:rFonts w:ascii="宋体" w:cs="Times New Roman"/>
                <w:b/>
                <w:bCs/>
                <w:color w:val="000000"/>
                <w:kern w:val="0"/>
                <w:sz w:val="22"/>
                <w:szCs w:val="22"/>
              </w:rPr>
            </w:pPr>
            <w:r>
              <w:rPr>
                <w:rFonts w:ascii="宋体" w:hAnsi="宋体" w:cs="宋体"/>
                <w:kern w:val="0"/>
                <w:sz w:val="22"/>
                <w:szCs w:val="22"/>
              </w:rPr>
              <w:t>19</w:t>
            </w:r>
            <w:r>
              <w:rPr>
                <w:rFonts w:ascii="宋体" w:cs="宋体"/>
                <w:color w:val="000000"/>
                <w:kern w:val="0"/>
                <w:sz w:val="22"/>
                <w:szCs w:val="22"/>
              </w:rPr>
              <w:t>,</w:t>
            </w:r>
            <w:r>
              <w:rPr>
                <w:rFonts w:hint="eastAsia" w:ascii="宋体" w:hAnsi="宋体" w:cs="宋体"/>
                <w:kern w:val="0"/>
                <w:sz w:val="22"/>
                <w:szCs w:val="22"/>
                <w:lang w:val="en-US" w:eastAsia="zh-CN"/>
              </w:rPr>
              <w:t>534</w:t>
            </w:r>
            <w:r>
              <w:rPr>
                <w:rFonts w:ascii="宋体" w:hAnsi="宋体" w:cs="宋体"/>
                <w:kern w:val="0"/>
                <w:sz w:val="22"/>
                <w:szCs w:val="22"/>
              </w:rPr>
              <w:t>.3</w:t>
            </w:r>
            <w:r>
              <w:rPr>
                <w:rFonts w:hint="eastAsia" w:ascii="宋体" w:hAnsi="宋体" w:cs="宋体"/>
                <w:kern w:val="0"/>
                <w:sz w:val="22"/>
                <w:szCs w:val="22"/>
                <w:lang w:val="en-US" w:eastAsia="zh-CN"/>
              </w:rPr>
              <w:t>9</w:t>
            </w:r>
          </w:p>
        </w:tc>
        <w:tc>
          <w:tcPr>
            <w:tcW w:w="327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912.42 </w:t>
            </w:r>
          </w:p>
        </w:tc>
        <w:tc>
          <w:tcPr>
            <w:tcW w:w="285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19,487.43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社会保障和就业支出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19,480.88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873.91 </w:t>
            </w: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18,606.97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民政管理事务</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945.20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802.78 </w:t>
            </w: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142.42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2080201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行政运行</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802.78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802.78 </w:t>
            </w:r>
          </w:p>
        </w:tc>
        <w:tc>
          <w:tcPr>
            <w:tcW w:w="2850" w:type="dxa"/>
            <w:tcBorders>
              <w:top w:val="nil"/>
              <w:left w:val="nil"/>
              <w:bottom w:val="single" w:color="auto" w:sz="4" w:space="0"/>
              <w:right w:val="single" w:color="auto" w:sz="8" w:space="0"/>
            </w:tcBorders>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2080206</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宋体" w:cs="Times New Roman"/>
                <w:color w:val="000000"/>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社会组织管理</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1.08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2080299</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其他民政管理事务支出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141.34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141.34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20805</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行政事业单位养老支出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2850" w:type="dxa"/>
            <w:tcBorders>
              <w:top w:val="nil"/>
              <w:left w:val="nil"/>
              <w:bottom w:val="single" w:color="auto" w:sz="4" w:space="0"/>
              <w:right w:val="single" w:color="auto" w:sz="8" w:space="0"/>
            </w:tcBorders>
            <w:vAlign w:val="center"/>
          </w:tcPr>
          <w:p>
            <w:pPr>
              <w:jc w:val="right"/>
              <w:rPr>
                <w:rFonts w:ascii="Times New Roman" w:hAnsi="Times New Roman" w:eastAsia="仿宋_GB2312" w:cs="Times New Roman"/>
                <w:kern w:val="0"/>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2080505</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71.13 </w:t>
            </w:r>
          </w:p>
        </w:tc>
        <w:tc>
          <w:tcPr>
            <w:tcW w:w="2850" w:type="dxa"/>
            <w:tcBorders>
              <w:top w:val="nil"/>
              <w:left w:val="nil"/>
              <w:bottom w:val="single" w:color="auto" w:sz="4" w:space="0"/>
              <w:right w:val="single" w:color="auto" w:sz="8" w:space="0"/>
            </w:tcBorders>
            <w:vAlign w:val="center"/>
          </w:tcPr>
          <w:p>
            <w:pPr>
              <w:jc w:val="right"/>
              <w:rPr>
                <w:rFonts w:ascii="Times New Roman" w:hAnsi="Times New Roman" w:eastAsia="仿宋_GB2312" w:cs="Times New Roman"/>
                <w:kern w:val="0"/>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20808</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抚恤</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2080801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死亡抚恤</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20.93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20810</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社会福利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2,577.47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2081001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儿童福利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c>
          <w:tcPr>
            <w:tcW w:w="3271" w:type="dxa"/>
            <w:tcBorders>
              <w:top w:val="nil"/>
              <w:left w:val="nil"/>
              <w:bottom w:val="single" w:color="auto" w:sz="4" w:space="0"/>
              <w:right w:val="single" w:color="auto" w:sz="4" w:space="0"/>
            </w:tcBorders>
            <w:vAlign w:val="center"/>
          </w:tcPr>
          <w:p>
            <w:pPr>
              <w:jc w:val="right"/>
              <w:rPr>
                <w:rFonts w:ascii="华文中宋" w:hAnsi="华文中宋" w:eastAsia="华文中宋" w:cs="Times New Roman"/>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1,165.77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2081002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老年福利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c>
          <w:tcPr>
            <w:tcW w:w="3271" w:type="dxa"/>
            <w:tcBorders>
              <w:top w:val="nil"/>
              <w:left w:val="nil"/>
              <w:bottom w:val="single" w:color="auto" w:sz="4" w:space="0"/>
              <w:right w:val="single" w:color="auto" w:sz="4" w:space="0"/>
            </w:tcBorders>
            <w:vAlign w:val="center"/>
          </w:tcPr>
          <w:p>
            <w:pPr>
              <w:jc w:val="right"/>
              <w:rPr>
                <w:rFonts w:ascii="华文中宋" w:hAnsi="华文中宋" w:eastAsia="华文中宋" w:cs="Times New Roman"/>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1,082.26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2081004</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殡葬</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28.50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2081005</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社会福利事业单位</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300.94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残疾人事业</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2081107</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残疾人生活和护理补贴</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1,300.12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20819</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最低生活保障</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9,245.89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2081901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城市最低生活保障金支出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1,578.36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2081902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农村最低生活保障金支出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7,667.54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20820</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临时救助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463.51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2082001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临时救助支出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415.98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2082002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流浪乞讨人员救助支出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47.53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特困人员救助供养</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4,825.35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2082101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城市特困人员救助供养支出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108.53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2082102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农村特困人员救助供养支出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4,716.81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20825</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其他生活救助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2082502</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其他农村生活救助</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c>
          <w:tcPr>
            <w:tcW w:w="3271" w:type="dxa"/>
            <w:tcBorders>
              <w:top w:val="nil"/>
              <w:left w:val="nil"/>
              <w:bottom w:val="single" w:color="auto" w:sz="4" w:space="0"/>
              <w:right w:val="single" w:color="auto" w:sz="4" w:space="0"/>
            </w:tcBorders>
            <w:vAlign w:val="center"/>
          </w:tcPr>
          <w:p>
            <w:pPr>
              <w:jc w:val="right"/>
              <w:rPr>
                <w:rFonts w:ascii="宋体" w:cs="Times New Roman"/>
                <w:kern w:val="0"/>
                <w:sz w:val="24"/>
                <w:szCs w:val="24"/>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31.28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卫生健康支出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2850" w:type="dxa"/>
            <w:tcBorders>
              <w:top w:val="nil"/>
              <w:left w:val="nil"/>
              <w:bottom w:val="single" w:color="auto" w:sz="4" w:space="0"/>
              <w:right w:val="single" w:color="auto" w:sz="8" w:space="0"/>
            </w:tcBorders>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21011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行政事业单位医疗</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2850" w:type="dxa"/>
            <w:tcBorders>
              <w:top w:val="nil"/>
              <w:left w:val="nil"/>
              <w:bottom w:val="single" w:color="auto" w:sz="4" w:space="0"/>
              <w:right w:val="single" w:color="auto" w:sz="8" w:space="0"/>
            </w:tcBorders>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2101101</w:t>
            </w:r>
          </w:p>
        </w:tc>
        <w:tc>
          <w:tcPr>
            <w:tcW w:w="4263" w:type="dxa"/>
            <w:gridSpan w:val="2"/>
            <w:tcBorders>
              <w:top w:val="nil"/>
              <w:left w:val="nil"/>
              <w:bottom w:val="single" w:color="auto" w:sz="4" w:space="0"/>
              <w:right w:val="single" w:color="auto" w:sz="4" w:space="0"/>
            </w:tcBorders>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行政单位医疗</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3271"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华文中宋" w:hAnsi="华文中宋" w:eastAsia="华文中宋" w:cs="Times New Roman"/>
              </w:rPr>
            </w:pPr>
            <w:r>
              <w:rPr>
                <w:rFonts w:hint="eastAsia" w:ascii="宋体" w:hAnsi="宋体" w:eastAsia="宋体" w:cs="宋体"/>
                <w:i w:val="0"/>
                <w:iCs w:val="0"/>
                <w:color w:val="000000"/>
                <w:kern w:val="0"/>
                <w:sz w:val="22"/>
                <w:szCs w:val="22"/>
                <w:u w:val="none"/>
                <w:lang w:val="en-US" w:eastAsia="zh-CN" w:bidi="ar"/>
              </w:rPr>
              <w:t xml:space="preserve">38.51 </w:t>
            </w:r>
          </w:p>
        </w:tc>
        <w:tc>
          <w:tcPr>
            <w:tcW w:w="2850" w:type="dxa"/>
            <w:tcBorders>
              <w:top w:val="nil"/>
              <w:left w:val="nil"/>
              <w:bottom w:val="single" w:color="auto" w:sz="4" w:space="0"/>
              <w:right w:val="single" w:color="auto" w:sz="8" w:space="0"/>
            </w:tcBorders>
            <w:vAlign w:val="center"/>
          </w:tcPr>
          <w:p>
            <w:pPr>
              <w:jc w:val="right"/>
              <w:rPr>
                <w:rFonts w:ascii="宋体" w:cs="Times New Roman"/>
                <w:kern w:val="0"/>
                <w:sz w:val="24"/>
                <w:szCs w:val="24"/>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textAlignment w:val="center"/>
              <w:rPr>
                <w:rFonts w:ascii="宋体" w:hAnsi="Calibri" w:eastAsia="宋体" w:cs="Times New Roman"/>
                <w:color w:val="000000"/>
                <w:kern w:val="0"/>
                <w:sz w:val="22"/>
                <w:szCs w:val="22"/>
                <w:lang w:val="en-US" w:eastAsia="zh-CN" w:bidi="ar-SA"/>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w:t>
            </w:r>
          </w:p>
        </w:tc>
        <w:tc>
          <w:tcPr>
            <w:tcW w:w="4263"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Calibri" w:eastAsia="宋体" w:cs="Times New Roman"/>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3271" w:type="dxa"/>
            <w:tcBorders>
              <w:top w:val="nil"/>
              <w:left w:val="nil"/>
              <w:bottom w:val="single" w:color="auto" w:sz="4" w:space="0"/>
              <w:right w:val="single" w:color="auto" w:sz="4" w:space="0"/>
            </w:tcBorders>
            <w:vAlign w:val="center"/>
          </w:tcPr>
          <w:p>
            <w:pPr>
              <w:jc w:val="right"/>
              <w:rPr>
                <w:rFonts w:ascii="宋体" w:hAnsi="宋体" w:cs="宋体"/>
                <w:color w:val="000000"/>
                <w:kern w:val="0"/>
                <w:sz w:val="22"/>
                <w:szCs w:val="22"/>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textAlignment w:val="center"/>
              <w:rPr>
                <w:rFonts w:ascii="宋体" w:hAnsi="Calibri" w:eastAsia="宋体" w:cs="Times New Roman"/>
                <w:color w:val="000000"/>
                <w:kern w:val="0"/>
                <w:sz w:val="22"/>
                <w:szCs w:val="22"/>
                <w:lang w:val="en-US" w:eastAsia="zh-CN" w:bidi="ar-SA"/>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w:t>
            </w:r>
          </w:p>
        </w:tc>
        <w:tc>
          <w:tcPr>
            <w:tcW w:w="4263"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Calibri" w:eastAsia="宋体" w:cs="Times New Roman"/>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3271" w:type="dxa"/>
            <w:tcBorders>
              <w:top w:val="nil"/>
              <w:left w:val="nil"/>
              <w:bottom w:val="single" w:color="auto" w:sz="4" w:space="0"/>
              <w:right w:val="single" w:color="auto" w:sz="4" w:space="0"/>
            </w:tcBorders>
            <w:vAlign w:val="center"/>
          </w:tcPr>
          <w:p>
            <w:pPr>
              <w:jc w:val="right"/>
              <w:rPr>
                <w:rFonts w:ascii="宋体" w:hAnsi="宋体" w:cs="宋体"/>
                <w:color w:val="000000"/>
                <w:kern w:val="0"/>
                <w:sz w:val="22"/>
                <w:szCs w:val="22"/>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textAlignment w:val="center"/>
              <w:rPr>
                <w:rFonts w:ascii="宋体" w:hAnsi="Calibri" w:eastAsia="宋体" w:cs="Times New Roman"/>
                <w:color w:val="000000"/>
                <w:kern w:val="0"/>
                <w:sz w:val="22"/>
                <w:szCs w:val="22"/>
                <w:lang w:val="en-US" w:eastAsia="zh-CN" w:bidi="ar-SA"/>
              </w:rPr>
            </w:pPr>
            <w:r>
              <w:rPr>
                <w:rFonts w:ascii="宋体" w:hAnsi="宋体" w:cs="宋体"/>
                <w:color w:val="000000"/>
                <w:kern w:val="0"/>
                <w:sz w:val="22"/>
                <w:szCs w:val="22"/>
              </w:rPr>
              <w:t>21</w:t>
            </w:r>
            <w:r>
              <w:rPr>
                <w:rFonts w:hint="eastAsia" w:ascii="宋体" w:hAnsi="宋体" w:cs="宋体"/>
                <w:color w:val="000000"/>
                <w:kern w:val="0"/>
                <w:sz w:val="22"/>
                <w:szCs w:val="22"/>
                <w:lang w:val="en-US" w:eastAsia="zh-CN"/>
              </w:rPr>
              <w:t>30504</w:t>
            </w:r>
          </w:p>
        </w:tc>
        <w:tc>
          <w:tcPr>
            <w:tcW w:w="4263"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Calibri" w:eastAsia="宋体" w:cs="Times New Roman"/>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2849" w:type="dxa"/>
            <w:tcBorders>
              <w:top w:val="nil"/>
              <w:left w:val="nil"/>
              <w:bottom w:val="single" w:color="auto" w:sz="4" w:space="0"/>
              <w:right w:val="single" w:color="auto" w:sz="4" w:space="0"/>
            </w:tcBorders>
            <w:vAlign w:val="center"/>
          </w:tcPr>
          <w:p>
            <w:pPr>
              <w:keepNext w:val="0"/>
              <w:keepLines w:val="0"/>
              <w:widowControl/>
              <w:suppressLineNumbers w:val="0"/>
              <w:jc w:val="righ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2"/>
                <w:szCs w:val="22"/>
                <w:u w:val="none"/>
                <w:lang w:val="en-US" w:eastAsia="zh-CN" w:bidi="ar"/>
              </w:rPr>
              <w:t xml:space="preserve">15.00 </w:t>
            </w:r>
          </w:p>
        </w:tc>
        <w:tc>
          <w:tcPr>
            <w:tcW w:w="3271" w:type="dxa"/>
            <w:tcBorders>
              <w:top w:val="nil"/>
              <w:left w:val="nil"/>
              <w:bottom w:val="single" w:color="auto" w:sz="4" w:space="0"/>
              <w:right w:val="single" w:color="auto" w:sz="4" w:space="0"/>
            </w:tcBorders>
            <w:vAlign w:val="center"/>
          </w:tcPr>
          <w:p>
            <w:pPr>
              <w:jc w:val="right"/>
              <w:rPr>
                <w:rFonts w:ascii="宋体" w:hAnsi="宋体" w:cs="宋体"/>
                <w:color w:val="000000"/>
                <w:kern w:val="0"/>
                <w:sz w:val="22"/>
                <w:szCs w:val="22"/>
              </w:rPr>
            </w:pPr>
          </w:p>
        </w:tc>
        <w:tc>
          <w:tcPr>
            <w:tcW w:w="2850" w:type="dxa"/>
            <w:tcBorders>
              <w:top w:val="nil"/>
              <w:left w:val="nil"/>
              <w:bottom w:val="single" w:color="auto" w:sz="4" w:space="0"/>
              <w:right w:val="single" w:color="auto" w:sz="8" w:space="0"/>
            </w:tcBorders>
            <w:vAlign w:val="center"/>
          </w:tcPr>
          <w:p>
            <w:pPr>
              <w:keepNext w:val="0"/>
              <w:keepLines w:val="0"/>
              <w:widowControl/>
              <w:suppressLineNumbers w:val="0"/>
              <w:jc w:val="right"/>
              <w:textAlignment w:val="center"/>
              <w:rPr>
                <w:rFonts w:ascii="宋体"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15.00 </w:t>
            </w: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vAlign w:val="center"/>
          </w:tcPr>
          <w:p>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注：本表反映部门本年度一般公共预算财政拨款支出情况。</w:t>
            </w:r>
          </w:p>
        </w:tc>
      </w:tr>
    </w:tbl>
    <w:p>
      <w:pPr>
        <w:widowControl/>
        <w:jc w:val="left"/>
        <w:rPr>
          <w:rFonts w:ascii="Times New Roman" w:hAnsi="Times New Roman" w:eastAsia="仿宋_GB2312" w:cs="Times New Roman"/>
          <w:kern w:val="0"/>
        </w:rPr>
      </w:pPr>
    </w:p>
    <w:p>
      <w:pPr>
        <w:widowControl/>
        <w:jc w:val="left"/>
        <w:rPr>
          <w:rFonts w:ascii="Times New Roman" w:hAnsi="Times New Roman" w:eastAsia="仿宋_GB2312" w:cs="Times New Roman"/>
          <w:kern w:val="0"/>
        </w:rPr>
      </w:pPr>
      <w:r>
        <w:rPr>
          <w:rFonts w:ascii="Times New Roman" w:hAnsi="Times New Roman" w:eastAsia="仿宋_GB2312" w:cs="Times New Roman"/>
          <w:kern w:val="0"/>
        </w:rPr>
        <w:br w:type="page"/>
      </w:r>
    </w:p>
    <w:tbl>
      <w:tblPr>
        <w:tblStyle w:val="6"/>
        <w:tblW w:w="15670" w:type="dxa"/>
        <w:tblInd w:w="-106" w:type="dxa"/>
        <w:tblLayout w:type="fixed"/>
        <w:tblCellMar>
          <w:top w:w="0" w:type="dxa"/>
          <w:left w:w="108" w:type="dxa"/>
          <w:bottom w:w="0" w:type="dxa"/>
          <w:right w:w="108" w:type="dxa"/>
        </w:tblCellMar>
      </w:tblPr>
      <w:tblGrid>
        <w:gridCol w:w="1283"/>
        <w:gridCol w:w="3025"/>
        <w:gridCol w:w="1050"/>
        <w:gridCol w:w="1187"/>
        <w:gridCol w:w="2216"/>
        <w:gridCol w:w="934"/>
        <w:gridCol w:w="1086"/>
        <w:gridCol w:w="4016"/>
        <w:gridCol w:w="873"/>
      </w:tblGrid>
      <w:tr>
        <w:tblPrEx>
          <w:tblCellMar>
            <w:top w:w="0" w:type="dxa"/>
            <w:left w:w="108" w:type="dxa"/>
            <w:bottom w:w="0" w:type="dxa"/>
            <w:right w:w="108" w:type="dxa"/>
          </w:tblCellMar>
        </w:tblPrEx>
        <w:trPr>
          <w:trHeight w:val="113" w:hRule="atLeast"/>
        </w:trPr>
        <w:tc>
          <w:tcPr>
            <w:tcW w:w="15670" w:type="dxa"/>
            <w:gridSpan w:val="9"/>
            <w:tcBorders>
              <w:top w:val="nil"/>
              <w:left w:val="nil"/>
              <w:bottom w:val="nil"/>
              <w:right w:val="nil"/>
            </w:tcBorders>
            <w:noWrap/>
            <w:vAlign w:val="center"/>
          </w:tcPr>
          <w:p>
            <w:pPr>
              <w:widowControl/>
              <w:jc w:val="center"/>
              <w:rPr>
                <w:rFonts w:ascii="华文中宋" w:hAnsi="华文中宋" w:eastAsia="华文中宋" w:cs="Times New Roman"/>
                <w:color w:val="000000"/>
                <w:kern w:val="0"/>
              </w:rPr>
            </w:pPr>
            <w:bookmarkStart w:id="2" w:name="RANGE_A1_I34"/>
            <w:r>
              <w:rPr>
                <w:rFonts w:hint="eastAsia" w:ascii="华文中宋" w:hAnsi="华文中宋" w:eastAsia="华文中宋" w:cs="华文中宋"/>
                <w:color w:val="000000"/>
                <w:kern w:val="0"/>
              </w:rPr>
              <w:t>一般公共预算财政拨款基本支出决算明细表</w:t>
            </w:r>
            <w:bookmarkEnd w:id="2"/>
          </w:p>
          <w:p>
            <w:pPr>
              <w:widowControl/>
              <w:wordWrap w:val="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06</w:t>
            </w:r>
            <w:r>
              <w:rPr>
                <w:rFonts w:hint="eastAsia" w:ascii="Times New Roman" w:hAnsi="Times New Roman" w:eastAsia="仿宋_GB2312" w:cs="仿宋_GB2312"/>
                <w:color w:val="000000"/>
                <w:kern w:val="0"/>
              </w:rPr>
              <w:t>表</w:t>
            </w:r>
          </w:p>
          <w:p>
            <w:pPr>
              <w:widowControl/>
              <w:jc w:val="right"/>
              <w:rPr>
                <w:rFonts w:ascii="华文中宋" w:hAnsi="华文中宋" w:eastAsia="华文中宋" w:cs="Times New Roman"/>
                <w:color w:val="000000"/>
                <w:kern w:val="0"/>
              </w:rPr>
            </w:pPr>
            <w:r>
              <w:rPr>
                <w:rFonts w:hint="eastAsia" w:ascii="Times New Roman" w:hAnsi="Times New Roman" w:eastAsia="仿宋_GB2312" w:cs="仿宋_GB2312"/>
                <w:color w:val="000000"/>
                <w:kern w:val="0"/>
              </w:rPr>
              <w:t>单位：万元</w:t>
            </w:r>
          </w:p>
        </w:tc>
      </w:tr>
      <w:tr>
        <w:tblPrEx>
          <w:tblCellMar>
            <w:top w:w="0" w:type="dxa"/>
            <w:left w:w="108" w:type="dxa"/>
            <w:bottom w:w="0" w:type="dxa"/>
            <w:right w:w="108" w:type="dxa"/>
          </w:tblCellMar>
        </w:tblPrEx>
        <w:trPr>
          <w:trHeight w:val="113" w:hRule="atLeast"/>
        </w:trPr>
        <w:tc>
          <w:tcPr>
            <w:tcW w:w="128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sz w:val="20"/>
                <w:szCs w:val="20"/>
              </w:rPr>
              <w:t>经济分类科目编码</w:t>
            </w:r>
          </w:p>
        </w:tc>
        <w:tc>
          <w:tcPr>
            <w:tcW w:w="3025"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科目名称</w:t>
            </w:r>
          </w:p>
        </w:tc>
        <w:tc>
          <w:tcPr>
            <w:tcW w:w="1050"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决算数</w:t>
            </w:r>
          </w:p>
        </w:tc>
        <w:tc>
          <w:tcPr>
            <w:tcW w:w="1187"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经济分类科目编码</w:t>
            </w:r>
          </w:p>
        </w:tc>
        <w:tc>
          <w:tcPr>
            <w:tcW w:w="2216"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科目名称</w:t>
            </w:r>
          </w:p>
        </w:tc>
        <w:tc>
          <w:tcPr>
            <w:tcW w:w="934"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决算数</w:t>
            </w:r>
          </w:p>
        </w:tc>
        <w:tc>
          <w:tcPr>
            <w:tcW w:w="1086"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经济分类科目编码</w:t>
            </w:r>
          </w:p>
        </w:tc>
        <w:tc>
          <w:tcPr>
            <w:tcW w:w="4016"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科目名称</w:t>
            </w:r>
          </w:p>
        </w:tc>
        <w:tc>
          <w:tcPr>
            <w:tcW w:w="873" w:type="dxa"/>
            <w:tcBorders>
              <w:top w:val="single" w:color="auto" w:sz="4" w:space="0"/>
              <w:left w:val="nil"/>
              <w:bottom w:val="single" w:color="auto" w:sz="4" w:space="0"/>
              <w:right w:val="single" w:color="auto" w:sz="4" w:space="0"/>
            </w:tcBorders>
            <w:vAlign w:val="center"/>
          </w:tcPr>
          <w:p>
            <w:pPr>
              <w:widowControl/>
              <w:jc w:val="center"/>
              <w:rPr>
                <w:rFonts w:ascii="宋体" w:cs="Times New Roman"/>
                <w:color w:val="000000"/>
                <w:kern w:val="0"/>
              </w:rPr>
            </w:pPr>
            <w:r>
              <w:rPr>
                <w:rFonts w:hint="eastAsia" w:ascii="宋体" w:hAnsi="宋体" w:cs="宋体"/>
                <w:color w:val="000000"/>
                <w:kern w:val="0"/>
              </w:rPr>
              <w:t>决算数</w:t>
            </w: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工资福利支出</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ascii="宋体" w:hAnsi="宋体" w:cs="宋体"/>
                <w:color w:val="000000"/>
                <w:kern w:val="0"/>
                <w:sz w:val="22"/>
                <w:szCs w:val="22"/>
              </w:rPr>
              <w:t>81</w:t>
            </w:r>
            <w:r>
              <w:rPr>
                <w:rFonts w:hint="eastAsia" w:ascii="宋体" w:hAnsi="宋体" w:cs="宋体"/>
                <w:color w:val="000000"/>
                <w:kern w:val="0"/>
                <w:sz w:val="22"/>
                <w:szCs w:val="22"/>
                <w:lang w:val="en-US" w:eastAsia="zh-CN"/>
              </w:rPr>
              <w:t>5</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82</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商品和服务支出</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9</w:t>
            </w:r>
            <w:r>
              <w:rPr>
                <w:rFonts w:hint="eastAsia" w:ascii="宋体" w:hAnsi="宋体" w:cs="宋体"/>
                <w:color w:val="000000"/>
                <w:kern w:val="0"/>
                <w:sz w:val="22"/>
                <w:szCs w:val="22"/>
                <w:lang w:val="en-US" w:eastAsia="zh-CN"/>
              </w:rPr>
              <w:t>6.6</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307</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债务利息及费用支出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30101</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基本工资</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29</w:t>
            </w:r>
            <w:r>
              <w:rPr>
                <w:rFonts w:hint="eastAsia" w:ascii="宋体" w:hAnsi="宋体" w:cs="宋体"/>
                <w:color w:val="000000"/>
                <w:kern w:val="0"/>
                <w:sz w:val="22"/>
                <w:szCs w:val="22"/>
                <w:lang w:val="en-US" w:eastAsia="zh-CN"/>
              </w:rPr>
              <w:t>4.07</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30201</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5</w:t>
            </w:r>
            <w:r>
              <w:rPr>
                <w:rFonts w:ascii="宋体" w:hAnsi="宋体" w:cs="宋体"/>
                <w:color w:val="000000"/>
                <w:kern w:val="0"/>
                <w:sz w:val="22"/>
                <w:szCs w:val="22"/>
              </w:rPr>
              <w:t>.00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30701</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国内债务付息</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30102</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津贴补贴</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ascii="宋体" w:hAnsi="宋体" w:cs="宋体"/>
                <w:color w:val="000000"/>
                <w:kern w:val="0"/>
                <w:sz w:val="22"/>
                <w:szCs w:val="22"/>
              </w:rPr>
              <w:t>17</w:t>
            </w:r>
            <w:r>
              <w:rPr>
                <w:rFonts w:hint="eastAsia" w:ascii="宋体" w:hAnsi="宋体" w:cs="宋体"/>
                <w:color w:val="000000"/>
                <w:kern w:val="0"/>
                <w:sz w:val="22"/>
                <w:szCs w:val="22"/>
                <w:lang w:val="en-US" w:eastAsia="zh-CN"/>
              </w:rPr>
              <w:t>4</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18</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30202</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印刷费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5</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5</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30702</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国外债务付息</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30103</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奖金</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ascii="宋体" w:hAnsi="宋体" w:cs="宋体"/>
                <w:color w:val="000000"/>
                <w:kern w:val="0"/>
                <w:sz w:val="22"/>
                <w:szCs w:val="22"/>
              </w:rPr>
              <w:t>4</w:t>
            </w:r>
            <w:r>
              <w:rPr>
                <w:rFonts w:hint="eastAsia" w:ascii="宋体" w:hAnsi="宋体" w:cs="宋体"/>
                <w:color w:val="000000"/>
                <w:kern w:val="0"/>
                <w:sz w:val="22"/>
                <w:szCs w:val="22"/>
                <w:lang w:val="en-US" w:eastAsia="zh-CN"/>
              </w:rPr>
              <w:t>2.87</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30203</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咨询费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资本性支出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30106</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伙食补助费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30204</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手续费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31001</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房屋建筑物购建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30107</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绩效工资</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ascii="宋体" w:hAnsi="宋体" w:cs="宋体"/>
                <w:color w:val="000000"/>
                <w:kern w:val="0"/>
                <w:sz w:val="22"/>
                <w:szCs w:val="22"/>
              </w:rPr>
              <w:t>19</w:t>
            </w:r>
            <w:r>
              <w:rPr>
                <w:rFonts w:hint="eastAsia" w:ascii="宋体" w:hAnsi="宋体" w:cs="宋体"/>
                <w:color w:val="000000"/>
                <w:kern w:val="0"/>
                <w:sz w:val="22"/>
                <w:szCs w:val="22"/>
                <w:lang w:val="en-US" w:eastAsia="zh-CN"/>
              </w:rPr>
              <w:t>5.06</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30205</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水费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2.</w:t>
            </w:r>
            <w:r>
              <w:rPr>
                <w:rFonts w:hint="eastAsia" w:ascii="宋体" w:hAnsi="宋体" w:cs="宋体"/>
                <w:color w:val="000000"/>
                <w:kern w:val="0"/>
                <w:sz w:val="22"/>
                <w:szCs w:val="22"/>
                <w:lang w:val="en-US" w:eastAsia="zh-CN"/>
              </w:rPr>
              <w:t>3</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31002</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办公设备购置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30108</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hint="eastAsia" w:ascii="宋体" w:hAnsi="宋体" w:cs="宋体"/>
                <w:color w:val="000000"/>
                <w:kern w:val="0"/>
                <w:sz w:val="22"/>
                <w:szCs w:val="22"/>
                <w:lang w:val="en-US" w:eastAsia="zh-CN"/>
              </w:rPr>
              <w:t>71.13</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30206</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电费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7</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31003</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专用设备购置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30109</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职业年金缴费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30207</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邮电费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3</w:t>
            </w:r>
            <w:r>
              <w:rPr>
                <w:rFonts w:ascii="宋体" w:hAnsi="宋体" w:cs="宋体"/>
                <w:color w:val="000000"/>
                <w:kern w:val="0"/>
                <w:sz w:val="22"/>
                <w:szCs w:val="22"/>
              </w:rPr>
              <w:t>.00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31005</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基础设施建设</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30110</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职工基本医疗保险缴费</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hint="default" w:ascii="宋体" w:eastAsia="宋体" w:cs="Times New Roman"/>
                <w:color w:val="000000"/>
                <w:kern w:val="0"/>
                <w:lang w:val="en-US" w:eastAsia="zh-CN"/>
              </w:rPr>
            </w:pPr>
            <w:r>
              <w:rPr>
                <w:rFonts w:ascii="宋体" w:hAnsi="宋体" w:cs="宋体"/>
                <w:color w:val="000000"/>
                <w:kern w:val="0"/>
                <w:sz w:val="22"/>
                <w:szCs w:val="22"/>
              </w:rPr>
              <w:t>3</w:t>
            </w:r>
            <w:r>
              <w:rPr>
                <w:rFonts w:hint="eastAsia" w:ascii="宋体" w:hAnsi="宋体" w:cs="宋体"/>
                <w:color w:val="000000"/>
                <w:kern w:val="0"/>
                <w:sz w:val="22"/>
                <w:szCs w:val="22"/>
                <w:lang w:val="en-US" w:eastAsia="zh-CN"/>
              </w:rPr>
              <w:t>8.51</w:t>
            </w: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30208</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取暖费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31006</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大型修缮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30111</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公务员医疗补助缴费</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30209</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物业管理费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31007</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信息网络及软件购置更新</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30112</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其他社会保障缴费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30211</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差旅费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4.</w:t>
            </w:r>
            <w:r>
              <w:rPr>
                <w:rFonts w:hint="eastAsia" w:ascii="宋体" w:hAnsi="宋体" w:cs="宋体"/>
                <w:color w:val="000000"/>
                <w:kern w:val="0"/>
                <w:sz w:val="22"/>
                <w:szCs w:val="22"/>
                <w:lang w:val="en-US" w:eastAsia="zh-CN"/>
              </w:rPr>
              <w:t>6</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31008</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物资储备</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30113</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住房公积金</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30212</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因公出国（境）费用</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31009</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土地补偿</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30114</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30213</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维修（护）费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8.</w:t>
            </w:r>
            <w:r>
              <w:rPr>
                <w:rFonts w:hint="eastAsia" w:ascii="宋体" w:hAnsi="宋体" w:cs="宋体"/>
                <w:color w:val="000000"/>
                <w:kern w:val="0"/>
                <w:sz w:val="22"/>
                <w:szCs w:val="22"/>
                <w:lang w:val="en-US" w:eastAsia="zh-CN"/>
              </w:rPr>
              <w:t>0</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31010</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安置补助</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30199</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其他工资福利支出</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30214</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租赁费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31011</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地上附着物和青苗补偿</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对个人和家庭的补助</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30215</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会议费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3.00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31012</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拆迁补偿</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30301</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离休费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30216</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培训费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3.00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31013</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30302</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退休费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30217</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公务接待费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31019</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其他交通工具购置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30303</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退职（役）费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30218</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专用材料费</w:t>
            </w:r>
          </w:p>
        </w:tc>
        <w:tc>
          <w:tcPr>
            <w:tcW w:w="934" w:type="dxa"/>
            <w:tcBorders>
              <w:top w:val="nil"/>
              <w:left w:val="nil"/>
              <w:bottom w:val="single" w:color="auto" w:sz="4" w:space="0"/>
              <w:right w:val="single" w:color="auto" w:sz="4" w:space="0"/>
            </w:tcBorders>
            <w:noWrap/>
            <w:vAlign w:val="center"/>
          </w:tcPr>
          <w:p>
            <w:pPr>
              <w:jc w:val="right"/>
              <w:rPr>
                <w:rFonts w:hint="default" w:ascii="宋体" w:eastAsia="宋体" w:cs="Times New Roman"/>
                <w:color w:val="000000"/>
                <w:kern w:val="0"/>
                <w:lang w:val="en-US" w:eastAsia="zh-CN"/>
              </w:rPr>
            </w:pPr>
            <w:r>
              <w:rPr>
                <w:rFonts w:hint="eastAsia" w:ascii="宋体" w:cs="Times New Roman"/>
                <w:color w:val="000000"/>
                <w:kern w:val="0"/>
                <w:lang w:val="en-US" w:eastAsia="zh-CN"/>
              </w:rPr>
              <w:t>7.00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31021</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文物和陈列品购置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30304</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抚恤金</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30224</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被装购置费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31022</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无形资产购置</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30305</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生活补助</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30225</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专用燃料费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31099</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其他资本性支出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30306</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救济费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30226</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劳务费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r>
              <w:rPr>
                <w:rFonts w:hint="eastAsia" w:ascii="宋体" w:cs="宋体"/>
                <w:color w:val="000000"/>
                <w:kern w:val="0"/>
                <w:lang w:val="en-US" w:eastAsia="zh-CN"/>
              </w:rPr>
              <w:t>2.6</w:t>
            </w:r>
            <w:r>
              <w:rPr>
                <w:rFonts w:ascii="宋体" w:cs="宋体"/>
                <w:color w:val="000000"/>
                <w:kern w:val="0"/>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399</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hint="eastAsia" w:ascii="宋体" w:hAnsi="宋体" w:cs="宋体"/>
                <w:color w:val="000000"/>
                <w:kern w:val="0"/>
                <w:sz w:val="22"/>
                <w:szCs w:val="22"/>
              </w:rPr>
              <w:t>其他支出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30307</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医疗费补助</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30227</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委托业务费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39906</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赠与</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30308</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助学金</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30228</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工会经费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6</w:t>
            </w:r>
            <w:r>
              <w:rPr>
                <w:rFonts w:ascii="宋体" w:hAnsi="宋体" w:cs="宋体"/>
                <w:color w:val="000000"/>
                <w:kern w:val="0"/>
                <w:sz w:val="22"/>
                <w:szCs w:val="22"/>
              </w:rPr>
              <w:t>.00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39907</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国家赔偿费用支出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30309</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奖励金</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30229</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福利费</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r>
              <w:rPr>
                <w:rFonts w:hint="eastAsia" w:ascii="宋体" w:cs="宋体"/>
                <w:color w:val="000000"/>
                <w:kern w:val="0"/>
                <w:lang w:val="en-US" w:eastAsia="zh-CN"/>
              </w:rPr>
              <w:t>2</w:t>
            </w:r>
            <w:r>
              <w:rPr>
                <w:rFonts w:ascii="宋体" w:cs="宋体"/>
                <w:color w:val="000000"/>
                <w:kern w:val="0"/>
              </w:rPr>
              <w:t>.</w:t>
            </w:r>
            <w:r>
              <w:rPr>
                <w:rFonts w:hint="eastAsia" w:ascii="宋体" w:cs="宋体"/>
                <w:color w:val="000000"/>
                <w:kern w:val="0"/>
                <w:lang w:val="en-US" w:eastAsia="zh-CN"/>
              </w:rPr>
              <w:t>6</w:t>
            </w:r>
            <w:r>
              <w:rPr>
                <w:rFonts w:ascii="宋体" w:cs="宋体"/>
                <w:color w:val="000000"/>
                <w:kern w:val="0"/>
              </w:rPr>
              <w:t>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39908</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对民间非营利组织和群众性自治组织补贴</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30310</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个人农业生产补贴</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30231</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公务用车运行维护费</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4.00</w:t>
            </w:r>
          </w:p>
        </w:tc>
        <w:tc>
          <w:tcPr>
            <w:tcW w:w="108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39999</w:t>
            </w:r>
          </w:p>
        </w:tc>
        <w:tc>
          <w:tcPr>
            <w:tcW w:w="40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其他支出</w:t>
            </w: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30311</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代缴社会保险费</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30239</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其他交通费用</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1</w:t>
            </w:r>
            <w:r>
              <w:rPr>
                <w:rFonts w:hint="eastAsia" w:ascii="宋体" w:hAnsi="宋体" w:cs="宋体"/>
                <w:color w:val="000000"/>
                <w:kern w:val="0"/>
                <w:sz w:val="22"/>
                <w:szCs w:val="22"/>
                <w:lang w:val="en-US" w:eastAsia="zh-CN"/>
              </w:rPr>
              <w:t>5</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6</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401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30399</w:t>
            </w:r>
          </w:p>
        </w:tc>
        <w:tc>
          <w:tcPr>
            <w:tcW w:w="3025"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其他对个人和家庭的补助</w:t>
            </w: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30240</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税金及附加费用</w:t>
            </w:r>
          </w:p>
        </w:tc>
        <w:tc>
          <w:tcPr>
            <w:tcW w:w="934"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08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401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1283" w:type="dxa"/>
            <w:tcBorders>
              <w:top w:val="nil"/>
              <w:left w:val="single" w:color="auto" w:sz="4" w:space="0"/>
              <w:bottom w:val="single" w:color="auto" w:sz="4" w:space="0"/>
              <w:right w:val="single" w:color="auto" w:sz="4" w:space="0"/>
            </w:tcBorders>
            <w:noWrap/>
            <w:vAlign w:val="center"/>
          </w:tcPr>
          <w:p>
            <w:pPr>
              <w:jc w:val="left"/>
              <w:rPr>
                <w:rFonts w:ascii="宋体" w:cs="Times New Roman"/>
                <w:color w:val="000000"/>
                <w:kern w:val="0"/>
              </w:rPr>
            </w:pPr>
          </w:p>
        </w:tc>
        <w:tc>
          <w:tcPr>
            <w:tcW w:w="3025"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1050"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c>
          <w:tcPr>
            <w:tcW w:w="1187"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30299</w:t>
            </w:r>
          </w:p>
        </w:tc>
        <w:tc>
          <w:tcPr>
            <w:tcW w:w="2216" w:type="dxa"/>
            <w:tcBorders>
              <w:top w:val="nil"/>
              <w:left w:val="nil"/>
              <w:bottom w:val="single" w:color="auto" w:sz="4" w:space="0"/>
              <w:right w:val="single" w:color="auto" w:sz="4" w:space="0"/>
            </w:tcBorders>
            <w:noWrap/>
            <w:vAlign w:val="center"/>
          </w:tcPr>
          <w:p>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其他商品和服务支出</w:t>
            </w:r>
          </w:p>
        </w:tc>
        <w:tc>
          <w:tcPr>
            <w:tcW w:w="934"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hint="eastAsia" w:ascii="宋体" w:hAnsi="宋体" w:cs="宋体"/>
                <w:color w:val="000000"/>
                <w:kern w:val="0"/>
                <w:sz w:val="22"/>
                <w:szCs w:val="22"/>
                <w:lang w:val="en-US" w:eastAsia="zh-CN"/>
              </w:rPr>
              <w:t>16.6</w:t>
            </w:r>
            <w:r>
              <w:rPr>
                <w:rFonts w:ascii="宋体" w:hAnsi="宋体" w:cs="宋体"/>
                <w:color w:val="000000"/>
                <w:kern w:val="0"/>
                <w:sz w:val="22"/>
                <w:szCs w:val="22"/>
              </w:rPr>
              <w:t>0</w:t>
            </w:r>
          </w:p>
        </w:tc>
        <w:tc>
          <w:tcPr>
            <w:tcW w:w="108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4016" w:type="dxa"/>
            <w:tcBorders>
              <w:top w:val="nil"/>
              <w:left w:val="nil"/>
              <w:bottom w:val="single" w:color="auto" w:sz="4" w:space="0"/>
              <w:right w:val="single" w:color="auto" w:sz="4" w:space="0"/>
            </w:tcBorders>
            <w:noWrap/>
            <w:vAlign w:val="center"/>
          </w:tcPr>
          <w:p>
            <w:pPr>
              <w:jc w:val="left"/>
              <w:rPr>
                <w:rFonts w:ascii="宋体" w:cs="Times New Roman"/>
                <w:color w:val="000000"/>
                <w:kern w:val="0"/>
              </w:rPr>
            </w:pPr>
          </w:p>
        </w:tc>
        <w:tc>
          <w:tcPr>
            <w:tcW w:w="873" w:type="dxa"/>
            <w:tcBorders>
              <w:top w:val="nil"/>
              <w:left w:val="nil"/>
              <w:bottom w:val="single" w:color="auto" w:sz="4" w:space="0"/>
              <w:right w:val="single" w:color="auto" w:sz="4" w:space="0"/>
            </w:tcBorders>
            <w:noWrap/>
            <w:vAlign w:val="center"/>
          </w:tcPr>
          <w:p>
            <w:pPr>
              <w:jc w:val="right"/>
              <w:rPr>
                <w:rFonts w:ascii="宋体" w:cs="Times New Roman"/>
                <w:color w:val="000000"/>
                <w:kern w:val="0"/>
              </w:rPr>
            </w:pPr>
          </w:p>
        </w:tc>
      </w:tr>
      <w:tr>
        <w:tblPrEx>
          <w:tblCellMar>
            <w:top w:w="0" w:type="dxa"/>
            <w:left w:w="108" w:type="dxa"/>
            <w:bottom w:w="0" w:type="dxa"/>
            <w:right w:w="108" w:type="dxa"/>
          </w:tblCellMar>
        </w:tblPrEx>
        <w:trPr>
          <w:trHeight w:val="284" w:hRule="exact"/>
        </w:trPr>
        <w:tc>
          <w:tcPr>
            <w:tcW w:w="4308"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cs="Times New Roman"/>
                <w:color w:val="000000"/>
                <w:kern w:val="0"/>
              </w:rPr>
            </w:pPr>
            <w:r>
              <w:rPr>
                <w:rFonts w:hint="eastAsia" w:ascii="宋体" w:hAnsi="宋体" w:cs="宋体"/>
                <w:color w:val="000000"/>
                <w:kern w:val="0"/>
                <w:sz w:val="22"/>
                <w:szCs w:val="22"/>
              </w:rPr>
              <w:t>人员经费合计</w:t>
            </w:r>
          </w:p>
        </w:tc>
        <w:tc>
          <w:tcPr>
            <w:tcW w:w="1050"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81</w:t>
            </w:r>
            <w:r>
              <w:rPr>
                <w:rFonts w:hint="eastAsia" w:ascii="宋体" w:hAnsi="宋体" w:cs="宋体"/>
                <w:color w:val="000000"/>
                <w:kern w:val="0"/>
                <w:sz w:val="22"/>
                <w:szCs w:val="22"/>
                <w:lang w:val="en-US" w:eastAsia="zh-CN"/>
              </w:rPr>
              <w:t>5</w:t>
            </w:r>
            <w:r>
              <w:rPr>
                <w:rFonts w:ascii="宋体" w:hAnsi="宋体" w:cs="宋体"/>
                <w:color w:val="000000"/>
                <w:kern w:val="0"/>
                <w:sz w:val="22"/>
                <w:szCs w:val="22"/>
              </w:rPr>
              <w:t>.</w:t>
            </w:r>
            <w:r>
              <w:rPr>
                <w:rFonts w:hint="eastAsia" w:ascii="宋体" w:hAnsi="宋体" w:cs="宋体"/>
                <w:color w:val="000000"/>
                <w:kern w:val="0"/>
                <w:sz w:val="22"/>
                <w:szCs w:val="22"/>
                <w:lang w:val="en-US" w:eastAsia="zh-CN"/>
              </w:rPr>
              <w:t>82</w:t>
            </w:r>
          </w:p>
        </w:tc>
        <w:tc>
          <w:tcPr>
            <w:tcW w:w="9439" w:type="dxa"/>
            <w:gridSpan w:val="5"/>
            <w:tcBorders>
              <w:top w:val="single" w:color="auto" w:sz="4" w:space="0"/>
              <w:left w:val="nil"/>
              <w:bottom w:val="single" w:color="auto" w:sz="4" w:space="0"/>
              <w:right w:val="single" w:color="auto" w:sz="4" w:space="0"/>
            </w:tcBorders>
            <w:noWrap/>
            <w:vAlign w:val="center"/>
          </w:tcPr>
          <w:p>
            <w:pPr>
              <w:widowControl/>
              <w:jc w:val="center"/>
              <w:textAlignment w:val="center"/>
              <w:rPr>
                <w:rFonts w:ascii="宋体" w:cs="Times New Roman"/>
                <w:color w:val="000000"/>
                <w:kern w:val="0"/>
              </w:rPr>
            </w:pPr>
            <w:r>
              <w:rPr>
                <w:rFonts w:hint="eastAsia" w:ascii="宋体" w:hAnsi="宋体" w:cs="宋体"/>
                <w:color w:val="000000"/>
                <w:kern w:val="0"/>
                <w:sz w:val="22"/>
                <w:szCs w:val="22"/>
              </w:rPr>
              <w:t>公用经费合计</w:t>
            </w:r>
          </w:p>
        </w:tc>
        <w:tc>
          <w:tcPr>
            <w:tcW w:w="873" w:type="dxa"/>
            <w:tcBorders>
              <w:top w:val="nil"/>
              <w:left w:val="nil"/>
              <w:bottom w:val="single" w:color="auto" w:sz="4" w:space="0"/>
              <w:right w:val="single" w:color="auto" w:sz="4" w:space="0"/>
            </w:tcBorders>
            <w:noWrap/>
            <w:vAlign w:val="center"/>
          </w:tcPr>
          <w:p>
            <w:pPr>
              <w:widowControl/>
              <w:jc w:val="right"/>
              <w:textAlignment w:val="center"/>
              <w:rPr>
                <w:rFonts w:ascii="宋体" w:cs="Times New Roman"/>
                <w:color w:val="000000"/>
                <w:kern w:val="0"/>
              </w:rPr>
            </w:pPr>
            <w:r>
              <w:rPr>
                <w:rFonts w:ascii="宋体" w:hAnsi="宋体" w:cs="宋体"/>
                <w:color w:val="000000"/>
                <w:kern w:val="0"/>
                <w:sz w:val="22"/>
                <w:szCs w:val="22"/>
              </w:rPr>
              <w:t>9</w:t>
            </w:r>
            <w:r>
              <w:rPr>
                <w:rFonts w:hint="eastAsia" w:ascii="宋体" w:hAnsi="宋体" w:cs="宋体"/>
                <w:color w:val="000000"/>
                <w:kern w:val="0"/>
                <w:sz w:val="22"/>
                <w:szCs w:val="22"/>
                <w:lang w:val="en-US" w:eastAsia="zh-CN"/>
              </w:rPr>
              <w:t>6.6</w:t>
            </w:r>
            <w:r>
              <w:rPr>
                <w:rFonts w:ascii="宋体" w:hAnsi="宋体" w:cs="宋体"/>
                <w:color w:val="000000"/>
                <w:kern w:val="0"/>
                <w:sz w:val="22"/>
                <w:szCs w:val="22"/>
              </w:rPr>
              <w:t>08</w:t>
            </w:r>
          </w:p>
        </w:tc>
      </w:tr>
      <w:tr>
        <w:tblPrEx>
          <w:tblCellMar>
            <w:top w:w="0" w:type="dxa"/>
            <w:left w:w="108" w:type="dxa"/>
            <w:bottom w:w="0" w:type="dxa"/>
            <w:right w:w="108" w:type="dxa"/>
          </w:tblCellMar>
        </w:tblPrEx>
        <w:trPr>
          <w:trHeight w:val="284" w:hRule="exact"/>
        </w:trPr>
        <w:tc>
          <w:tcPr>
            <w:tcW w:w="15670" w:type="dxa"/>
            <w:gridSpan w:val="9"/>
            <w:tcBorders>
              <w:top w:val="nil"/>
              <w:left w:val="nil"/>
              <w:bottom w:val="nil"/>
              <w:right w:val="nil"/>
            </w:tcBorders>
            <w:noWrap/>
            <w:vAlign w:val="center"/>
          </w:tcPr>
          <w:p>
            <w:pPr>
              <w:widowControl/>
              <w:jc w:val="left"/>
              <w:rPr>
                <w:rFonts w:ascii="宋体" w:cs="Times New Roman"/>
                <w:color w:val="000000"/>
                <w:kern w:val="0"/>
              </w:rPr>
            </w:pPr>
            <w:r>
              <w:rPr>
                <w:rFonts w:hint="eastAsia" w:ascii="宋体" w:hAnsi="宋体" w:cs="宋体"/>
                <w:color w:val="000000"/>
                <w:kern w:val="0"/>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方正小标宋_GBK"/>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07</w:t>
      </w:r>
      <w:r>
        <w:rPr>
          <w:rFonts w:hint="eastAsia" w:ascii="Times New Roman" w:hAnsi="Times New Roman" w:eastAsia="仿宋_GB2312" w:cs="仿宋_GB2312"/>
          <w:color w:val="000000"/>
          <w:kern w:val="0"/>
        </w:rPr>
        <w:t>表</w:t>
      </w:r>
    </w:p>
    <w:p>
      <w:pPr>
        <w:widowControl/>
        <w:ind w:right="42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预算数</w:t>
            </w:r>
          </w:p>
        </w:tc>
        <w:tc>
          <w:tcPr>
            <w:tcW w:w="7320" w:type="dxa"/>
            <w:gridSpan w:val="6"/>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公务用车购置及运行费</w:t>
            </w:r>
          </w:p>
        </w:tc>
        <w:tc>
          <w:tcPr>
            <w:tcW w:w="1220"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w:t>
            </w:r>
          </w:p>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接待费</w:t>
            </w:r>
          </w:p>
        </w:tc>
        <w:tc>
          <w:tcPr>
            <w:tcW w:w="1220" w:type="dxa"/>
            <w:vMerge w:val="restart"/>
            <w:tcBorders>
              <w:top w:val="nil"/>
              <w:left w:val="nil"/>
              <w:bottom w:val="single" w:color="000000"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公务用车购置及运行费</w:t>
            </w:r>
          </w:p>
        </w:tc>
        <w:tc>
          <w:tcPr>
            <w:tcW w:w="122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w:t>
            </w:r>
          </w:p>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小计</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购置费</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rPr>
            </w:pP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小计</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购置费</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1</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2</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3</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4</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5</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6</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7</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8</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9</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10</w:t>
            </w:r>
          </w:p>
        </w:tc>
        <w:tc>
          <w:tcPr>
            <w:tcW w:w="122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11</w:t>
            </w:r>
          </w:p>
        </w:tc>
        <w:tc>
          <w:tcPr>
            <w:tcW w:w="122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rPr>
            </w:pPr>
            <w:r>
              <w:rPr>
                <w:rFonts w:ascii="Times New Roman" w:hAnsi="Times New Roman" w:eastAsia="仿宋_GB2312" w:cs="Times New Roman"/>
                <w:kern w:val="0"/>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vAlign w:val="center"/>
          </w:tcPr>
          <w:p>
            <w:pPr>
              <w:widowControl/>
              <w:jc w:val="right"/>
              <w:textAlignment w:val="center"/>
              <w:rPr>
                <w:rFonts w:ascii="Times New Roman" w:hAnsi="Times New Roman" w:eastAsia="仿宋_GB2312" w:cs="Times New Roman"/>
                <w:kern w:val="0"/>
              </w:rPr>
            </w:pPr>
            <w:r>
              <w:rPr>
                <w:rFonts w:hint="eastAsia" w:ascii="宋体" w:hAnsi="宋体" w:cs="宋体"/>
                <w:color w:val="000000"/>
                <w:kern w:val="0"/>
                <w:sz w:val="22"/>
                <w:szCs w:val="22"/>
                <w:lang w:val="en-US" w:eastAsia="zh-CN"/>
              </w:rPr>
              <w:t>4</w:t>
            </w:r>
            <w:r>
              <w:rPr>
                <w:rFonts w:ascii="宋体" w:hAnsi="宋体" w:cs="宋体"/>
                <w:color w:val="000000"/>
                <w:kern w:val="0"/>
                <w:sz w:val="22"/>
                <w:szCs w:val="22"/>
              </w:rPr>
              <w:t>.00</w:t>
            </w:r>
          </w:p>
        </w:tc>
        <w:tc>
          <w:tcPr>
            <w:tcW w:w="1220" w:type="dxa"/>
            <w:tcBorders>
              <w:top w:val="nil"/>
              <w:left w:val="nil"/>
              <w:bottom w:val="single" w:color="auto" w:sz="8" w:space="0"/>
              <w:right w:val="single" w:color="auto" w:sz="4" w:space="0"/>
            </w:tcBorders>
            <w:vAlign w:val="center"/>
          </w:tcPr>
          <w:p>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4.00</w:t>
            </w:r>
          </w:p>
        </w:tc>
        <w:tc>
          <w:tcPr>
            <w:tcW w:w="1220" w:type="dxa"/>
            <w:tcBorders>
              <w:top w:val="nil"/>
              <w:left w:val="nil"/>
              <w:bottom w:val="single" w:color="auto" w:sz="8" w:space="0"/>
              <w:right w:val="single" w:color="auto" w:sz="4" w:space="0"/>
            </w:tcBorders>
            <w:vAlign w:val="center"/>
          </w:tcPr>
          <w:p>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4.00</w:t>
            </w:r>
          </w:p>
        </w:tc>
        <w:tc>
          <w:tcPr>
            <w:tcW w:w="1220" w:type="dxa"/>
            <w:tcBorders>
              <w:top w:val="nil"/>
              <w:left w:val="nil"/>
              <w:bottom w:val="single" w:color="auto" w:sz="8" w:space="0"/>
              <w:right w:val="single" w:color="auto" w:sz="4" w:space="0"/>
            </w:tcBorders>
            <w:vAlign w:val="center"/>
          </w:tcPr>
          <w:p>
            <w:pPr>
              <w:widowControl/>
              <w:jc w:val="right"/>
              <w:textAlignment w:val="center"/>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pPr>
              <w:widowControl/>
              <w:jc w:val="right"/>
              <w:textAlignment w:val="center"/>
              <w:rPr>
                <w:rFonts w:hint="default" w:ascii="Times New Roman" w:hAnsi="Times New Roman" w:eastAsia="仿宋_GB2312" w:cs="Times New Roman"/>
                <w:kern w:val="0"/>
                <w:lang w:val="en-US" w:eastAsia="zh-CN"/>
              </w:rPr>
            </w:pPr>
            <w:r>
              <w:rPr>
                <w:rFonts w:hint="eastAsia" w:ascii="宋体" w:hAnsi="宋体" w:eastAsia="仿宋_GB2312" w:cs="宋体"/>
                <w:color w:val="000000"/>
                <w:kern w:val="0"/>
                <w:sz w:val="22"/>
                <w:szCs w:val="22"/>
                <w:lang w:val="en-US" w:eastAsia="zh-CN"/>
              </w:rPr>
              <w:t>4.00</w:t>
            </w:r>
          </w:p>
        </w:tc>
        <w:tc>
          <w:tcPr>
            <w:tcW w:w="1220" w:type="dxa"/>
            <w:tcBorders>
              <w:top w:val="nil"/>
              <w:left w:val="nil"/>
              <w:bottom w:val="single" w:color="auto" w:sz="8" w:space="0"/>
              <w:right w:val="single" w:color="auto" w:sz="4" w:space="0"/>
            </w:tcBorders>
            <w:vAlign w:val="center"/>
          </w:tcPr>
          <w:p>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4.00</w:t>
            </w:r>
          </w:p>
        </w:tc>
        <w:tc>
          <w:tcPr>
            <w:tcW w:w="1220" w:type="dxa"/>
            <w:tcBorders>
              <w:top w:val="nil"/>
              <w:left w:val="nil"/>
              <w:bottom w:val="single" w:color="auto" w:sz="8" w:space="0"/>
              <w:right w:val="single" w:color="auto" w:sz="4" w:space="0"/>
            </w:tcBorders>
            <w:vAlign w:val="center"/>
          </w:tcPr>
          <w:p>
            <w:pPr>
              <w:jc w:val="right"/>
              <w:rPr>
                <w:rFonts w:ascii="Times New Roman" w:hAnsi="Times New Roman" w:eastAsia="仿宋_GB2312" w:cs="Times New Roman"/>
                <w:kern w:val="0"/>
              </w:rPr>
            </w:pPr>
          </w:p>
        </w:tc>
        <w:tc>
          <w:tcPr>
            <w:tcW w:w="1220" w:type="dxa"/>
            <w:tcBorders>
              <w:top w:val="nil"/>
              <w:left w:val="nil"/>
              <w:bottom w:val="single" w:color="auto" w:sz="8" w:space="0"/>
              <w:right w:val="nil"/>
            </w:tcBorders>
            <w:vAlign w:val="center"/>
          </w:tcPr>
          <w:p>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4.00</w:t>
            </w:r>
          </w:p>
        </w:tc>
        <w:tc>
          <w:tcPr>
            <w:tcW w:w="1220" w:type="dxa"/>
            <w:tcBorders>
              <w:top w:val="nil"/>
              <w:left w:val="single" w:color="auto" w:sz="4" w:space="0"/>
              <w:bottom w:val="single" w:color="auto" w:sz="8" w:space="0"/>
              <w:right w:val="single" w:color="auto" w:sz="8" w:space="0"/>
            </w:tcBorders>
            <w:vAlign w:val="center"/>
          </w:tcPr>
          <w:p>
            <w:pPr>
              <w:widowControl/>
              <w:jc w:val="right"/>
              <w:textAlignment w:val="center"/>
              <w:rPr>
                <w:rFonts w:ascii="Times New Roman" w:hAnsi="Times New Roman" w:eastAsia="仿宋_GB2312" w:cs="Times New Roman"/>
                <w:kern w:val="0"/>
              </w:rPr>
            </w:pPr>
          </w:p>
        </w:tc>
      </w:tr>
    </w:tbl>
    <w:p>
      <w:pPr>
        <w:widowControl/>
        <w:jc w:val="left"/>
        <w:rPr>
          <w:rFonts w:ascii="宋体" w:cs="Times New Roman"/>
          <w:kern w:val="0"/>
          <w:sz w:val="24"/>
          <w:szCs w:val="24"/>
        </w:rPr>
      </w:pPr>
      <w:r>
        <w:rPr>
          <w:rFonts w:hint="eastAsia" w:ascii="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cs="Times New Roman"/>
          <w:kern w:val="0"/>
          <w:sz w:val="24"/>
          <w:szCs w:val="24"/>
        </w:rPr>
        <w:br w:type="page"/>
      </w:r>
    </w:p>
    <w:p>
      <w:pPr>
        <w:autoSpaceDE w:val="0"/>
        <w:autoSpaceDN w:val="0"/>
        <w:adjustRightInd w:val="0"/>
        <w:ind w:left="315" w:leftChars="150"/>
        <w:jc w:val="left"/>
        <w:rPr>
          <w:rFonts w:ascii="宋体" w:cs="Times New Roman"/>
          <w:kern w:val="0"/>
          <w:sz w:val="24"/>
          <w:szCs w:val="24"/>
        </w:rPr>
      </w:pPr>
    </w:p>
    <w:p>
      <w:pPr>
        <w:widowControl/>
        <w:jc w:val="center"/>
        <w:rPr>
          <w:rFonts w:ascii="Times New Roman" w:hAnsi="Times New Roman" w:eastAsia="方正小标宋_GBK" w:cs="Times New Roman"/>
          <w:kern w:val="0"/>
          <w:sz w:val="36"/>
          <w:szCs w:val="36"/>
        </w:rPr>
      </w:pPr>
      <w:r>
        <w:rPr>
          <w:rFonts w:hint="eastAsia" w:ascii="Times New Roman" w:hAnsi="Times New Roman" w:eastAsia="方正小标宋_GBK" w:cs="方正小标宋_GBK"/>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08</w:t>
      </w:r>
      <w:r>
        <w:rPr>
          <w:rFonts w:hint="eastAsia" w:ascii="Times New Roman" w:hAnsi="Times New Roman" w:eastAsia="仿宋_GB2312" w:cs="仿宋_GB2312"/>
          <w:color w:val="000000"/>
          <w:kern w:val="0"/>
        </w:rPr>
        <w:t>表</w:t>
      </w:r>
    </w:p>
    <w:p>
      <w:pPr>
        <w:widowControl/>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66"/>
        <w:gridCol w:w="1237"/>
        <w:gridCol w:w="1854"/>
        <w:gridCol w:w="1896"/>
        <w:gridCol w:w="1896"/>
        <w:gridCol w:w="1854"/>
        <w:gridCol w:w="1896"/>
        <w:gridCol w:w="185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9" w:type="dxa"/>
            <w:gridSpan w:val="3"/>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w:t>
            </w:r>
            <w:r>
              <w:rPr>
                <w:rFonts w:ascii="Times New Roman" w:hAnsi="Times New Roman" w:eastAsia="仿宋_GB2312" w:cs="Times New Roman"/>
                <w:b/>
                <w:bCs/>
                <w:kern w:val="0"/>
              </w:rPr>
              <w:t xml:space="preserve"> </w:t>
            </w:r>
            <w:r>
              <w:rPr>
                <w:rFonts w:hint="eastAsia" w:ascii="Times New Roman" w:hAnsi="Times New Roman" w:eastAsia="仿宋_GB2312" w:cs="仿宋_GB2312"/>
                <w:b/>
                <w:bCs/>
                <w:kern w:val="0"/>
              </w:rPr>
              <w:t>目</w:t>
            </w:r>
          </w:p>
        </w:tc>
        <w:tc>
          <w:tcPr>
            <w:tcW w:w="1854"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年初结转和结余</w:t>
            </w:r>
          </w:p>
        </w:tc>
        <w:tc>
          <w:tcPr>
            <w:tcW w:w="1896"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本年收入</w:t>
            </w:r>
          </w:p>
        </w:tc>
        <w:tc>
          <w:tcPr>
            <w:tcW w:w="5646" w:type="dxa"/>
            <w:gridSpan w:val="3"/>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本年支出</w:t>
            </w:r>
          </w:p>
        </w:tc>
        <w:tc>
          <w:tcPr>
            <w:tcW w:w="1855"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2" w:type="dxa"/>
            <w:gridSpan w:val="2"/>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功能分类科目编码</w:t>
            </w:r>
          </w:p>
        </w:tc>
        <w:tc>
          <w:tcPr>
            <w:tcW w:w="1237"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科目名称</w:t>
            </w:r>
          </w:p>
        </w:tc>
        <w:tc>
          <w:tcPr>
            <w:tcW w:w="1854" w:type="dxa"/>
            <w:vMerge w:val="continue"/>
            <w:vAlign w:val="center"/>
          </w:tcPr>
          <w:p>
            <w:pPr>
              <w:widowControl/>
              <w:jc w:val="left"/>
              <w:rPr>
                <w:rFonts w:ascii="Times New Roman" w:hAnsi="Times New Roman" w:eastAsia="仿宋_GB2312" w:cs="Times New Roman"/>
                <w:b/>
                <w:bCs/>
                <w:kern w:val="0"/>
              </w:rPr>
            </w:pPr>
          </w:p>
        </w:tc>
        <w:tc>
          <w:tcPr>
            <w:tcW w:w="1896" w:type="dxa"/>
            <w:vMerge w:val="continue"/>
            <w:vAlign w:val="center"/>
          </w:tcPr>
          <w:p>
            <w:pPr>
              <w:widowControl/>
              <w:jc w:val="left"/>
              <w:rPr>
                <w:rFonts w:ascii="Times New Roman" w:hAnsi="Times New Roman" w:eastAsia="仿宋_GB2312" w:cs="Times New Roman"/>
                <w:b/>
                <w:bCs/>
                <w:kern w:val="0"/>
              </w:rPr>
            </w:pPr>
          </w:p>
        </w:tc>
        <w:tc>
          <w:tcPr>
            <w:tcW w:w="1896"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小计</w:t>
            </w:r>
          </w:p>
        </w:tc>
        <w:tc>
          <w:tcPr>
            <w:tcW w:w="1854"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基本支出</w:t>
            </w:r>
            <w:r>
              <w:rPr>
                <w:rFonts w:ascii="Times New Roman" w:hAnsi="Times New Roman" w:eastAsia="仿宋_GB2312" w:cs="Times New Roman"/>
                <w:b/>
                <w:bCs/>
                <w:kern w:val="0"/>
              </w:rPr>
              <w:t xml:space="preserve">  </w:t>
            </w:r>
          </w:p>
        </w:tc>
        <w:tc>
          <w:tcPr>
            <w:tcW w:w="1896" w:type="dxa"/>
            <w:vMerge w:val="restart"/>
            <w:vAlign w:val="center"/>
          </w:tcPr>
          <w:p>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项目支出</w:t>
            </w:r>
          </w:p>
        </w:tc>
        <w:tc>
          <w:tcPr>
            <w:tcW w:w="1855" w:type="dxa"/>
            <w:vMerge w:val="continue"/>
            <w:vAlign w:val="center"/>
          </w:tcPr>
          <w:p>
            <w:pPr>
              <w:widowControl/>
              <w:jc w:val="left"/>
              <w:rPr>
                <w:rFonts w:ascii="Times New Roman" w:hAnsi="Times New Roman" w:eastAsia="仿宋_GB2312" w:cs="Times New Roman"/>
                <w:b/>
                <w:bCs/>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2" w:type="dxa"/>
            <w:gridSpan w:val="2"/>
            <w:vMerge w:val="continue"/>
            <w:vAlign w:val="center"/>
          </w:tcPr>
          <w:p>
            <w:pPr>
              <w:widowControl/>
              <w:jc w:val="left"/>
              <w:rPr>
                <w:rFonts w:ascii="Times New Roman" w:hAnsi="Times New Roman" w:eastAsia="仿宋_GB2312" w:cs="Times New Roman"/>
                <w:kern w:val="0"/>
              </w:rPr>
            </w:pPr>
          </w:p>
        </w:tc>
        <w:tc>
          <w:tcPr>
            <w:tcW w:w="1237" w:type="dxa"/>
            <w:vMerge w:val="continue"/>
            <w:vAlign w:val="center"/>
          </w:tcPr>
          <w:p>
            <w:pPr>
              <w:widowControl/>
              <w:jc w:val="left"/>
              <w:rPr>
                <w:rFonts w:ascii="Times New Roman" w:hAnsi="Times New Roman" w:eastAsia="仿宋_GB2312" w:cs="Times New Roman"/>
                <w:kern w:val="0"/>
              </w:rPr>
            </w:pPr>
          </w:p>
        </w:tc>
        <w:tc>
          <w:tcPr>
            <w:tcW w:w="1854"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54"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55" w:type="dxa"/>
            <w:vMerge w:val="continue"/>
            <w:vAlign w:val="center"/>
          </w:tcPr>
          <w:p>
            <w:pPr>
              <w:widowControl/>
              <w:jc w:val="left"/>
              <w:rPr>
                <w:rFonts w:ascii="Times New Roman" w:hAnsi="Times New Roman" w:eastAsia="仿宋_GB2312" w:cs="Times New Roman"/>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52" w:type="dxa"/>
            <w:gridSpan w:val="2"/>
            <w:vMerge w:val="continue"/>
            <w:vAlign w:val="center"/>
          </w:tcPr>
          <w:p>
            <w:pPr>
              <w:widowControl/>
              <w:jc w:val="left"/>
              <w:rPr>
                <w:rFonts w:ascii="Times New Roman" w:hAnsi="Times New Roman" w:eastAsia="仿宋_GB2312" w:cs="Times New Roman"/>
                <w:kern w:val="0"/>
              </w:rPr>
            </w:pPr>
          </w:p>
        </w:tc>
        <w:tc>
          <w:tcPr>
            <w:tcW w:w="1237" w:type="dxa"/>
            <w:vMerge w:val="continue"/>
            <w:vAlign w:val="center"/>
          </w:tcPr>
          <w:p>
            <w:pPr>
              <w:widowControl/>
              <w:jc w:val="left"/>
              <w:rPr>
                <w:rFonts w:ascii="Times New Roman" w:hAnsi="Times New Roman" w:eastAsia="仿宋_GB2312" w:cs="Times New Roman"/>
                <w:kern w:val="0"/>
              </w:rPr>
            </w:pPr>
          </w:p>
        </w:tc>
        <w:tc>
          <w:tcPr>
            <w:tcW w:w="1854"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54" w:type="dxa"/>
            <w:vMerge w:val="continue"/>
            <w:vAlign w:val="center"/>
          </w:tcPr>
          <w:p>
            <w:pPr>
              <w:widowControl/>
              <w:jc w:val="left"/>
              <w:rPr>
                <w:rFonts w:ascii="Times New Roman" w:hAnsi="Times New Roman" w:eastAsia="仿宋_GB2312" w:cs="Times New Roman"/>
                <w:kern w:val="0"/>
              </w:rPr>
            </w:pPr>
          </w:p>
        </w:tc>
        <w:tc>
          <w:tcPr>
            <w:tcW w:w="1896" w:type="dxa"/>
            <w:vMerge w:val="continue"/>
            <w:vAlign w:val="center"/>
          </w:tcPr>
          <w:p>
            <w:pPr>
              <w:widowControl/>
              <w:jc w:val="left"/>
              <w:rPr>
                <w:rFonts w:ascii="Times New Roman" w:hAnsi="Times New Roman" w:eastAsia="仿宋_GB2312" w:cs="Times New Roman"/>
                <w:kern w:val="0"/>
              </w:rPr>
            </w:pPr>
          </w:p>
        </w:tc>
        <w:tc>
          <w:tcPr>
            <w:tcW w:w="1855" w:type="dxa"/>
            <w:vMerge w:val="continue"/>
            <w:vAlign w:val="center"/>
          </w:tcPr>
          <w:p>
            <w:pPr>
              <w:widowControl/>
              <w:jc w:val="left"/>
              <w:rPr>
                <w:rFonts w:ascii="Times New Roman" w:hAnsi="Times New Roman" w:eastAsia="仿宋_GB2312" w:cs="Times New Roman"/>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9" w:type="dxa"/>
            <w:gridSpan w:val="3"/>
            <w:vAlign w:val="center"/>
          </w:tcPr>
          <w:p>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栏次</w:t>
            </w:r>
          </w:p>
        </w:tc>
        <w:tc>
          <w:tcPr>
            <w:tcW w:w="1854"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1</w:t>
            </w:r>
          </w:p>
        </w:tc>
        <w:tc>
          <w:tcPr>
            <w:tcW w:w="1896"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2</w:t>
            </w:r>
          </w:p>
        </w:tc>
        <w:tc>
          <w:tcPr>
            <w:tcW w:w="1896"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3</w:t>
            </w:r>
          </w:p>
        </w:tc>
        <w:tc>
          <w:tcPr>
            <w:tcW w:w="1854"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4</w:t>
            </w:r>
          </w:p>
        </w:tc>
        <w:tc>
          <w:tcPr>
            <w:tcW w:w="1896"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5</w:t>
            </w:r>
          </w:p>
        </w:tc>
        <w:tc>
          <w:tcPr>
            <w:tcW w:w="1855" w:type="dxa"/>
            <w:vAlign w:val="center"/>
          </w:tcPr>
          <w:p>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89" w:type="dxa"/>
            <w:gridSpan w:val="3"/>
            <w:vAlign w:val="center"/>
          </w:tcPr>
          <w:p>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合计</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宋体" w:cs="Times New Roman"/>
                <w:b/>
                <w:bCs/>
                <w:color w:val="000000"/>
                <w:kern w:val="0"/>
                <w:sz w:val="22"/>
                <w:szCs w:val="22"/>
              </w:rPr>
            </w:pPr>
            <w:r>
              <w:rPr>
                <w:rFonts w:hint="eastAsia" w:ascii="宋体" w:hAnsi="宋体" w:eastAsia="仿宋_GB2312" w:cs="宋体"/>
                <w:color w:val="000000"/>
                <w:kern w:val="0"/>
                <w:sz w:val="22"/>
                <w:szCs w:val="22"/>
                <w:lang w:val="en-US" w:eastAsia="zh-CN"/>
              </w:rPr>
              <w:t>865.46</w:t>
            </w:r>
          </w:p>
        </w:tc>
        <w:tc>
          <w:tcPr>
            <w:tcW w:w="1896" w:type="dxa"/>
            <w:vAlign w:val="center"/>
          </w:tcPr>
          <w:p>
            <w:pPr>
              <w:widowControl/>
              <w:jc w:val="right"/>
              <w:textAlignment w:val="center"/>
              <w:rPr>
                <w:rFonts w:ascii="宋体" w:cs="Times New Roman"/>
                <w:b/>
                <w:bCs/>
                <w:color w:val="000000"/>
                <w:kern w:val="0"/>
                <w:sz w:val="22"/>
                <w:szCs w:val="22"/>
              </w:rPr>
            </w:pPr>
            <w:r>
              <w:rPr>
                <w:rFonts w:hint="eastAsia" w:ascii="宋体" w:hAnsi="宋体" w:eastAsia="仿宋_GB2312" w:cs="宋体"/>
                <w:color w:val="000000"/>
                <w:kern w:val="0"/>
                <w:sz w:val="22"/>
                <w:szCs w:val="22"/>
                <w:lang w:val="en-US" w:eastAsia="zh-CN"/>
              </w:rPr>
              <w:t>865.46</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宋体" w:cs="Times New Roman"/>
                <w:b/>
                <w:bCs/>
                <w:color w:val="000000"/>
                <w:kern w:val="0"/>
                <w:sz w:val="22"/>
                <w:szCs w:val="22"/>
              </w:rPr>
            </w:pPr>
            <w:r>
              <w:rPr>
                <w:rFonts w:hint="eastAsia" w:ascii="宋体" w:hAnsi="宋体" w:eastAsia="仿宋_GB2312" w:cs="宋体"/>
                <w:color w:val="000000"/>
                <w:kern w:val="0"/>
                <w:sz w:val="22"/>
                <w:szCs w:val="22"/>
                <w:lang w:val="en-US" w:eastAsia="zh-CN"/>
              </w:rPr>
              <w:t>865.46</w:t>
            </w:r>
          </w:p>
        </w:tc>
        <w:tc>
          <w:tcPr>
            <w:tcW w:w="1855" w:type="dxa"/>
            <w:vAlign w:val="center"/>
          </w:tcPr>
          <w:p>
            <w:pPr>
              <w:jc w:val="right"/>
              <w:rPr>
                <w:rFonts w:ascii="Times New Roman" w:hAnsi="Times New Roman" w:eastAsia="仿宋_GB2312" w:cs="Times New Roman"/>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9" w:hRule="atLeast"/>
          <w:jc w:val="center"/>
        </w:trPr>
        <w:tc>
          <w:tcPr>
            <w:tcW w:w="986" w:type="dxa"/>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229</w:t>
            </w:r>
          </w:p>
        </w:tc>
        <w:tc>
          <w:tcPr>
            <w:tcW w:w="2203" w:type="dxa"/>
            <w:gridSpan w:val="2"/>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其他支出</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hint="default" w:ascii="Times New Roman" w:hAnsi="Times New Roman" w:eastAsia="仿宋_GB2312" w:cs="Times New Roman"/>
                <w:kern w:val="0"/>
                <w:lang w:val="en-US" w:eastAsia="zh-CN"/>
              </w:rPr>
            </w:pPr>
            <w:r>
              <w:rPr>
                <w:rFonts w:hint="eastAsia" w:ascii="宋体" w:hAnsi="宋体" w:eastAsia="仿宋_GB2312" w:cs="宋体"/>
                <w:color w:val="000000"/>
                <w:kern w:val="0"/>
                <w:sz w:val="22"/>
                <w:szCs w:val="22"/>
                <w:lang w:val="en-US" w:eastAsia="zh-CN"/>
              </w:rPr>
              <w:t>865.46</w:t>
            </w: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5" w:type="dxa"/>
            <w:vAlign w:val="center"/>
          </w:tcPr>
          <w:p>
            <w:pPr>
              <w:jc w:val="right"/>
              <w:rPr>
                <w:rFonts w:ascii="Times New Roman" w:hAnsi="Times New Roman" w:eastAsia="仿宋_GB2312" w:cs="Times New Roman"/>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22960</w:t>
            </w:r>
          </w:p>
        </w:tc>
        <w:tc>
          <w:tcPr>
            <w:tcW w:w="2203" w:type="dxa"/>
            <w:gridSpan w:val="2"/>
            <w:vAlign w:val="center"/>
          </w:tcPr>
          <w:p>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彩票公益金安排的支出</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5" w:type="dxa"/>
            <w:vAlign w:val="center"/>
          </w:tcPr>
          <w:p>
            <w:pPr>
              <w:jc w:val="right"/>
              <w:rPr>
                <w:rFonts w:ascii="Times New Roman" w:hAnsi="Times New Roman" w:eastAsia="仿宋_GB2312" w:cs="Times New Roman"/>
                <w:kern w:val="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2296002</w:t>
            </w:r>
          </w:p>
        </w:tc>
        <w:tc>
          <w:tcPr>
            <w:tcW w:w="2203" w:type="dxa"/>
            <w:gridSpan w:val="2"/>
            <w:vAlign w:val="center"/>
          </w:tcPr>
          <w:p>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用于社会福利的彩票公益金支出</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4" w:type="dxa"/>
            <w:vAlign w:val="center"/>
          </w:tcPr>
          <w:p>
            <w:pPr>
              <w:jc w:val="right"/>
              <w:rPr>
                <w:rFonts w:ascii="Times New Roman" w:hAnsi="Times New Roman" w:eastAsia="仿宋_GB2312" w:cs="Times New Roman"/>
                <w:kern w:val="0"/>
              </w:rPr>
            </w:pPr>
          </w:p>
        </w:tc>
        <w:tc>
          <w:tcPr>
            <w:tcW w:w="1896" w:type="dxa"/>
            <w:vAlign w:val="center"/>
          </w:tcPr>
          <w:p>
            <w:pPr>
              <w:widowControl/>
              <w:jc w:val="right"/>
              <w:textAlignment w:val="center"/>
              <w:rPr>
                <w:rFonts w:ascii="Times New Roman" w:hAnsi="Times New Roman" w:eastAsia="仿宋_GB2312" w:cs="Times New Roman"/>
                <w:kern w:val="0"/>
              </w:rPr>
            </w:pPr>
            <w:r>
              <w:rPr>
                <w:rFonts w:hint="eastAsia" w:ascii="宋体" w:hAnsi="宋体" w:eastAsia="仿宋_GB2312" w:cs="宋体"/>
                <w:color w:val="000000"/>
                <w:kern w:val="0"/>
                <w:sz w:val="22"/>
                <w:szCs w:val="22"/>
                <w:lang w:val="en-US" w:eastAsia="zh-CN"/>
              </w:rPr>
              <w:t>865.46</w:t>
            </w:r>
          </w:p>
        </w:tc>
        <w:tc>
          <w:tcPr>
            <w:tcW w:w="1855" w:type="dxa"/>
            <w:vAlign w:val="center"/>
          </w:tcPr>
          <w:p>
            <w:pPr>
              <w:jc w:val="right"/>
              <w:rPr>
                <w:rFonts w:ascii="Times New Roman" w:hAnsi="Times New Roman" w:eastAsia="仿宋_GB2312" w:cs="Times New Roman"/>
                <w:kern w:val="0"/>
              </w:rPr>
            </w:pPr>
          </w:p>
        </w:tc>
      </w:tr>
    </w:tbl>
    <w:p>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注：本表反映部门本年度政府性基金预算财政拨款收入、支出及结转和结余情况</w:t>
      </w:r>
    </w:p>
    <w:p>
      <w:pPr>
        <w:widowControl/>
        <w:jc w:val="left"/>
        <w:rPr>
          <w:rFonts w:ascii="Times New Roman" w:hAnsi="Times New Roman" w:eastAsia="仿宋_GB2312" w:cs="Times New Roman"/>
          <w:kern w:val="0"/>
        </w:rPr>
      </w:pPr>
      <w:r>
        <w:rPr>
          <w:rFonts w:ascii="Times New Roman" w:hAnsi="Times New Roman" w:eastAsia="仿宋_GB2312" w:cs="Times New Roman"/>
          <w:kern w:val="0"/>
        </w:rPr>
        <w:t>(</w:t>
      </w:r>
      <w:r>
        <w:rPr>
          <w:rFonts w:hint="eastAsia" w:ascii="Times New Roman" w:hAnsi="Times New Roman" w:eastAsia="仿宋_GB2312" w:cs="仿宋_GB2312"/>
          <w:kern w:val="0"/>
        </w:rPr>
        <w:t>若本单位无政府性基金收支</w:t>
      </w:r>
      <w:r>
        <w:rPr>
          <w:rFonts w:ascii="Times New Roman" w:hAnsi="Times New Roman" w:eastAsia="仿宋_GB2312" w:cs="Times New Roman"/>
          <w:kern w:val="0"/>
        </w:rPr>
        <w:t>,</w:t>
      </w:r>
      <w:r>
        <w:rPr>
          <w:rFonts w:hint="eastAsia" w:ascii="Times New Roman" w:hAnsi="Times New Roman" w:eastAsia="仿宋_GB2312" w:cs="仿宋_GB2312"/>
          <w:kern w:val="0"/>
        </w:rPr>
        <w:t>请说明：</w:t>
      </w:r>
      <w:r>
        <w:rPr>
          <w:rFonts w:ascii="Times New Roman" w:hAnsi="Times New Roman" w:eastAsia="仿宋_GB2312" w:cs="Times New Roman"/>
          <w:kern w:val="0"/>
        </w:rPr>
        <w:t>XX</w:t>
      </w:r>
      <w:r>
        <w:rPr>
          <w:rFonts w:hint="eastAsia" w:ascii="Times New Roman" w:hAnsi="Times New Roman" w:eastAsia="仿宋_GB2312" w:cs="仿宋_GB2312"/>
          <w:kern w:val="0"/>
        </w:rPr>
        <w:t>单位没有政府性基金收入，也没有使用政府性基金安排的支出，故本表无数据</w:t>
      </w:r>
      <w:r>
        <w:rPr>
          <w:rFonts w:ascii="Times New Roman" w:hAnsi="Times New Roman" w:eastAsia="仿宋_GB2312" w:cs="Times New Roman"/>
          <w:kern w:val="0"/>
        </w:rPr>
        <w:t>)</w:t>
      </w:r>
      <w:r>
        <w:rPr>
          <w:rFonts w:hint="eastAsia" w:ascii="Times New Roman" w:hAnsi="Times New Roman" w:eastAsia="仿宋_GB2312" w:cs="仿宋_GB2312"/>
          <w:kern w:val="0"/>
        </w:rPr>
        <w:t>。</w:t>
      </w:r>
    </w:p>
    <w:p>
      <w:pPr>
        <w:widowControl/>
        <w:jc w:val="left"/>
        <w:rPr>
          <w:rFonts w:ascii="黑体" w:hAnsi="黑体" w:eastAsia="黑体" w:cs="Times New Roman"/>
        </w:rPr>
      </w:pPr>
      <w:r>
        <w:rPr>
          <w:rFonts w:ascii="黑体" w:hAnsi="黑体" w:eastAsia="黑体" w:cs="Times New Roman"/>
        </w:rPr>
        <w:br w:type="page"/>
      </w:r>
    </w:p>
    <w:tbl>
      <w:tblPr>
        <w:tblStyle w:val="6"/>
        <w:tblW w:w="14190" w:type="dxa"/>
        <w:tblInd w:w="-106"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Times New Roman"/>
                <w:kern w:val="0"/>
                <w:sz w:val="32"/>
                <w:szCs w:val="32"/>
              </w:rPr>
            </w:pPr>
            <w:r>
              <w:rPr>
                <w:rFonts w:hint="eastAsia" w:ascii="华文中宋" w:hAnsi="华文中宋" w:eastAsia="华文中宋" w:cs="华文中宋"/>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cs="Times New Roman"/>
                <w:kern w:val="0"/>
                <w:sz w:val="20"/>
                <w:szCs w:val="20"/>
              </w:rPr>
            </w:pPr>
            <w:r>
              <w:rPr>
                <w:rFonts w:hint="eastAsia" w:ascii="宋体" w:hAnsi="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cs="Times New Roman"/>
                <w:kern w:val="0"/>
                <w:sz w:val="20"/>
                <w:szCs w:val="20"/>
              </w:rPr>
            </w:pPr>
            <w:r>
              <w:rPr>
                <w:rFonts w:hint="eastAsia" w:ascii="宋体" w:hAnsi="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09</w:t>
            </w:r>
            <w:r>
              <w:rPr>
                <w:rFonts w:hint="eastAsia" w:ascii="宋体" w:hAnsi="宋体" w:cs="宋体"/>
                <w:color w:val="000000"/>
                <w:kern w:val="0"/>
                <w:sz w:val="20"/>
                <w:szCs w:val="20"/>
              </w:rPr>
              <w:t>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cs="Times New Roman"/>
                <w:color w:val="000000"/>
                <w:kern w:val="0"/>
                <w:sz w:val="20"/>
                <w:szCs w:val="20"/>
              </w:rPr>
            </w:pPr>
            <w:r>
              <w:rPr>
                <w:rFonts w:hint="eastAsia" w:ascii="宋体" w:hAnsi="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cs="Times New Roman"/>
                <w:kern w:val="0"/>
                <w:sz w:val="20"/>
                <w:szCs w:val="20"/>
              </w:rPr>
            </w:pPr>
            <w:r>
              <w:rPr>
                <w:rFonts w:hint="eastAsia" w:ascii="宋体" w:hAnsi="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基本支出</w:t>
            </w:r>
            <w:r>
              <w:rPr>
                <w:rFonts w:ascii="宋体" w:hAnsi="宋体" w:cs="宋体"/>
                <w:kern w:val="0"/>
                <w:sz w:val="24"/>
                <w:szCs w:val="24"/>
              </w:rPr>
              <w:t xml:space="preserve">  </w:t>
            </w:r>
          </w:p>
        </w:tc>
        <w:tc>
          <w:tcPr>
            <w:tcW w:w="3827"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栏次</w:t>
            </w:r>
          </w:p>
        </w:tc>
        <w:tc>
          <w:tcPr>
            <w:tcW w:w="2551" w:type="dxa"/>
            <w:gridSpan w:val="2"/>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ascii="宋体" w:hAnsi="宋体" w:cs="宋体"/>
                <w:kern w:val="0"/>
                <w:sz w:val="24"/>
                <w:szCs w:val="24"/>
              </w:rPr>
              <w:t>1</w:t>
            </w:r>
          </w:p>
        </w:tc>
        <w:tc>
          <w:tcPr>
            <w:tcW w:w="2977" w:type="dxa"/>
            <w:gridSpan w:val="2"/>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ascii="宋体" w:hAnsi="宋体" w:cs="宋体"/>
                <w:kern w:val="0"/>
                <w:sz w:val="24"/>
                <w:szCs w:val="24"/>
              </w:rPr>
              <w:t>2</w:t>
            </w:r>
          </w:p>
        </w:tc>
        <w:tc>
          <w:tcPr>
            <w:tcW w:w="3827" w:type="dxa"/>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ascii="宋体" w:hAnsi="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合计</w:t>
            </w:r>
          </w:p>
        </w:tc>
        <w:tc>
          <w:tcPr>
            <w:tcW w:w="2551" w:type="dxa"/>
            <w:gridSpan w:val="2"/>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vAlign w:val="center"/>
          </w:tcPr>
          <w:p>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8"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8"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8"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8" w:space="0"/>
              <w:right w:val="single" w:color="auto" w:sz="4" w:space="0"/>
            </w:tcBorders>
            <w:vAlign w:val="center"/>
          </w:tcPr>
          <w:p>
            <w:pPr>
              <w:widowControl/>
              <w:jc w:val="left"/>
              <w:rPr>
                <w:rFonts w:ascii="宋体" w:cs="Times New Roman"/>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vAlign w:val="center"/>
          </w:tcPr>
          <w:p>
            <w:pPr>
              <w:widowControl/>
              <w:jc w:val="left"/>
              <w:rPr>
                <w:rFonts w:ascii="宋体" w:cs="Times New Roman"/>
                <w:kern w:val="0"/>
                <w:sz w:val="24"/>
                <w:szCs w:val="24"/>
              </w:rPr>
            </w:pPr>
            <w:r>
              <w:rPr>
                <w:rFonts w:hint="eastAsia" w:ascii="宋体" w:hAnsi="宋体" w:cs="宋体"/>
                <w:kern w:val="0"/>
                <w:sz w:val="24"/>
                <w:szCs w:val="24"/>
              </w:rPr>
              <w:t>注：本表反映部门本年度国有资本经营预算财政拨款支出情况。</w:t>
            </w:r>
          </w:p>
        </w:tc>
      </w:tr>
    </w:tbl>
    <w:p>
      <w:pPr>
        <w:pStyle w:val="12"/>
        <w:rPr>
          <w:rFonts w:cs="Times New Roman"/>
          <w:sz w:val="72"/>
          <w:szCs w:val="72"/>
        </w:rPr>
        <w:sectPr>
          <w:pgSz w:w="16838" w:h="11906" w:orient="landscape"/>
          <w:pgMar w:top="720" w:right="720" w:bottom="720" w:left="720" w:header="851" w:footer="992" w:gutter="0"/>
          <w:cols w:space="425" w:num="1"/>
          <w:docGrid w:type="lines" w:linePitch="312" w:charSpace="0"/>
        </w:sect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r>
        <w:rPr>
          <w:rFonts w:hint="eastAsia"/>
          <w:sz w:val="72"/>
          <w:szCs w:val="72"/>
        </w:rPr>
        <w:t>第三部分</w:t>
      </w:r>
    </w:p>
    <w:p>
      <w:pPr>
        <w:pStyle w:val="12"/>
        <w:jc w:val="center"/>
        <w:rPr>
          <w:rFonts w:cs="Times New Roman"/>
          <w:sz w:val="70"/>
          <w:szCs w:val="70"/>
        </w:rPr>
      </w:pPr>
    </w:p>
    <w:p>
      <w:pPr>
        <w:pStyle w:val="12"/>
        <w:jc w:val="center"/>
        <w:rPr>
          <w:rFonts w:cs="Times New Roman"/>
          <w:sz w:val="70"/>
          <w:szCs w:val="70"/>
        </w:rPr>
      </w:pPr>
      <w:r>
        <w:rPr>
          <w:sz w:val="70"/>
          <w:szCs w:val="70"/>
        </w:rPr>
        <w:t>202</w:t>
      </w:r>
      <w:r>
        <w:rPr>
          <w:rFonts w:hint="eastAsia"/>
          <w:sz w:val="70"/>
          <w:szCs w:val="70"/>
          <w:lang w:val="en-US" w:eastAsia="zh-CN"/>
        </w:rPr>
        <w:t>5</w:t>
      </w:r>
      <w:r>
        <w:rPr>
          <w:rFonts w:hint="eastAsia"/>
          <w:sz w:val="70"/>
          <w:szCs w:val="70"/>
        </w:rPr>
        <w:t>年度部门决算情况说明</w:t>
      </w:r>
    </w:p>
    <w:p>
      <w:pPr>
        <w:widowControl/>
        <w:jc w:val="left"/>
        <w:rPr>
          <w:rFonts w:ascii="黑体" w:eastAsia="黑体" w:cs="Times New Roman"/>
          <w:color w:val="000000"/>
          <w:kern w:val="0"/>
          <w:sz w:val="70"/>
          <w:szCs w:val="70"/>
        </w:rPr>
      </w:pPr>
      <w:r>
        <w:rPr>
          <w:rFonts w:cs="Times New Roman"/>
          <w:sz w:val="70"/>
          <w:szCs w:val="70"/>
        </w:rPr>
        <w:br w:type="page"/>
      </w:r>
    </w:p>
    <w:p>
      <w:pPr>
        <w:pStyle w:val="12"/>
        <w:rPr>
          <w:rFonts w:ascii="宋体" w:hAnsi="宋体" w:eastAsia="宋体" w:cs="Times New Roman"/>
          <w:sz w:val="32"/>
          <w:szCs w:val="32"/>
        </w:rPr>
      </w:pPr>
    </w:p>
    <w:p>
      <w:pPr>
        <w:pStyle w:val="12"/>
        <w:rPr>
          <w:rFonts w:hAnsi="黑体" w:cs="Times New Roman"/>
          <w:b/>
          <w:bCs/>
          <w:sz w:val="32"/>
          <w:szCs w:val="32"/>
        </w:rPr>
      </w:pPr>
      <w:r>
        <w:rPr>
          <w:rFonts w:hint="eastAsia" w:hAnsi="黑体"/>
          <w:b/>
          <w:bCs/>
          <w:sz w:val="32"/>
          <w:szCs w:val="32"/>
        </w:rPr>
        <w:t>一、收入支出决算总体情况说明</w:t>
      </w:r>
    </w:p>
    <w:p>
      <w:pPr>
        <w:pStyle w:val="12"/>
        <w:ind w:firstLine="640" w:firstLineChars="200"/>
        <w:rPr>
          <w:rFonts w:hint="eastAsia"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年度收、支总计</w:t>
      </w:r>
      <w:r>
        <w:rPr>
          <w:rFonts w:hint="eastAsia" w:ascii="仿宋_GB2312" w:hAnsi="仿宋" w:eastAsia="仿宋_GB2312"/>
          <w:sz w:val="32"/>
          <w:szCs w:val="32"/>
          <w:highlight w:val="none"/>
          <w:lang w:val="en-US" w:eastAsia="zh-CN"/>
        </w:rPr>
        <w:t>20399.85</w:t>
      </w:r>
      <w:r>
        <w:rPr>
          <w:rFonts w:hint="eastAsia" w:ascii="仿宋" w:hAnsi="仿宋" w:eastAsia="仿宋" w:cs="仿宋"/>
          <w:sz w:val="32"/>
          <w:szCs w:val="32"/>
        </w:rPr>
        <w:t>万元。与上年相比，增加</w:t>
      </w:r>
      <w:r>
        <w:rPr>
          <w:rFonts w:hint="eastAsia" w:ascii="仿宋" w:hAnsi="仿宋" w:eastAsia="仿宋" w:cs="仿宋"/>
          <w:color w:val="auto"/>
          <w:sz w:val="32"/>
          <w:szCs w:val="32"/>
          <w:lang w:val="en-US" w:eastAsia="zh-CN"/>
        </w:rPr>
        <w:t>282.33</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1.4</w:t>
      </w:r>
      <w:r>
        <w:rPr>
          <w:rFonts w:ascii="仿宋" w:hAnsi="仿宋" w:eastAsia="仿宋" w:cs="仿宋"/>
          <w:sz w:val="32"/>
          <w:szCs w:val="32"/>
        </w:rPr>
        <w:t>%</w:t>
      </w:r>
      <w:r>
        <w:rPr>
          <w:rFonts w:hint="eastAsia" w:ascii="仿宋" w:hAnsi="仿宋" w:eastAsia="仿宋" w:cs="仿宋"/>
          <w:sz w:val="32"/>
          <w:szCs w:val="32"/>
        </w:rPr>
        <w:t>，主要是因为上级加大了对社会保障的投入。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民生资金</w:t>
      </w:r>
      <w:r>
        <w:rPr>
          <w:rFonts w:hint="eastAsia" w:ascii="Times New Roman" w:hAnsi="Times New Roman" w:eastAsia="仿宋_GB2312" w:cs="Times New Roman"/>
          <w:sz w:val="32"/>
          <w:szCs w:val="32"/>
          <w:lang w:eastAsia="zh-CN"/>
        </w:rPr>
        <w:t>等重点支出，体现在有关支出科目中。</w:t>
      </w:r>
    </w:p>
    <w:p>
      <w:pPr>
        <w:pStyle w:val="12"/>
        <w:rPr>
          <w:rFonts w:hAnsi="黑体" w:cs="Times New Roman"/>
          <w:b/>
          <w:bCs/>
          <w:sz w:val="32"/>
          <w:szCs w:val="32"/>
        </w:rPr>
      </w:pPr>
      <w:r>
        <w:rPr>
          <w:rFonts w:hint="eastAsia" w:hAnsi="黑体"/>
          <w:b/>
          <w:bCs/>
          <w:sz w:val="32"/>
          <w:szCs w:val="32"/>
        </w:rPr>
        <w:t>二、收入决算情况说明</w:t>
      </w:r>
    </w:p>
    <w:p>
      <w:pPr>
        <w:pStyle w:val="12"/>
        <w:ind w:firstLine="640" w:firstLineChars="20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_GB2312" w:hAnsi="仿宋" w:eastAsia="仿宋_GB2312"/>
          <w:sz w:val="32"/>
          <w:szCs w:val="32"/>
          <w:highlight w:val="none"/>
          <w:lang w:val="en-US" w:eastAsia="zh-CN"/>
        </w:rPr>
        <w:t>20399.85</w:t>
      </w:r>
      <w:r>
        <w:rPr>
          <w:rFonts w:hint="eastAsia" w:ascii="仿宋" w:hAnsi="仿宋" w:eastAsia="仿宋" w:cs="仿宋"/>
          <w:sz w:val="32"/>
          <w:szCs w:val="32"/>
        </w:rPr>
        <w:t>万元，其中：财政拨款收入</w:t>
      </w:r>
      <w:r>
        <w:rPr>
          <w:rFonts w:hint="eastAsia" w:ascii="仿宋_GB2312" w:hAnsi="仿宋" w:eastAsia="仿宋_GB2312"/>
          <w:sz w:val="32"/>
          <w:szCs w:val="32"/>
          <w:highlight w:val="none"/>
          <w:lang w:val="en-US" w:eastAsia="zh-CN"/>
        </w:rPr>
        <w:t>20399.85</w:t>
      </w:r>
      <w:r>
        <w:rPr>
          <w:rFonts w:hint="eastAsia" w:ascii="仿宋" w:hAnsi="仿宋" w:eastAsia="仿宋" w:cs="仿宋"/>
          <w:sz w:val="32"/>
          <w:szCs w:val="32"/>
        </w:rPr>
        <w:t>万元，占</w:t>
      </w:r>
      <w:r>
        <w:rPr>
          <w:rFonts w:ascii="仿宋" w:hAnsi="仿宋" w:eastAsia="仿宋" w:cs="仿宋"/>
          <w:sz w:val="32"/>
          <w:szCs w:val="32"/>
        </w:rPr>
        <w:t>100%</w:t>
      </w:r>
      <w:r>
        <w:rPr>
          <w:rFonts w:hint="eastAsia" w:ascii="仿宋" w:hAnsi="仿宋" w:eastAsia="仿宋" w:cs="仿宋"/>
          <w:sz w:val="32"/>
          <w:szCs w:val="32"/>
        </w:rPr>
        <w:t>；上级补助收入</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；事业收入</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；经营收入</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；附属单位上缴收入</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；其他收入</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w:t>
      </w:r>
    </w:p>
    <w:p>
      <w:pPr>
        <w:pStyle w:val="12"/>
        <w:rPr>
          <w:rFonts w:hAnsi="黑体" w:cs="Times New Roman"/>
          <w:b/>
          <w:bCs/>
          <w:sz w:val="32"/>
          <w:szCs w:val="32"/>
        </w:rPr>
      </w:pPr>
      <w:r>
        <w:rPr>
          <w:rFonts w:hint="eastAsia" w:hAnsi="黑体"/>
          <w:b/>
          <w:bCs/>
          <w:sz w:val="32"/>
          <w:szCs w:val="32"/>
        </w:rPr>
        <w:t>三、支出决算情况说明</w:t>
      </w:r>
    </w:p>
    <w:p>
      <w:pPr>
        <w:pStyle w:val="12"/>
        <w:ind w:firstLine="640" w:firstLineChars="20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_GB2312" w:hAnsi="仿宋" w:eastAsia="仿宋_GB2312"/>
          <w:sz w:val="32"/>
          <w:szCs w:val="32"/>
          <w:highlight w:val="none"/>
          <w:lang w:val="en-US" w:eastAsia="zh-CN"/>
        </w:rPr>
        <w:t>20399.85</w:t>
      </w:r>
      <w:r>
        <w:rPr>
          <w:rFonts w:hint="eastAsia" w:ascii="仿宋" w:hAnsi="仿宋" w:eastAsia="仿宋" w:cs="仿宋"/>
          <w:sz w:val="32"/>
          <w:szCs w:val="32"/>
        </w:rPr>
        <w:t>万元，其中：基本支出</w:t>
      </w:r>
      <w:r>
        <w:rPr>
          <w:rFonts w:hint="eastAsia" w:ascii="仿宋_GB2312" w:hAnsi="仿宋" w:eastAsia="仿宋_GB2312"/>
          <w:sz w:val="32"/>
          <w:szCs w:val="32"/>
          <w:highlight w:val="none"/>
          <w:lang w:val="en-US" w:eastAsia="zh-CN"/>
        </w:rPr>
        <w:t>912.42</w:t>
      </w:r>
      <w:r>
        <w:rPr>
          <w:rFonts w:hint="eastAsia" w:ascii="仿宋" w:hAnsi="仿宋" w:eastAsia="仿宋" w:cs="仿宋"/>
          <w:sz w:val="32"/>
          <w:szCs w:val="32"/>
        </w:rPr>
        <w:t>万元，占</w:t>
      </w:r>
      <w:r>
        <w:rPr>
          <w:rFonts w:ascii="仿宋" w:hAnsi="仿宋" w:eastAsia="仿宋" w:cs="仿宋"/>
          <w:sz w:val="32"/>
          <w:szCs w:val="32"/>
        </w:rPr>
        <w:t>4.</w:t>
      </w:r>
      <w:r>
        <w:rPr>
          <w:rFonts w:hint="eastAsia" w:ascii="仿宋" w:hAnsi="仿宋" w:eastAsia="仿宋" w:cs="仿宋"/>
          <w:sz w:val="32"/>
          <w:szCs w:val="32"/>
          <w:lang w:val="en-US" w:eastAsia="zh-CN"/>
        </w:rPr>
        <w:t>47</w:t>
      </w:r>
      <w:r>
        <w:rPr>
          <w:rFonts w:ascii="仿宋" w:hAnsi="仿宋" w:eastAsia="仿宋" w:cs="仿宋"/>
          <w:sz w:val="32"/>
          <w:szCs w:val="32"/>
        </w:rPr>
        <w:t>%</w:t>
      </w:r>
      <w:r>
        <w:rPr>
          <w:rFonts w:hint="eastAsia" w:ascii="仿宋" w:hAnsi="仿宋" w:eastAsia="仿宋" w:cs="仿宋"/>
          <w:sz w:val="32"/>
          <w:szCs w:val="32"/>
        </w:rPr>
        <w:t>；项目支出</w:t>
      </w:r>
      <w:r>
        <w:rPr>
          <w:rFonts w:hint="eastAsia" w:ascii="仿宋_GB2312" w:hAnsi="仿宋" w:eastAsia="仿宋_GB2312"/>
          <w:sz w:val="32"/>
          <w:szCs w:val="32"/>
          <w:highlight w:val="none"/>
          <w:lang w:val="en-US" w:eastAsia="zh-CN"/>
        </w:rPr>
        <w:t>19487.43</w:t>
      </w:r>
      <w:r>
        <w:rPr>
          <w:rFonts w:hint="eastAsia" w:ascii="仿宋" w:hAnsi="仿宋" w:eastAsia="仿宋" w:cs="仿宋"/>
          <w:sz w:val="32"/>
          <w:szCs w:val="32"/>
        </w:rPr>
        <w:t>万元，占</w:t>
      </w:r>
      <w:r>
        <w:rPr>
          <w:rFonts w:ascii="仿宋" w:hAnsi="仿宋" w:eastAsia="仿宋" w:cs="仿宋"/>
          <w:sz w:val="32"/>
          <w:szCs w:val="32"/>
        </w:rPr>
        <w:t>9</w:t>
      </w:r>
      <w:r>
        <w:rPr>
          <w:rFonts w:hint="eastAsia" w:ascii="仿宋" w:hAnsi="仿宋" w:eastAsia="仿宋" w:cs="仿宋"/>
          <w:sz w:val="32"/>
          <w:szCs w:val="32"/>
          <w:lang w:val="en-US" w:eastAsia="zh-CN"/>
        </w:rPr>
        <w:t>5.53</w:t>
      </w:r>
      <w:r>
        <w:rPr>
          <w:rFonts w:ascii="仿宋" w:hAnsi="仿宋" w:eastAsia="仿宋" w:cs="仿宋"/>
          <w:sz w:val="32"/>
          <w:szCs w:val="32"/>
        </w:rPr>
        <w:t>%</w:t>
      </w:r>
      <w:r>
        <w:rPr>
          <w:rFonts w:hint="eastAsia" w:ascii="仿宋" w:hAnsi="仿宋" w:eastAsia="仿宋" w:cs="仿宋"/>
          <w:sz w:val="32"/>
          <w:szCs w:val="32"/>
        </w:rPr>
        <w:t>；上缴上级支出</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；经营支出</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；对附属单位补助支出</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w:t>
      </w:r>
    </w:p>
    <w:p>
      <w:pPr>
        <w:pStyle w:val="12"/>
        <w:rPr>
          <w:rFonts w:hAnsi="黑体" w:cs="Times New Roman"/>
          <w:b/>
          <w:bCs/>
          <w:sz w:val="32"/>
          <w:szCs w:val="32"/>
        </w:rPr>
      </w:pPr>
      <w:r>
        <w:rPr>
          <w:rFonts w:hint="eastAsia" w:hAnsi="黑体"/>
          <w:b/>
          <w:bCs/>
          <w:sz w:val="32"/>
          <w:szCs w:val="32"/>
        </w:rPr>
        <w:t>四、财政拨款收入支出决算总体情况说明</w:t>
      </w:r>
    </w:p>
    <w:p>
      <w:pPr>
        <w:pStyle w:val="12"/>
        <w:ind w:firstLine="64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年度财政拨款收、支总计</w:t>
      </w:r>
      <w:r>
        <w:rPr>
          <w:rFonts w:hint="eastAsia" w:ascii="仿宋_GB2312" w:hAnsi="仿宋" w:eastAsia="仿宋_GB2312"/>
          <w:sz w:val="32"/>
          <w:szCs w:val="32"/>
          <w:highlight w:val="none"/>
          <w:lang w:val="en-US" w:eastAsia="zh-CN"/>
        </w:rPr>
        <w:t>20399.85</w:t>
      </w:r>
      <w:r>
        <w:rPr>
          <w:rFonts w:hint="eastAsia" w:ascii="仿宋" w:hAnsi="仿宋" w:eastAsia="仿宋" w:cs="仿宋"/>
          <w:sz w:val="32"/>
          <w:szCs w:val="32"/>
        </w:rPr>
        <w:t>万元，与上年相比，增加</w:t>
      </w:r>
      <w:r>
        <w:rPr>
          <w:rFonts w:hint="eastAsia" w:ascii="仿宋" w:hAnsi="仿宋" w:eastAsia="仿宋" w:cs="仿宋"/>
          <w:color w:val="auto"/>
          <w:sz w:val="32"/>
          <w:szCs w:val="32"/>
          <w:lang w:val="en-US" w:eastAsia="zh-CN"/>
        </w:rPr>
        <w:t>282.33</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增长</w:t>
      </w:r>
      <w:r>
        <w:rPr>
          <w:rFonts w:hint="eastAsia" w:ascii="仿宋" w:hAnsi="仿宋" w:eastAsia="仿宋" w:cs="仿宋"/>
          <w:sz w:val="32"/>
          <w:szCs w:val="32"/>
          <w:lang w:val="en-US" w:eastAsia="zh-CN"/>
        </w:rPr>
        <w:t>1.4</w:t>
      </w:r>
      <w:r>
        <w:rPr>
          <w:rFonts w:ascii="仿宋" w:hAnsi="仿宋" w:eastAsia="仿宋" w:cs="仿宋"/>
          <w:sz w:val="32"/>
          <w:szCs w:val="32"/>
        </w:rPr>
        <w:t>%</w:t>
      </w:r>
      <w:r>
        <w:rPr>
          <w:rFonts w:hint="eastAsia" w:ascii="仿宋" w:hAnsi="仿宋" w:eastAsia="仿宋" w:cs="仿宋"/>
          <w:sz w:val="32"/>
          <w:szCs w:val="32"/>
        </w:rPr>
        <w:t>，主要是因为上级加大了对社会保障的投入。</w:t>
      </w:r>
    </w:p>
    <w:p>
      <w:pPr>
        <w:pStyle w:val="12"/>
        <w:rPr>
          <w:rFonts w:hAnsi="黑体" w:cs="Times New Roman"/>
          <w:b/>
          <w:bCs/>
          <w:sz w:val="32"/>
          <w:szCs w:val="32"/>
        </w:rPr>
      </w:pPr>
      <w:r>
        <w:rPr>
          <w:rFonts w:hint="eastAsia" w:hAnsi="黑体"/>
          <w:b/>
          <w:bCs/>
          <w:sz w:val="32"/>
          <w:szCs w:val="32"/>
        </w:rPr>
        <w:t>五、一般公共预算财政拨款支出决算情况说明</w:t>
      </w:r>
    </w:p>
    <w:p>
      <w:pPr>
        <w:pStyle w:val="12"/>
        <w:ind w:firstLine="640" w:firstLineChars="200"/>
        <w:rPr>
          <w:rFonts w:ascii="宋体" w:hAnsi="宋体" w:eastAsia="宋体" w:cs="Times New Roman"/>
          <w:b/>
          <w:bCs/>
          <w:sz w:val="32"/>
          <w:szCs w:val="32"/>
        </w:rPr>
      </w:pPr>
      <w:r>
        <w:rPr>
          <w:rFonts w:hint="eastAsia" w:ascii="宋体" w:hAnsi="宋体" w:eastAsia="宋体" w:cs="宋体"/>
          <w:b/>
          <w:bCs/>
          <w:sz w:val="32"/>
          <w:szCs w:val="32"/>
        </w:rPr>
        <w:t>（一）财政拨款支出决算总体情况</w:t>
      </w:r>
    </w:p>
    <w:p>
      <w:pPr>
        <w:pStyle w:val="12"/>
        <w:ind w:firstLine="800" w:firstLineChars="25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_GB2312" w:hAnsi="仿宋" w:eastAsia="仿宋_GB2312"/>
          <w:sz w:val="32"/>
          <w:szCs w:val="32"/>
          <w:highlight w:val="none"/>
          <w:lang w:val="en-US" w:eastAsia="zh-CN"/>
        </w:rPr>
        <w:t>19534.39</w:t>
      </w:r>
      <w:r>
        <w:rPr>
          <w:rFonts w:hint="eastAsia" w:ascii="仿宋" w:hAnsi="仿宋" w:eastAsia="仿宋" w:cs="仿宋"/>
          <w:sz w:val="32"/>
          <w:szCs w:val="32"/>
        </w:rPr>
        <w:t>万元，占本年支出合计的</w:t>
      </w:r>
      <w:r>
        <w:rPr>
          <w:rFonts w:ascii="仿宋" w:hAnsi="仿宋" w:eastAsia="仿宋" w:cs="仿宋"/>
          <w:sz w:val="32"/>
          <w:szCs w:val="32"/>
        </w:rPr>
        <w:t>100%</w:t>
      </w:r>
      <w:r>
        <w:rPr>
          <w:rFonts w:hint="eastAsia" w:ascii="仿宋" w:hAnsi="仿宋" w:eastAsia="仿宋" w:cs="仿宋"/>
          <w:sz w:val="32"/>
          <w:szCs w:val="32"/>
        </w:rPr>
        <w:t>，与上年相比，财政拨款支出增加</w:t>
      </w:r>
      <w:r>
        <w:rPr>
          <w:rFonts w:hint="eastAsia" w:ascii="仿宋" w:hAnsi="仿宋" w:eastAsia="仿宋" w:cs="仿宋"/>
          <w:color w:val="auto"/>
          <w:sz w:val="32"/>
          <w:szCs w:val="32"/>
          <w:lang w:val="en-US" w:eastAsia="zh-CN"/>
        </w:rPr>
        <w:t>253.76</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1.30</w:t>
      </w:r>
      <w:r>
        <w:rPr>
          <w:rFonts w:ascii="仿宋" w:hAnsi="仿宋" w:eastAsia="仿宋" w:cs="仿宋"/>
          <w:sz w:val="32"/>
          <w:szCs w:val="32"/>
        </w:rPr>
        <w:t>%</w:t>
      </w:r>
      <w:r>
        <w:rPr>
          <w:rFonts w:hint="eastAsia" w:ascii="仿宋" w:hAnsi="仿宋" w:eastAsia="仿宋" w:cs="仿宋"/>
          <w:sz w:val="32"/>
          <w:szCs w:val="32"/>
        </w:rPr>
        <w:t>，主要是因为上级加大了对社会保障的投入。</w:t>
      </w:r>
    </w:p>
    <w:p>
      <w:pPr>
        <w:pStyle w:val="12"/>
        <w:ind w:firstLine="480" w:firstLineChars="150"/>
        <w:rPr>
          <w:rFonts w:ascii="宋体" w:hAnsi="宋体" w:eastAsia="宋体" w:cs="Times New Roman"/>
          <w:b/>
          <w:bCs/>
          <w:sz w:val="32"/>
          <w:szCs w:val="32"/>
        </w:rPr>
      </w:pPr>
      <w:r>
        <w:rPr>
          <w:rFonts w:hint="eastAsia" w:ascii="宋体" w:hAnsi="宋体" w:eastAsia="宋体" w:cs="宋体"/>
          <w:b/>
          <w:bCs/>
          <w:sz w:val="32"/>
          <w:szCs w:val="32"/>
        </w:rPr>
        <w:t>（二）财政拨款支出决算结构情况</w:t>
      </w:r>
    </w:p>
    <w:p>
      <w:pPr>
        <w:pStyle w:val="12"/>
        <w:ind w:firstLine="640" w:firstLineChars="20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_GB2312" w:hAnsi="仿宋" w:eastAsia="仿宋_GB2312"/>
          <w:sz w:val="32"/>
          <w:szCs w:val="32"/>
          <w:highlight w:val="none"/>
          <w:lang w:val="en-US" w:eastAsia="zh-CN"/>
        </w:rPr>
        <w:t>19534.39</w:t>
      </w:r>
      <w:r>
        <w:rPr>
          <w:rFonts w:hint="eastAsia" w:ascii="仿宋" w:hAnsi="仿宋" w:eastAsia="仿宋" w:cs="仿宋"/>
          <w:sz w:val="32"/>
          <w:szCs w:val="32"/>
        </w:rPr>
        <w:t>万元，主要用于以下方面：社会保障和就业支出</w:t>
      </w:r>
      <w:r>
        <w:rPr>
          <w:rFonts w:ascii="仿宋" w:hAnsi="仿宋" w:eastAsia="仿宋" w:cs="仿宋"/>
          <w:sz w:val="32"/>
          <w:szCs w:val="32"/>
        </w:rPr>
        <w:t>19</w:t>
      </w:r>
      <w:r>
        <w:rPr>
          <w:rFonts w:hint="eastAsia" w:ascii="仿宋" w:hAnsi="仿宋" w:eastAsia="仿宋" w:cs="仿宋"/>
          <w:sz w:val="32"/>
          <w:szCs w:val="32"/>
          <w:lang w:val="en-US" w:eastAsia="zh-CN"/>
        </w:rPr>
        <w:t>480.88</w:t>
      </w:r>
      <w:r>
        <w:rPr>
          <w:rFonts w:hint="eastAsia" w:ascii="仿宋" w:hAnsi="仿宋" w:eastAsia="仿宋" w:cs="仿宋"/>
          <w:sz w:val="32"/>
          <w:szCs w:val="32"/>
        </w:rPr>
        <w:t>万元，占</w:t>
      </w:r>
      <w:r>
        <w:rPr>
          <w:rFonts w:ascii="仿宋" w:hAnsi="仿宋" w:eastAsia="仿宋" w:cs="仿宋"/>
          <w:sz w:val="32"/>
          <w:szCs w:val="32"/>
        </w:rPr>
        <w:t>99.8%</w:t>
      </w:r>
      <w:r>
        <w:rPr>
          <w:rFonts w:hint="eastAsia" w:ascii="仿宋" w:hAnsi="仿宋" w:eastAsia="仿宋" w:cs="仿宋"/>
          <w:sz w:val="32"/>
          <w:szCs w:val="32"/>
        </w:rPr>
        <w:t>，卫生健康支出</w:t>
      </w:r>
      <w:r>
        <w:rPr>
          <w:rFonts w:ascii="仿宋" w:hAnsi="仿宋" w:eastAsia="仿宋" w:cs="仿宋"/>
          <w:sz w:val="32"/>
          <w:szCs w:val="32"/>
        </w:rPr>
        <w:t>3</w:t>
      </w:r>
      <w:r>
        <w:rPr>
          <w:rFonts w:hint="eastAsia" w:ascii="仿宋" w:hAnsi="仿宋" w:eastAsia="仿宋" w:cs="仿宋"/>
          <w:sz w:val="32"/>
          <w:szCs w:val="32"/>
          <w:lang w:val="en-US" w:eastAsia="zh-CN"/>
        </w:rPr>
        <w:t>8.51</w:t>
      </w:r>
      <w:r>
        <w:rPr>
          <w:rFonts w:hint="eastAsia" w:ascii="仿宋" w:hAnsi="仿宋" w:eastAsia="仿宋" w:cs="仿宋"/>
          <w:sz w:val="32"/>
          <w:szCs w:val="32"/>
        </w:rPr>
        <w:t>万元，占</w:t>
      </w:r>
      <w:r>
        <w:rPr>
          <w:rFonts w:ascii="仿宋" w:hAnsi="仿宋" w:eastAsia="仿宋" w:cs="仿宋"/>
          <w:sz w:val="32"/>
          <w:szCs w:val="32"/>
        </w:rPr>
        <w:t>0.2%</w:t>
      </w:r>
      <w:r>
        <w:rPr>
          <w:rFonts w:hint="eastAsia" w:ascii="仿宋" w:hAnsi="仿宋" w:eastAsia="仿宋" w:cs="仿宋"/>
          <w:sz w:val="32"/>
          <w:szCs w:val="32"/>
        </w:rPr>
        <w:t>。</w:t>
      </w:r>
    </w:p>
    <w:p>
      <w:pPr>
        <w:pStyle w:val="12"/>
        <w:ind w:firstLine="800" w:firstLineChars="250"/>
        <w:rPr>
          <w:rFonts w:ascii="宋体" w:hAnsi="宋体" w:eastAsia="宋体" w:cs="Times New Roman"/>
          <w:b/>
          <w:bCs/>
          <w:sz w:val="32"/>
          <w:szCs w:val="32"/>
        </w:rPr>
      </w:pPr>
      <w:r>
        <w:rPr>
          <w:rFonts w:hint="eastAsia" w:ascii="宋体" w:hAnsi="宋体" w:eastAsia="宋体" w:cs="宋体"/>
          <w:b/>
          <w:bCs/>
          <w:sz w:val="32"/>
          <w:szCs w:val="32"/>
        </w:rPr>
        <w:t>（三）财政拨款支出决算具体情况</w:t>
      </w:r>
    </w:p>
    <w:p>
      <w:pPr>
        <w:pStyle w:val="12"/>
        <w:ind w:firstLine="800" w:firstLineChars="25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21763.69</w:t>
      </w:r>
      <w:r>
        <w:rPr>
          <w:rFonts w:hint="eastAsia" w:ascii="仿宋" w:hAnsi="仿宋" w:eastAsia="仿宋" w:cs="仿宋"/>
          <w:sz w:val="32"/>
          <w:szCs w:val="32"/>
        </w:rPr>
        <w:t>万元，支出决算数为</w:t>
      </w:r>
      <w:r>
        <w:rPr>
          <w:rFonts w:hint="eastAsia" w:ascii="仿宋_GB2312" w:hAnsi="仿宋" w:eastAsia="仿宋_GB2312"/>
          <w:sz w:val="32"/>
          <w:szCs w:val="32"/>
          <w:highlight w:val="none"/>
          <w:lang w:val="en-US" w:eastAsia="zh-CN"/>
        </w:rPr>
        <w:t>19534.39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89.75</w:t>
      </w:r>
      <w:r>
        <w:rPr>
          <w:rFonts w:ascii="仿宋" w:hAnsi="仿宋" w:eastAsia="仿宋" w:cs="仿宋"/>
          <w:sz w:val="32"/>
          <w:szCs w:val="32"/>
        </w:rPr>
        <w:t>%</w:t>
      </w:r>
      <w:r>
        <w:rPr>
          <w:rFonts w:hint="eastAsia" w:ascii="仿宋" w:hAnsi="仿宋" w:eastAsia="仿宋" w:cs="仿宋"/>
          <w:sz w:val="32"/>
          <w:szCs w:val="32"/>
        </w:rPr>
        <w:t>，其中：</w:t>
      </w:r>
    </w:p>
    <w:p>
      <w:pPr>
        <w:pStyle w:val="12"/>
        <w:ind w:firstLine="800" w:firstLineChars="25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、社会保障和就业支出（类）民政管理事务（款）行政运行（项）。</w:t>
      </w:r>
    </w:p>
    <w:p>
      <w:pPr>
        <w:pStyle w:val="12"/>
        <w:ind w:firstLine="800" w:firstLineChars="250"/>
        <w:rPr>
          <w:rFonts w:ascii="仿宋" w:hAnsi="仿宋" w:eastAsia="仿宋" w:cs="Times New Roman"/>
          <w:sz w:val="32"/>
          <w:szCs w:val="32"/>
        </w:rPr>
      </w:pPr>
      <w:r>
        <w:rPr>
          <w:rFonts w:hint="eastAsia" w:ascii="仿宋" w:hAnsi="仿宋" w:eastAsia="仿宋" w:cs="仿宋"/>
          <w:sz w:val="32"/>
          <w:szCs w:val="32"/>
        </w:rPr>
        <w:t>年初预算</w:t>
      </w:r>
      <w:r>
        <w:rPr>
          <w:rFonts w:ascii="仿宋" w:hAnsi="仿宋" w:eastAsia="仿宋" w:cs="仿宋"/>
          <w:sz w:val="32"/>
          <w:szCs w:val="32"/>
        </w:rPr>
        <w:t>8</w:t>
      </w:r>
      <w:r>
        <w:rPr>
          <w:rFonts w:hint="eastAsia" w:ascii="仿宋" w:hAnsi="仿宋" w:eastAsia="仿宋" w:cs="仿宋"/>
          <w:sz w:val="32"/>
          <w:szCs w:val="32"/>
          <w:lang w:val="en-US" w:eastAsia="zh-CN"/>
        </w:rPr>
        <w:t>12.9</w:t>
      </w:r>
      <w:r>
        <w:rPr>
          <w:rFonts w:hint="eastAsia" w:ascii="仿宋" w:hAnsi="仿宋" w:eastAsia="仿宋" w:cs="仿宋"/>
          <w:sz w:val="32"/>
          <w:szCs w:val="32"/>
        </w:rPr>
        <w:t>万元，支出决算为</w:t>
      </w:r>
      <w:r>
        <w:rPr>
          <w:rFonts w:ascii="仿宋" w:hAnsi="仿宋" w:eastAsia="仿宋" w:cs="仿宋"/>
          <w:sz w:val="32"/>
          <w:szCs w:val="32"/>
        </w:rPr>
        <w:t>8</w:t>
      </w:r>
      <w:r>
        <w:rPr>
          <w:rFonts w:hint="eastAsia" w:ascii="仿宋" w:hAnsi="仿宋" w:eastAsia="仿宋" w:cs="仿宋"/>
          <w:sz w:val="32"/>
          <w:szCs w:val="32"/>
          <w:lang w:val="en-US" w:eastAsia="zh-CN"/>
        </w:rPr>
        <w:t>02.78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98</w:t>
      </w:r>
      <w:r>
        <w:rPr>
          <w:rFonts w:ascii="仿宋" w:hAnsi="仿宋" w:eastAsia="仿宋" w:cs="仿宋"/>
          <w:sz w:val="32"/>
          <w:szCs w:val="32"/>
        </w:rPr>
        <w:t>.</w:t>
      </w:r>
      <w:r>
        <w:rPr>
          <w:rFonts w:hint="eastAsia" w:ascii="仿宋" w:hAnsi="仿宋" w:eastAsia="仿宋" w:cs="仿宋"/>
          <w:sz w:val="32"/>
          <w:szCs w:val="32"/>
          <w:lang w:val="en-US" w:eastAsia="zh-CN"/>
        </w:rPr>
        <w:t>75</w:t>
      </w:r>
      <w:r>
        <w:rPr>
          <w:rFonts w:ascii="仿宋" w:hAnsi="仿宋" w:eastAsia="仿宋" w:cs="仿宋"/>
          <w:sz w:val="32"/>
          <w:szCs w:val="32"/>
        </w:rPr>
        <w:t>%</w:t>
      </w:r>
      <w:r>
        <w:rPr>
          <w:rFonts w:hint="eastAsia" w:ascii="仿宋" w:hAnsi="仿宋" w:eastAsia="仿宋" w:cs="仿宋"/>
          <w:sz w:val="32"/>
          <w:szCs w:val="32"/>
        </w:rPr>
        <w:t>，决算数小于年初预算数的主要原因是：据实拨付工资绩效等。</w:t>
      </w:r>
    </w:p>
    <w:p>
      <w:pPr>
        <w:pStyle w:val="12"/>
        <w:ind w:firstLine="800" w:firstLineChars="25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、社会保障和就业支出（类）民政管理事务（款）社会组织管理（项）。</w:t>
      </w:r>
    </w:p>
    <w:p>
      <w:pPr>
        <w:pStyle w:val="12"/>
        <w:ind w:firstLine="800" w:firstLineChars="250"/>
        <w:rPr>
          <w:rFonts w:ascii="仿宋" w:hAnsi="仿宋" w:eastAsia="仿宋" w:cs="Times New Roman"/>
          <w:sz w:val="32"/>
          <w:szCs w:val="32"/>
        </w:rPr>
      </w:pPr>
      <w:r>
        <w:rPr>
          <w:rFonts w:hint="eastAsia" w:ascii="仿宋" w:hAnsi="仿宋" w:eastAsia="仿宋" w:cs="仿宋"/>
          <w:sz w:val="32"/>
          <w:szCs w:val="32"/>
        </w:rPr>
        <w:t>年初预算</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1.08</w:t>
      </w:r>
      <w:r>
        <w:rPr>
          <w:rFonts w:hint="eastAsia" w:ascii="仿宋" w:hAnsi="仿宋" w:eastAsia="仿宋" w:cs="仿宋"/>
          <w:sz w:val="32"/>
          <w:szCs w:val="32"/>
        </w:rPr>
        <w:t>万元，决算数</w:t>
      </w:r>
      <w:r>
        <w:rPr>
          <w:rFonts w:hint="eastAsia" w:ascii="仿宋" w:hAnsi="仿宋" w:eastAsia="仿宋" w:cs="仿宋"/>
          <w:sz w:val="32"/>
          <w:szCs w:val="32"/>
          <w:lang w:val="en-US" w:eastAsia="zh-CN"/>
        </w:rPr>
        <w:t>大</w:t>
      </w:r>
      <w:r>
        <w:rPr>
          <w:rFonts w:hint="eastAsia" w:ascii="仿宋" w:hAnsi="仿宋" w:eastAsia="仿宋" w:cs="仿宋"/>
          <w:sz w:val="32"/>
          <w:szCs w:val="32"/>
        </w:rPr>
        <w:t>于年初预算数</w:t>
      </w:r>
      <w:r>
        <w:rPr>
          <w:rFonts w:hint="eastAsia" w:ascii="仿宋" w:hAnsi="仿宋" w:eastAsia="仿宋" w:cs="仿宋"/>
          <w:sz w:val="32"/>
          <w:szCs w:val="32"/>
          <w:lang w:val="en-US" w:eastAsia="zh-CN"/>
        </w:rPr>
        <w:t>的主要原因是财政对社会组织的投入</w:t>
      </w:r>
      <w:r>
        <w:rPr>
          <w:rFonts w:hint="eastAsia" w:ascii="仿宋" w:hAnsi="仿宋" w:eastAsia="仿宋" w:cs="仿宋"/>
          <w:sz w:val="32"/>
          <w:szCs w:val="32"/>
        </w:rPr>
        <w:t>。</w:t>
      </w:r>
    </w:p>
    <w:p>
      <w:pPr>
        <w:pStyle w:val="12"/>
        <w:ind w:firstLine="800" w:firstLineChars="250"/>
        <w:rPr>
          <w:rFonts w:ascii="仿宋" w:hAnsi="仿宋" w:eastAsia="仿宋" w:cs="Times New Roman"/>
          <w:sz w:val="32"/>
          <w:szCs w:val="32"/>
        </w:rPr>
      </w:pPr>
      <w:r>
        <w:rPr>
          <w:rFonts w:ascii="仿宋" w:hAnsi="仿宋" w:eastAsia="仿宋" w:cs="仿宋"/>
          <w:sz w:val="32"/>
          <w:szCs w:val="32"/>
        </w:rPr>
        <w:t>3</w:t>
      </w:r>
      <w:r>
        <w:rPr>
          <w:rFonts w:hint="eastAsia" w:ascii="仿宋" w:hAnsi="仿宋" w:eastAsia="仿宋" w:cs="仿宋"/>
          <w:sz w:val="32"/>
          <w:szCs w:val="32"/>
        </w:rPr>
        <w:t>、社会保障和就业支出（类）民政管理事务（款）其他民政事务支出（项）。</w:t>
      </w:r>
    </w:p>
    <w:p>
      <w:pPr>
        <w:pStyle w:val="12"/>
        <w:ind w:firstLine="800" w:firstLineChars="25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165</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141.34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85.66</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、社会保障和就业支出（类）行政事业单位养老支出（款）机关事业单位基本养老保险缴费支出（项）。</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57.47</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71.13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123.76</w:t>
      </w:r>
      <w:r>
        <w:rPr>
          <w:rFonts w:ascii="仿宋" w:hAnsi="仿宋" w:eastAsia="仿宋" w:cs="仿宋"/>
          <w:sz w:val="32"/>
          <w:szCs w:val="32"/>
        </w:rPr>
        <w:t>%</w:t>
      </w:r>
      <w:r>
        <w:rPr>
          <w:rFonts w:hint="eastAsia" w:ascii="仿宋" w:hAnsi="仿宋" w:eastAsia="仿宋" w:cs="仿宋"/>
          <w:sz w:val="32"/>
          <w:szCs w:val="32"/>
        </w:rPr>
        <w:t>，决算数大于年初预算数的主要原因是：据实核拨。</w:t>
      </w:r>
    </w:p>
    <w:p>
      <w:pPr>
        <w:pStyle w:val="12"/>
        <w:ind w:left="640"/>
        <w:rPr>
          <w:rFonts w:ascii="仿宋" w:hAnsi="仿宋" w:eastAsia="仿宋" w:cs="Times New Roman"/>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、社会保障和就业支出（类）抚恤（款）死亡抚恤（项）。</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年初预算为</w:t>
      </w:r>
      <w:r>
        <w:rPr>
          <w:rFonts w:ascii="仿宋" w:hAnsi="仿宋" w:eastAsia="仿宋" w:cs="仿宋"/>
          <w:sz w:val="32"/>
          <w:szCs w:val="32"/>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20.93</w:t>
      </w:r>
      <w:r>
        <w:rPr>
          <w:rFonts w:hint="eastAsia" w:ascii="仿宋" w:hAnsi="仿宋" w:eastAsia="仿宋" w:cs="仿宋"/>
          <w:sz w:val="32"/>
          <w:szCs w:val="32"/>
        </w:rPr>
        <w:t>万元，决算数大于年初预算数的主要原因是：据实核拨。</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、社会保障和就业支出（类）社会福利（款）儿童福利（项）。</w:t>
      </w:r>
    </w:p>
    <w:p>
      <w:pPr>
        <w:pStyle w:val="12"/>
        <w:ind w:firstLine="800" w:firstLineChars="25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1613.4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1165.77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72.25</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、社会保障和就业支出（类）社会福利（款）老年福利（项）。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1124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1082.26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96.29</w:t>
      </w:r>
      <w:r>
        <w:rPr>
          <w:rFonts w:ascii="仿宋" w:hAnsi="仿宋" w:eastAsia="仿宋" w:cs="仿宋"/>
          <w:sz w:val="32"/>
          <w:szCs w:val="32"/>
        </w:rPr>
        <w:t>%</w:t>
      </w:r>
      <w:r>
        <w:rPr>
          <w:rFonts w:hint="eastAsia" w:ascii="仿宋" w:hAnsi="仿宋" w:eastAsia="仿宋" w:cs="仿宋"/>
          <w:sz w:val="32"/>
          <w:szCs w:val="32"/>
        </w:rPr>
        <w:t>，决算数小于年初预算数的主要原因是：据实核拨。</w:t>
      </w:r>
    </w:p>
    <w:p>
      <w:pPr>
        <w:pStyle w:val="12"/>
        <w:ind w:firstLine="640"/>
        <w:rPr>
          <w:rFonts w:ascii="仿宋" w:hAnsi="仿宋" w:eastAsia="仿宋" w:cs="Times New Roman"/>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、社会保障和就业支出（类）社会福利（款）殡葬（项）。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ascii="仿宋" w:hAnsi="仿宋" w:eastAsia="仿宋" w:cs="仿宋"/>
          <w:sz w:val="32"/>
          <w:szCs w:val="32"/>
        </w:rPr>
        <w:t>120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28.5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23.75</w:t>
      </w:r>
      <w:r>
        <w:rPr>
          <w:rFonts w:ascii="仿宋" w:hAnsi="仿宋" w:eastAsia="仿宋" w:cs="仿宋"/>
          <w:sz w:val="32"/>
          <w:szCs w:val="32"/>
        </w:rPr>
        <w:t>%</w:t>
      </w:r>
      <w:r>
        <w:rPr>
          <w:rFonts w:hint="eastAsia" w:ascii="仿宋" w:hAnsi="仿宋" w:eastAsia="仿宋" w:cs="仿宋"/>
          <w:sz w:val="32"/>
          <w:szCs w:val="32"/>
        </w:rPr>
        <w:t>，决算数小于年初预算数的主要原因是：据实核拨。</w:t>
      </w:r>
    </w:p>
    <w:p>
      <w:pPr>
        <w:pStyle w:val="12"/>
        <w:ind w:firstLine="640"/>
        <w:rPr>
          <w:rFonts w:ascii="仿宋" w:hAnsi="仿宋" w:eastAsia="仿宋" w:cs="Times New Roman"/>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、社会保障和就业支出（类）社会福利（款）社会福利事业单位（项）。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ascii="仿宋" w:hAnsi="仿宋" w:eastAsia="仿宋" w:cs="仿宋"/>
          <w:sz w:val="32"/>
          <w:szCs w:val="32"/>
        </w:rPr>
        <w:t>3</w:t>
      </w:r>
      <w:r>
        <w:rPr>
          <w:rFonts w:hint="eastAsia" w:ascii="仿宋" w:hAnsi="仿宋" w:eastAsia="仿宋" w:cs="仿宋"/>
          <w:sz w:val="32"/>
          <w:szCs w:val="32"/>
          <w:lang w:val="en-US" w:eastAsia="zh-CN"/>
        </w:rPr>
        <w:t>70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300.94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81.33</w:t>
      </w:r>
      <w:r>
        <w:rPr>
          <w:rFonts w:ascii="仿宋" w:hAnsi="仿宋" w:eastAsia="仿宋" w:cs="仿宋"/>
          <w:sz w:val="32"/>
          <w:szCs w:val="32"/>
        </w:rPr>
        <w:t>%</w:t>
      </w:r>
      <w:r>
        <w:rPr>
          <w:rFonts w:hint="eastAsia" w:ascii="仿宋" w:hAnsi="仿宋" w:eastAsia="仿宋" w:cs="仿宋"/>
          <w:sz w:val="32"/>
          <w:szCs w:val="32"/>
        </w:rPr>
        <w:t>，决算数小于年初预算数的主要原因是：据实核拨。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0</w:t>
      </w:r>
      <w:r>
        <w:rPr>
          <w:rFonts w:hint="eastAsia" w:ascii="仿宋" w:hAnsi="仿宋" w:eastAsia="仿宋" w:cs="仿宋"/>
          <w:sz w:val="32"/>
          <w:szCs w:val="32"/>
        </w:rPr>
        <w:t>、社会保障和就业支出（类）残疾人事业（款）残疾人生活和护理补贴（项）。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1260</w:t>
      </w:r>
      <w:r>
        <w:rPr>
          <w:rFonts w:hint="eastAsia" w:ascii="仿宋" w:hAnsi="仿宋" w:eastAsia="仿宋" w:cs="仿宋"/>
          <w:sz w:val="32"/>
          <w:szCs w:val="32"/>
        </w:rPr>
        <w:t>万元，支出决算为</w:t>
      </w:r>
      <w:r>
        <w:rPr>
          <w:rFonts w:ascii="仿宋" w:hAnsi="仿宋" w:eastAsia="仿宋" w:cs="仿宋"/>
          <w:sz w:val="32"/>
          <w:szCs w:val="32"/>
        </w:rPr>
        <w:t>1</w:t>
      </w:r>
      <w:r>
        <w:rPr>
          <w:rFonts w:hint="eastAsia" w:ascii="仿宋" w:hAnsi="仿宋" w:eastAsia="仿宋" w:cs="仿宋"/>
          <w:sz w:val="32"/>
          <w:szCs w:val="32"/>
          <w:lang w:val="en-US" w:eastAsia="zh-CN"/>
        </w:rPr>
        <w:t>300.12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103.18</w:t>
      </w:r>
      <w:r>
        <w:rPr>
          <w:rFonts w:ascii="仿宋" w:hAnsi="仿宋" w:eastAsia="仿宋" w:cs="仿宋"/>
          <w:sz w:val="32"/>
          <w:szCs w:val="32"/>
        </w:rPr>
        <w:t>%</w:t>
      </w:r>
      <w:r>
        <w:rPr>
          <w:rFonts w:hint="eastAsia" w:ascii="仿宋" w:hAnsi="仿宋" w:eastAsia="仿宋" w:cs="仿宋"/>
          <w:sz w:val="32"/>
          <w:szCs w:val="32"/>
        </w:rPr>
        <w:t>，决算数大于年初预算数的主要原因是：上级加大对此项工作的投入。</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1</w:t>
      </w:r>
      <w:r>
        <w:rPr>
          <w:rFonts w:hint="eastAsia" w:ascii="仿宋" w:hAnsi="仿宋" w:eastAsia="仿宋" w:cs="仿宋"/>
          <w:sz w:val="32"/>
          <w:szCs w:val="32"/>
        </w:rPr>
        <w:t>、社会保障和就业支出（类）最低生活保障（款）城市最低生活保障金支出（项）。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1790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1578.36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88.18</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2</w:t>
      </w:r>
      <w:r>
        <w:rPr>
          <w:rFonts w:hint="eastAsia" w:ascii="仿宋" w:hAnsi="仿宋" w:eastAsia="仿宋" w:cs="仿宋"/>
          <w:sz w:val="32"/>
          <w:szCs w:val="32"/>
        </w:rPr>
        <w:t>、社会保障和就业支出（类）最低生活保障（款）农村最低生活保障金支出（项）。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7930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7667.54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96.69</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、社会保障和就业支出（类）临时救助（款）临时救助支出（项）。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500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415.98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83.2</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4</w:t>
      </w:r>
      <w:r>
        <w:rPr>
          <w:rFonts w:hint="eastAsia" w:ascii="仿宋" w:hAnsi="仿宋" w:eastAsia="仿宋" w:cs="仿宋"/>
          <w:sz w:val="32"/>
          <w:szCs w:val="32"/>
        </w:rPr>
        <w:t>、社会保障和就业支出（类）临时救助（款）流浪乞讨人员救助支出（项）。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47.53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59.41</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5</w:t>
      </w:r>
      <w:r>
        <w:rPr>
          <w:rFonts w:hint="eastAsia" w:ascii="仿宋" w:hAnsi="仿宋" w:eastAsia="仿宋" w:cs="仿宋"/>
          <w:sz w:val="32"/>
          <w:szCs w:val="32"/>
        </w:rPr>
        <w:t>、社会保障和就业支出（类）特困人员救助供养（款）城市特困人员救助供养支出（项）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80</w:t>
      </w:r>
      <w:r>
        <w:rPr>
          <w:rFonts w:hint="eastAsia" w:ascii="仿宋" w:hAnsi="仿宋" w:eastAsia="仿宋" w:cs="仿宋"/>
          <w:sz w:val="32"/>
          <w:szCs w:val="32"/>
        </w:rPr>
        <w:t>万元，支出决算为</w:t>
      </w:r>
      <w:r>
        <w:rPr>
          <w:rFonts w:ascii="仿宋" w:hAnsi="仿宋" w:eastAsia="仿宋" w:cs="仿宋"/>
          <w:sz w:val="32"/>
          <w:szCs w:val="32"/>
        </w:rPr>
        <w:t>1</w:t>
      </w:r>
      <w:r>
        <w:rPr>
          <w:rFonts w:hint="eastAsia" w:ascii="仿宋" w:hAnsi="仿宋" w:eastAsia="仿宋" w:cs="仿宋"/>
          <w:sz w:val="32"/>
          <w:szCs w:val="32"/>
          <w:lang w:val="en-US" w:eastAsia="zh-CN"/>
        </w:rPr>
        <w:t>08.53</w:t>
      </w:r>
      <w:r>
        <w:rPr>
          <w:rFonts w:hint="eastAsia" w:ascii="仿宋" w:hAnsi="仿宋" w:eastAsia="仿宋" w:cs="仿宋"/>
          <w:sz w:val="32"/>
          <w:szCs w:val="32"/>
        </w:rPr>
        <w:t>万元，完成年初预算的</w:t>
      </w:r>
      <w:r>
        <w:rPr>
          <w:rFonts w:ascii="仿宋" w:hAnsi="仿宋" w:eastAsia="仿宋" w:cs="仿宋"/>
          <w:sz w:val="32"/>
          <w:szCs w:val="32"/>
        </w:rPr>
        <w:t>1</w:t>
      </w:r>
      <w:r>
        <w:rPr>
          <w:rFonts w:hint="eastAsia" w:ascii="仿宋" w:hAnsi="仿宋" w:eastAsia="仿宋" w:cs="仿宋"/>
          <w:sz w:val="32"/>
          <w:szCs w:val="32"/>
          <w:lang w:val="en-US" w:eastAsia="zh-CN"/>
        </w:rPr>
        <w:t>35.66</w:t>
      </w:r>
      <w:r>
        <w:rPr>
          <w:rFonts w:ascii="仿宋" w:hAnsi="仿宋" w:eastAsia="仿宋" w:cs="仿宋"/>
          <w:sz w:val="32"/>
          <w:szCs w:val="32"/>
        </w:rPr>
        <w:t>%</w:t>
      </w:r>
      <w:r>
        <w:rPr>
          <w:rFonts w:hint="eastAsia" w:ascii="仿宋" w:hAnsi="仿宋" w:eastAsia="仿宋" w:cs="仿宋"/>
          <w:sz w:val="32"/>
          <w:szCs w:val="32"/>
        </w:rPr>
        <w:t>，决算数大于年初预算数的主要原因是：上级对加大此项工作的投入。</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6</w:t>
      </w:r>
      <w:r>
        <w:rPr>
          <w:rFonts w:hint="eastAsia" w:ascii="仿宋" w:hAnsi="仿宋" w:eastAsia="仿宋" w:cs="仿宋"/>
          <w:sz w:val="32"/>
          <w:szCs w:val="32"/>
        </w:rPr>
        <w:t>、社会保障和就业支出（类）特困人员救助供养（款）农村特困人员救助供养支出（项）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5932.9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4716.81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79.50</w:t>
      </w:r>
      <w:r>
        <w:rPr>
          <w:rFonts w:ascii="仿宋" w:hAnsi="仿宋" w:eastAsia="仿宋" w:cs="仿宋"/>
          <w:sz w:val="32"/>
          <w:szCs w:val="32"/>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小</w:t>
      </w:r>
      <w:r>
        <w:rPr>
          <w:rFonts w:hint="eastAsia" w:ascii="仿宋" w:hAnsi="仿宋" w:eastAsia="仿宋" w:cs="仿宋"/>
          <w:sz w:val="32"/>
          <w:szCs w:val="32"/>
        </w:rPr>
        <w:t>于年初预算数的主要原因是：据实核拨。</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7</w:t>
      </w:r>
      <w:r>
        <w:rPr>
          <w:rFonts w:hint="eastAsia" w:ascii="仿宋" w:hAnsi="仿宋" w:eastAsia="仿宋" w:cs="仿宋"/>
          <w:sz w:val="32"/>
          <w:szCs w:val="32"/>
        </w:rPr>
        <w:t>、社会保障和就业支出（类）其他生活救助（款）其他农村生活救助（项）</w:t>
      </w:r>
    </w:p>
    <w:p>
      <w:pPr>
        <w:pStyle w:val="12"/>
        <w:ind w:firstLine="64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31.28</w:t>
      </w:r>
      <w:r>
        <w:rPr>
          <w:rFonts w:hint="eastAsia" w:ascii="仿宋" w:hAnsi="仿宋" w:eastAsia="仿宋" w:cs="仿宋"/>
          <w:sz w:val="32"/>
          <w:szCs w:val="32"/>
        </w:rPr>
        <w:t>元，决算数大于年初预算数的主要原因是：上级对加大此项工作的投入。</w:t>
      </w:r>
    </w:p>
    <w:p>
      <w:pPr>
        <w:pStyle w:val="12"/>
        <w:ind w:firstLine="64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lang w:val="en-US" w:eastAsia="zh-CN"/>
        </w:rPr>
        <w:t>8</w:t>
      </w:r>
      <w:r>
        <w:rPr>
          <w:rFonts w:hint="eastAsia" w:ascii="仿宋" w:hAnsi="仿宋" w:eastAsia="仿宋" w:cs="仿宋"/>
          <w:sz w:val="32"/>
          <w:szCs w:val="32"/>
        </w:rPr>
        <w:t>、卫生健康支出（类）行政事业单位医疗（款）行政单位医疗（项）。</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年初预算为</w:t>
      </w:r>
      <w:r>
        <w:rPr>
          <w:rFonts w:ascii="仿宋" w:hAnsi="仿宋" w:eastAsia="仿宋" w:cs="仿宋"/>
          <w:sz w:val="32"/>
          <w:szCs w:val="32"/>
        </w:rPr>
        <w:t>3</w:t>
      </w:r>
      <w:r>
        <w:rPr>
          <w:rFonts w:hint="eastAsia" w:ascii="仿宋" w:hAnsi="仿宋" w:eastAsia="仿宋" w:cs="仿宋"/>
          <w:sz w:val="32"/>
          <w:szCs w:val="32"/>
          <w:lang w:val="en-US" w:eastAsia="zh-CN"/>
        </w:rPr>
        <w:t>1.25</w:t>
      </w:r>
      <w:r>
        <w:rPr>
          <w:rFonts w:hint="eastAsia" w:ascii="仿宋" w:hAnsi="仿宋" w:eastAsia="仿宋" w:cs="仿宋"/>
          <w:sz w:val="32"/>
          <w:szCs w:val="32"/>
        </w:rPr>
        <w:t>万元，支出决算为</w:t>
      </w:r>
      <w:r>
        <w:rPr>
          <w:rFonts w:ascii="仿宋" w:hAnsi="仿宋" w:eastAsia="仿宋" w:cs="仿宋"/>
          <w:sz w:val="32"/>
          <w:szCs w:val="32"/>
        </w:rPr>
        <w:t>3</w:t>
      </w:r>
      <w:r>
        <w:rPr>
          <w:rFonts w:hint="eastAsia" w:ascii="仿宋" w:hAnsi="仿宋" w:eastAsia="仿宋" w:cs="仿宋"/>
          <w:sz w:val="32"/>
          <w:szCs w:val="32"/>
          <w:lang w:val="en-US" w:eastAsia="zh-CN"/>
        </w:rPr>
        <w:t>8.51</w:t>
      </w:r>
      <w:r>
        <w:rPr>
          <w:rFonts w:hint="eastAsia" w:ascii="仿宋" w:hAnsi="仿宋" w:eastAsia="仿宋" w:cs="仿宋"/>
          <w:sz w:val="32"/>
          <w:szCs w:val="32"/>
        </w:rPr>
        <w:t>元，完成年初预算的</w:t>
      </w:r>
      <w:r>
        <w:rPr>
          <w:rFonts w:hint="eastAsia" w:ascii="仿宋" w:hAnsi="仿宋" w:eastAsia="仿宋" w:cs="仿宋"/>
          <w:sz w:val="32"/>
          <w:szCs w:val="32"/>
          <w:lang w:val="en-US" w:eastAsia="zh-CN"/>
        </w:rPr>
        <w:t>123.23</w:t>
      </w:r>
      <w:r>
        <w:rPr>
          <w:rFonts w:ascii="仿宋" w:hAnsi="仿宋" w:eastAsia="仿宋" w:cs="仿宋"/>
          <w:sz w:val="32"/>
          <w:szCs w:val="32"/>
        </w:rPr>
        <w:t>%</w:t>
      </w:r>
      <w:r>
        <w:rPr>
          <w:rFonts w:hint="eastAsia" w:ascii="仿宋" w:hAnsi="仿宋" w:eastAsia="仿宋" w:cs="仿宋"/>
          <w:sz w:val="32"/>
          <w:szCs w:val="32"/>
        </w:rPr>
        <w:t>，决算数大于年初预算数的主要原因是：据实核拨。</w:t>
      </w:r>
    </w:p>
    <w:p>
      <w:pPr>
        <w:pStyle w:val="12"/>
        <w:rPr>
          <w:rFonts w:hAnsi="黑体" w:cs="Times New Roman"/>
          <w:b/>
          <w:bCs/>
          <w:sz w:val="32"/>
          <w:szCs w:val="32"/>
        </w:rPr>
      </w:pPr>
      <w:r>
        <w:rPr>
          <w:rFonts w:hint="eastAsia" w:hAnsi="黑体"/>
          <w:b/>
          <w:bCs/>
          <w:sz w:val="32"/>
          <w:szCs w:val="32"/>
        </w:rPr>
        <w:t>六、一般公共预算财政拨款基本支出决算情况说明</w:t>
      </w:r>
    </w:p>
    <w:p>
      <w:pPr>
        <w:pStyle w:val="12"/>
        <w:ind w:firstLine="640" w:firstLineChars="200"/>
        <w:rPr>
          <w:rFonts w:ascii="仿宋" w:hAnsi="仿宋" w:eastAsia="仿宋" w:cs="Times New Roman"/>
          <w:i/>
          <w:iCs/>
          <w:color w:val="FF0000"/>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年度财政拨款基本支出</w:t>
      </w:r>
      <w:r>
        <w:rPr>
          <w:rFonts w:ascii="仿宋" w:hAnsi="仿宋" w:eastAsia="仿宋" w:cs="仿宋"/>
          <w:sz w:val="32"/>
          <w:szCs w:val="32"/>
        </w:rPr>
        <w:t>9</w:t>
      </w:r>
      <w:r>
        <w:rPr>
          <w:rFonts w:hint="eastAsia" w:ascii="仿宋" w:hAnsi="仿宋" w:eastAsia="仿宋" w:cs="仿宋"/>
          <w:sz w:val="32"/>
          <w:szCs w:val="32"/>
          <w:lang w:val="en-US" w:eastAsia="zh-CN"/>
        </w:rPr>
        <w:t>12.42</w:t>
      </w:r>
      <w:r>
        <w:rPr>
          <w:rFonts w:hint="eastAsia" w:ascii="仿宋" w:hAnsi="仿宋" w:eastAsia="仿宋" w:cs="仿宋"/>
          <w:sz w:val="32"/>
          <w:szCs w:val="32"/>
        </w:rPr>
        <w:t>万元，其中：人员经费</w:t>
      </w:r>
      <w:r>
        <w:rPr>
          <w:rFonts w:hint="eastAsia" w:ascii="仿宋" w:hAnsi="仿宋" w:eastAsia="仿宋" w:cs="仿宋"/>
          <w:sz w:val="32"/>
          <w:szCs w:val="32"/>
          <w:lang w:val="en-US" w:eastAsia="zh-CN"/>
        </w:rPr>
        <w:t>815.82</w:t>
      </w:r>
      <w:r>
        <w:rPr>
          <w:rFonts w:hint="eastAsia" w:ascii="仿宋" w:hAnsi="仿宋" w:eastAsia="仿宋" w:cs="仿宋"/>
          <w:sz w:val="32"/>
          <w:szCs w:val="32"/>
        </w:rPr>
        <w:t>万元，占基本支出的</w:t>
      </w:r>
      <w:r>
        <w:rPr>
          <w:rFonts w:ascii="仿宋" w:hAnsi="仿宋" w:eastAsia="仿宋" w:cs="仿宋"/>
          <w:sz w:val="32"/>
          <w:szCs w:val="32"/>
        </w:rPr>
        <w:t>89.4</w:t>
      </w:r>
      <w:r>
        <w:rPr>
          <w:rFonts w:hint="eastAsia" w:ascii="仿宋" w:hAnsi="仿宋" w:eastAsia="仿宋" w:cs="仿宋"/>
          <w:sz w:val="32"/>
          <w:szCs w:val="32"/>
          <w:lang w:val="en-US" w:eastAsia="zh-CN"/>
        </w:rPr>
        <w:t>1</w:t>
      </w:r>
      <w:r>
        <w:rPr>
          <w:rFonts w:ascii="仿宋" w:hAnsi="仿宋" w:eastAsia="仿宋" w:cs="仿宋"/>
          <w:sz w:val="32"/>
          <w:szCs w:val="32"/>
        </w:rPr>
        <w:t>%,</w:t>
      </w:r>
      <w:r>
        <w:rPr>
          <w:rFonts w:hint="eastAsia" w:ascii="仿宋" w:hAnsi="仿宋" w:eastAsia="仿宋" w:cs="仿宋"/>
          <w:sz w:val="32"/>
          <w:szCs w:val="32"/>
        </w:rPr>
        <w:t>主要包括基本工资、津贴补贴、奖金、社会保障缴费等；公用经费</w:t>
      </w:r>
      <w:r>
        <w:rPr>
          <w:rFonts w:ascii="仿宋" w:hAnsi="仿宋" w:eastAsia="仿宋" w:cs="仿宋"/>
          <w:sz w:val="32"/>
          <w:szCs w:val="32"/>
        </w:rPr>
        <w:t>9</w:t>
      </w:r>
      <w:r>
        <w:rPr>
          <w:rFonts w:hint="eastAsia" w:ascii="仿宋" w:hAnsi="仿宋" w:eastAsia="仿宋" w:cs="仿宋"/>
          <w:sz w:val="32"/>
          <w:szCs w:val="32"/>
          <w:lang w:val="en-US" w:eastAsia="zh-CN"/>
        </w:rPr>
        <w:t>6.6</w:t>
      </w:r>
      <w:r>
        <w:rPr>
          <w:rFonts w:hint="eastAsia" w:ascii="仿宋" w:hAnsi="仿宋" w:eastAsia="仿宋" w:cs="仿宋"/>
          <w:sz w:val="32"/>
          <w:szCs w:val="32"/>
        </w:rPr>
        <w:t>万元，占基本支出的</w:t>
      </w:r>
      <w:r>
        <w:rPr>
          <w:rFonts w:ascii="仿宋" w:hAnsi="仿宋" w:eastAsia="仿宋" w:cs="仿宋"/>
          <w:sz w:val="32"/>
          <w:szCs w:val="32"/>
        </w:rPr>
        <w:t>10.5</w:t>
      </w:r>
      <w:r>
        <w:rPr>
          <w:rFonts w:hint="eastAsia" w:ascii="仿宋" w:hAnsi="仿宋" w:eastAsia="仿宋" w:cs="仿宋"/>
          <w:sz w:val="32"/>
          <w:szCs w:val="32"/>
          <w:lang w:val="en-US" w:eastAsia="zh-CN"/>
        </w:rPr>
        <w:t>9</w:t>
      </w:r>
      <w:r>
        <w:rPr>
          <w:rFonts w:ascii="仿宋" w:hAnsi="仿宋" w:eastAsia="仿宋" w:cs="仿宋"/>
          <w:sz w:val="32"/>
          <w:szCs w:val="32"/>
        </w:rPr>
        <w:t>%</w:t>
      </w:r>
      <w:r>
        <w:rPr>
          <w:rFonts w:hint="eastAsia" w:ascii="仿宋" w:hAnsi="仿宋" w:eastAsia="仿宋" w:cs="仿宋"/>
          <w:sz w:val="32"/>
          <w:szCs w:val="32"/>
        </w:rPr>
        <w:t>，主要包括办公费、印刷费、会议费、培训费、公务接待费、公务用车运行维护费等。</w:t>
      </w:r>
    </w:p>
    <w:p>
      <w:pPr>
        <w:pStyle w:val="12"/>
        <w:rPr>
          <w:rFonts w:hAnsi="黑体" w:cs="Times New Roman"/>
          <w:b/>
          <w:bCs/>
          <w:sz w:val="32"/>
          <w:szCs w:val="32"/>
        </w:rPr>
      </w:pPr>
      <w:r>
        <w:rPr>
          <w:rFonts w:hint="eastAsia" w:hAnsi="黑体"/>
          <w:b/>
          <w:bCs/>
          <w:sz w:val="32"/>
          <w:szCs w:val="32"/>
        </w:rPr>
        <w:t>七、一般公共预算财政拨款“三公”经费支出决算情况说明</w:t>
      </w:r>
    </w:p>
    <w:p>
      <w:pPr>
        <w:pStyle w:val="12"/>
        <w:rPr>
          <w:rFonts w:ascii="宋体" w:hAnsi="宋体" w:eastAsia="宋体" w:cs="Times New Roman"/>
          <w:b/>
          <w:bCs/>
          <w:sz w:val="32"/>
          <w:szCs w:val="32"/>
        </w:rPr>
      </w:pPr>
      <w:r>
        <w:rPr>
          <w:rFonts w:hint="eastAsia" w:ascii="宋体" w:hAnsi="宋体" w:eastAsia="宋体" w:cs="宋体"/>
          <w:b/>
          <w:bCs/>
          <w:sz w:val="32"/>
          <w:szCs w:val="32"/>
        </w:rPr>
        <w:t>（一）“三公”经费财政拨款支出决算总体情况说明</w:t>
      </w:r>
    </w:p>
    <w:p>
      <w:pPr>
        <w:pStyle w:val="12"/>
        <w:ind w:firstLine="800" w:firstLineChars="25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年度“三公”经费财政拨款支出预算为</w:t>
      </w:r>
      <w:r>
        <w:rPr>
          <w:rFonts w:hint="eastAsia" w:ascii="仿宋" w:hAnsi="仿宋" w:eastAsia="仿宋" w:cs="仿宋"/>
          <w:sz w:val="32"/>
          <w:szCs w:val="32"/>
          <w:lang w:val="en-US" w:eastAsia="zh-CN"/>
        </w:rPr>
        <w:t>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w:t>
      </w:r>
      <w:r>
        <w:rPr>
          <w:rFonts w:hint="eastAsia" w:ascii="仿宋" w:hAnsi="仿宋" w:eastAsia="仿宋" w:cs="仿宋"/>
          <w:sz w:val="32"/>
          <w:szCs w:val="32"/>
        </w:rPr>
        <w:t>万元，完成预算的</w:t>
      </w:r>
      <w:r>
        <w:rPr>
          <w:rFonts w:ascii="仿宋" w:hAnsi="仿宋" w:eastAsia="仿宋" w:cs="仿宋"/>
          <w:sz w:val="32"/>
          <w:szCs w:val="32"/>
        </w:rPr>
        <w:t>100%</w:t>
      </w:r>
      <w:r>
        <w:rPr>
          <w:rFonts w:hint="eastAsia" w:ascii="仿宋" w:hAnsi="仿宋" w:eastAsia="仿宋" w:cs="仿宋"/>
          <w:sz w:val="32"/>
          <w:szCs w:val="32"/>
        </w:rPr>
        <w:t>，其中：</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公务用车运行维护费支出预算为</w:t>
      </w:r>
      <w:r>
        <w:rPr>
          <w:rFonts w:ascii="仿宋" w:hAnsi="仿宋" w:eastAsia="仿宋" w:cs="仿宋"/>
          <w:sz w:val="32"/>
          <w:szCs w:val="32"/>
        </w:rPr>
        <w:t>4</w:t>
      </w:r>
      <w:r>
        <w:rPr>
          <w:rFonts w:hint="eastAsia" w:ascii="仿宋" w:hAnsi="仿宋" w:eastAsia="仿宋" w:cs="仿宋"/>
          <w:sz w:val="32"/>
          <w:szCs w:val="32"/>
        </w:rPr>
        <w:t>万元，支出决算为</w:t>
      </w:r>
      <w:r>
        <w:rPr>
          <w:rFonts w:ascii="仿宋" w:hAnsi="仿宋" w:eastAsia="仿宋" w:cs="仿宋"/>
          <w:sz w:val="32"/>
          <w:szCs w:val="32"/>
        </w:rPr>
        <w:t>4</w:t>
      </w:r>
      <w:r>
        <w:rPr>
          <w:rFonts w:hint="eastAsia" w:ascii="仿宋" w:hAnsi="仿宋" w:eastAsia="仿宋" w:cs="仿宋"/>
          <w:sz w:val="32"/>
          <w:szCs w:val="32"/>
        </w:rPr>
        <w:t>万元，完成预算的</w:t>
      </w:r>
      <w:r>
        <w:rPr>
          <w:rFonts w:ascii="仿宋" w:hAnsi="仿宋" w:eastAsia="仿宋" w:cs="仿宋"/>
          <w:sz w:val="32"/>
          <w:szCs w:val="32"/>
        </w:rPr>
        <w:t>100%</w:t>
      </w:r>
      <w:r>
        <w:rPr>
          <w:rFonts w:hint="eastAsia" w:ascii="仿宋" w:hAnsi="仿宋" w:eastAsia="仿宋" w:cs="仿宋"/>
          <w:sz w:val="32"/>
          <w:szCs w:val="32"/>
        </w:rPr>
        <w:t>，决算数与预算数持平的主要原因是厉行节约，压减开支，与上年相比持平，主要原因是厉行节约，压减开支。</w:t>
      </w:r>
    </w:p>
    <w:p>
      <w:pPr>
        <w:pStyle w:val="12"/>
        <w:rPr>
          <w:rFonts w:ascii="宋体" w:hAnsi="宋体" w:eastAsia="宋体" w:cs="Times New Roman"/>
          <w:b/>
          <w:bCs/>
          <w:sz w:val="32"/>
          <w:szCs w:val="32"/>
        </w:rPr>
      </w:pPr>
      <w:r>
        <w:rPr>
          <w:rFonts w:hint="eastAsia" w:ascii="宋体" w:hAnsi="宋体" w:eastAsia="宋体" w:cs="宋体"/>
          <w:b/>
          <w:bCs/>
          <w:sz w:val="32"/>
          <w:szCs w:val="32"/>
        </w:rPr>
        <w:t>（二）“三公”经费财政拨款支出决算具体情况说明</w:t>
      </w:r>
    </w:p>
    <w:p>
      <w:pPr>
        <w:pStyle w:val="12"/>
        <w:ind w:firstLine="640" w:firstLineChars="20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年度“三公”经费财政拨款支出决算中</w:t>
      </w:r>
      <w:r>
        <w:rPr>
          <w:rFonts w:hint="eastAsia" w:ascii="仿宋" w:hAnsi="仿宋" w:eastAsia="仿宋" w:cs="仿宋"/>
          <w:sz w:val="32"/>
          <w:szCs w:val="32"/>
          <w:lang w:eastAsia="zh-CN"/>
        </w:rPr>
        <w:t>，</w:t>
      </w:r>
      <w:r>
        <w:rPr>
          <w:rFonts w:hint="eastAsia" w:ascii="仿宋" w:hAnsi="仿宋" w:eastAsia="仿宋" w:cs="仿宋"/>
          <w:sz w:val="32"/>
          <w:szCs w:val="32"/>
        </w:rPr>
        <w:t>公务用车购置费及运行维护费支出决算</w:t>
      </w:r>
      <w:r>
        <w:rPr>
          <w:rFonts w:ascii="仿宋" w:hAnsi="仿宋" w:eastAsia="仿宋" w:cs="仿宋"/>
          <w:sz w:val="32"/>
          <w:szCs w:val="32"/>
        </w:rPr>
        <w:t>4</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ascii="仿宋" w:hAnsi="仿宋" w:eastAsia="仿宋" w:cs="仿宋"/>
          <w:sz w:val="32"/>
          <w:szCs w:val="32"/>
        </w:rPr>
        <w:t>%</w:t>
      </w:r>
      <w:r>
        <w:rPr>
          <w:rFonts w:hint="eastAsia" w:ascii="仿宋" w:hAnsi="仿宋" w:eastAsia="仿宋" w:cs="仿宋"/>
          <w:sz w:val="32"/>
          <w:szCs w:val="32"/>
        </w:rPr>
        <w:t>。其中：</w:t>
      </w:r>
    </w:p>
    <w:p>
      <w:pPr>
        <w:ind w:firstLine="800" w:firstLineChars="250"/>
        <w:rPr>
          <w:rFonts w:ascii="仿宋" w:hAnsi="仿宋" w:eastAsia="仿宋" w:cs="Times New Roman"/>
          <w:color w:val="000000"/>
          <w:kern w:val="0"/>
          <w:sz w:val="32"/>
          <w:szCs w:val="32"/>
        </w:rPr>
      </w:pPr>
      <w:r>
        <w:rPr>
          <w:rFonts w:hint="eastAsia" w:ascii="仿宋" w:hAnsi="仿宋" w:eastAsia="仿宋" w:cs="仿宋"/>
          <w:sz w:val="32"/>
          <w:szCs w:val="32"/>
        </w:rPr>
        <w:t>公务用车购置费及运行维护费支出决算为</w:t>
      </w:r>
      <w:r>
        <w:rPr>
          <w:rFonts w:ascii="仿宋" w:hAnsi="仿宋" w:eastAsia="仿宋" w:cs="仿宋"/>
          <w:sz w:val="32"/>
          <w:szCs w:val="32"/>
        </w:rPr>
        <w:t>4</w:t>
      </w:r>
      <w:r>
        <w:rPr>
          <w:rFonts w:hint="eastAsia" w:ascii="仿宋" w:hAnsi="仿宋" w:eastAsia="仿宋" w:cs="仿宋"/>
          <w:sz w:val="32"/>
          <w:szCs w:val="32"/>
        </w:rPr>
        <w:t>万元，其中：公务用车购置费</w:t>
      </w:r>
      <w:r>
        <w:rPr>
          <w:rFonts w:ascii="仿宋" w:hAnsi="仿宋" w:eastAsia="仿宋" w:cs="仿宋"/>
          <w:sz w:val="32"/>
          <w:szCs w:val="32"/>
        </w:rPr>
        <w:t>0</w:t>
      </w:r>
      <w:r>
        <w:rPr>
          <w:rFonts w:hint="eastAsia" w:ascii="仿宋" w:hAnsi="仿宋" w:eastAsia="仿宋" w:cs="仿宋"/>
          <w:sz w:val="32"/>
          <w:szCs w:val="32"/>
        </w:rPr>
        <w:t>万元，公务用车运行维护费</w:t>
      </w:r>
      <w:r>
        <w:rPr>
          <w:rFonts w:ascii="仿宋" w:hAnsi="仿宋" w:eastAsia="仿宋" w:cs="仿宋"/>
          <w:sz w:val="32"/>
          <w:szCs w:val="32"/>
        </w:rPr>
        <w:t>4</w:t>
      </w:r>
      <w:r>
        <w:rPr>
          <w:rFonts w:hint="eastAsia" w:ascii="仿宋" w:hAnsi="仿宋" w:eastAsia="仿宋" w:cs="仿宋"/>
          <w:sz w:val="32"/>
          <w:szCs w:val="32"/>
        </w:rPr>
        <w:t>万元，主要是公务用车加油、维修支出，截止</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31</w:t>
      </w:r>
      <w:r>
        <w:rPr>
          <w:rFonts w:hint="eastAsia" w:ascii="仿宋" w:hAnsi="仿宋" w:eastAsia="仿宋" w:cs="仿宋"/>
          <w:sz w:val="32"/>
          <w:szCs w:val="32"/>
        </w:rPr>
        <w:t>日，我单位开支财政拨款的公务用车保有量为</w:t>
      </w:r>
      <w:r>
        <w:rPr>
          <w:rFonts w:ascii="仿宋" w:hAnsi="仿宋" w:eastAsia="仿宋" w:cs="仿宋"/>
          <w:sz w:val="32"/>
          <w:szCs w:val="32"/>
        </w:rPr>
        <w:t>1</w:t>
      </w:r>
      <w:r>
        <w:rPr>
          <w:rFonts w:hint="eastAsia" w:ascii="仿宋" w:hAnsi="仿宋" w:eastAsia="仿宋" w:cs="仿宋"/>
          <w:sz w:val="32"/>
          <w:szCs w:val="32"/>
        </w:rPr>
        <w:t>辆。</w:t>
      </w:r>
    </w:p>
    <w:p>
      <w:pPr>
        <w:pStyle w:val="12"/>
        <w:rPr>
          <w:rFonts w:hAnsi="黑体" w:cs="Times New Roman"/>
          <w:b/>
          <w:bCs/>
          <w:sz w:val="32"/>
          <w:szCs w:val="32"/>
        </w:rPr>
      </w:pPr>
      <w:r>
        <w:rPr>
          <w:rFonts w:hint="eastAsia" w:hAnsi="黑体"/>
          <w:b/>
          <w:bCs/>
          <w:sz w:val="32"/>
          <w:szCs w:val="32"/>
        </w:rPr>
        <w:t>八、政府性基金预算收入支出决算情况</w:t>
      </w:r>
    </w:p>
    <w:p>
      <w:pPr>
        <w:pStyle w:val="12"/>
        <w:rPr>
          <w:rFonts w:ascii="仿宋" w:hAnsi="仿宋" w:eastAsia="仿宋" w:cs="Times New Roman"/>
          <w:i/>
          <w:iCs/>
          <w:color w:val="FF0000"/>
          <w:sz w:val="32"/>
          <w:szCs w:val="32"/>
        </w:rPr>
      </w:pPr>
      <w:r>
        <w:rPr>
          <w:rFonts w:ascii="宋体" w:hAnsi="宋体" w:eastAsia="宋体" w:cs="宋体"/>
          <w:sz w:val="32"/>
          <w:szCs w:val="32"/>
        </w:rPr>
        <w:t xml:space="preserve">    </w:t>
      </w:r>
      <w:r>
        <w:rPr>
          <w:rFonts w:ascii="仿宋" w:hAnsi="仿宋" w:eastAsia="仿宋" w:cs="仿宋"/>
          <w:sz w:val="32"/>
          <w:szCs w:val="32"/>
        </w:rPr>
        <w:t xml:space="preserve"> 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年度政府性基金预算财政拨款收入</w:t>
      </w:r>
      <w:r>
        <w:rPr>
          <w:rFonts w:ascii="仿宋" w:hAnsi="仿宋" w:eastAsia="仿宋" w:cs="仿宋"/>
          <w:sz w:val="32"/>
          <w:szCs w:val="32"/>
        </w:rPr>
        <w:t>8</w:t>
      </w:r>
      <w:r>
        <w:rPr>
          <w:rFonts w:hint="eastAsia" w:ascii="仿宋" w:hAnsi="仿宋" w:eastAsia="仿宋" w:cs="仿宋"/>
          <w:sz w:val="32"/>
          <w:szCs w:val="32"/>
          <w:lang w:val="en-US" w:eastAsia="zh-CN"/>
        </w:rPr>
        <w:t>65.46</w:t>
      </w:r>
      <w:r>
        <w:rPr>
          <w:rFonts w:hint="eastAsia" w:ascii="仿宋" w:hAnsi="仿宋" w:eastAsia="仿宋" w:cs="仿宋"/>
          <w:sz w:val="32"/>
          <w:szCs w:val="32"/>
        </w:rPr>
        <w:t>万元；年初结转和结余</w:t>
      </w:r>
      <w:r>
        <w:rPr>
          <w:rFonts w:ascii="仿宋" w:hAnsi="仿宋" w:eastAsia="仿宋" w:cs="仿宋"/>
          <w:sz w:val="32"/>
          <w:szCs w:val="32"/>
        </w:rPr>
        <w:t>0</w:t>
      </w:r>
      <w:r>
        <w:rPr>
          <w:rFonts w:hint="eastAsia" w:ascii="仿宋" w:hAnsi="仿宋" w:eastAsia="仿宋" w:cs="仿宋"/>
          <w:sz w:val="32"/>
          <w:szCs w:val="32"/>
        </w:rPr>
        <w:t>万元；支出</w:t>
      </w:r>
      <w:r>
        <w:rPr>
          <w:rFonts w:ascii="仿宋" w:hAnsi="仿宋" w:eastAsia="仿宋" w:cs="仿宋"/>
          <w:sz w:val="32"/>
          <w:szCs w:val="32"/>
        </w:rPr>
        <w:t>8</w:t>
      </w:r>
      <w:r>
        <w:rPr>
          <w:rFonts w:hint="eastAsia" w:ascii="仿宋" w:hAnsi="仿宋" w:eastAsia="仿宋" w:cs="仿宋"/>
          <w:sz w:val="32"/>
          <w:szCs w:val="32"/>
          <w:lang w:val="en-US" w:eastAsia="zh-CN"/>
        </w:rPr>
        <w:t>65.46</w:t>
      </w:r>
      <w:r>
        <w:rPr>
          <w:rFonts w:hint="eastAsia" w:ascii="仿宋" w:hAnsi="仿宋" w:eastAsia="仿宋" w:cs="仿宋"/>
          <w:sz w:val="32"/>
          <w:szCs w:val="32"/>
        </w:rPr>
        <w:t>万元，其中基本支出</w:t>
      </w:r>
      <w:r>
        <w:rPr>
          <w:rFonts w:ascii="仿宋" w:hAnsi="仿宋" w:eastAsia="仿宋" w:cs="仿宋"/>
          <w:sz w:val="32"/>
          <w:szCs w:val="32"/>
        </w:rPr>
        <w:t>0</w:t>
      </w:r>
      <w:r>
        <w:rPr>
          <w:rFonts w:hint="eastAsia" w:ascii="仿宋" w:hAnsi="仿宋" w:eastAsia="仿宋" w:cs="仿宋"/>
          <w:sz w:val="32"/>
          <w:szCs w:val="32"/>
        </w:rPr>
        <w:t>万元，项目支出</w:t>
      </w:r>
      <w:r>
        <w:rPr>
          <w:rFonts w:ascii="仿宋" w:hAnsi="仿宋" w:eastAsia="仿宋" w:cs="仿宋"/>
          <w:sz w:val="32"/>
          <w:szCs w:val="32"/>
        </w:rPr>
        <w:t>8</w:t>
      </w:r>
      <w:r>
        <w:rPr>
          <w:rFonts w:hint="eastAsia" w:ascii="仿宋" w:hAnsi="仿宋" w:eastAsia="仿宋" w:cs="仿宋"/>
          <w:sz w:val="32"/>
          <w:szCs w:val="32"/>
          <w:lang w:val="en-US" w:eastAsia="zh-CN"/>
        </w:rPr>
        <w:t>65.46</w:t>
      </w:r>
      <w:r>
        <w:rPr>
          <w:rFonts w:hint="eastAsia" w:ascii="仿宋" w:hAnsi="仿宋" w:eastAsia="仿宋" w:cs="仿宋"/>
          <w:sz w:val="32"/>
          <w:szCs w:val="32"/>
        </w:rPr>
        <w:t>万元；年末结转和结余</w:t>
      </w:r>
      <w:r>
        <w:rPr>
          <w:rFonts w:ascii="仿宋" w:hAnsi="仿宋" w:eastAsia="仿宋" w:cs="仿宋"/>
          <w:sz w:val="32"/>
          <w:szCs w:val="32"/>
        </w:rPr>
        <w:t>0</w:t>
      </w:r>
      <w:r>
        <w:rPr>
          <w:rFonts w:hint="eastAsia" w:ascii="仿宋" w:hAnsi="仿宋" w:eastAsia="仿宋" w:cs="仿宋"/>
          <w:sz w:val="32"/>
          <w:szCs w:val="32"/>
        </w:rPr>
        <w:t>万元。具体情况如下：</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、其他支出（类）彩票公益金安排的支出（款）用于社会福利的彩票公益金支出（项）。</w:t>
      </w:r>
    </w:p>
    <w:p>
      <w:pPr>
        <w:pStyle w:val="12"/>
        <w:ind w:firstLine="800" w:firstLineChars="250"/>
        <w:rPr>
          <w:rFonts w:ascii="仿宋" w:hAnsi="仿宋" w:eastAsia="仿宋" w:cs="Times New Roman"/>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ascii="仿宋" w:hAnsi="仿宋" w:eastAsia="仿宋" w:cs="仿宋"/>
          <w:sz w:val="32"/>
          <w:szCs w:val="32"/>
        </w:rPr>
        <w:t>8</w:t>
      </w:r>
      <w:r>
        <w:rPr>
          <w:rFonts w:hint="eastAsia" w:ascii="仿宋" w:hAnsi="仿宋" w:eastAsia="仿宋" w:cs="仿宋"/>
          <w:sz w:val="32"/>
          <w:szCs w:val="32"/>
          <w:lang w:val="en-US" w:eastAsia="zh-CN"/>
        </w:rPr>
        <w:t>65.46</w:t>
      </w:r>
      <w:r>
        <w:rPr>
          <w:rFonts w:hint="eastAsia" w:ascii="仿宋" w:hAnsi="仿宋" w:eastAsia="仿宋" w:cs="仿宋"/>
          <w:sz w:val="32"/>
          <w:szCs w:val="32"/>
        </w:rPr>
        <w:t>万元，决算数大于年初预算数的主要原因是：上级对此项工作的投入。</w:t>
      </w:r>
    </w:p>
    <w:p>
      <w:pPr>
        <w:pStyle w:val="12"/>
        <w:rPr>
          <w:rFonts w:hAnsi="黑体" w:cs="Times New Roman"/>
          <w:b/>
          <w:bCs/>
          <w:sz w:val="32"/>
          <w:szCs w:val="32"/>
        </w:rPr>
      </w:pPr>
      <w:r>
        <w:rPr>
          <w:rFonts w:hint="eastAsia" w:hAnsi="黑体"/>
          <w:b/>
          <w:bCs/>
          <w:sz w:val="32"/>
          <w:szCs w:val="32"/>
        </w:rPr>
        <w:t>九、机关运行经费支出说明</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本部门</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年度机关运行经费支出</w:t>
      </w:r>
      <w:r>
        <w:rPr>
          <w:rFonts w:ascii="仿宋" w:hAnsi="仿宋" w:eastAsia="仿宋" w:cs="仿宋"/>
          <w:sz w:val="32"/>
          <w:szCs w:val="32"/>
        </w:rPr>
        <w:t>9</w:t>
      </w:r>
      <w:r>
        <w:rPr>
          <w:rFonts w:hint="eastAsia" w:ascii="仿宋" w:hAnsi="仿宋" w:eastAsia="仿宋" w:cs="仿宋"/>
          <w:sz w:val="32"/>
          <w:szCs w:val="32"/>
          <w:lang w:val="en-US" w:eastAsia="zh-CN"/>
        </w:rPr>
        <w:t>6.6</w:t>
      </w:r>
      <w:r>
        <w:rPr>
          <w:rFonts w:hint="eastAsia" w:ascii="仿宋" w:hAnsi="仿宋" w:eastAsia="仿宋" w:cs="仿宋"/>
          <w:sz w:val="32"/>
          <w:szCs w:val="32"/>
        </w:rPr>
        <w:t>万元，</w:t>
      </w:r>
      <w:r>
        <w:rPr>
          <w:rFonts w:hint="eastAsia" w:ascii="仿宋" w:hAnsi="仿宋" w:eastAsia="仿宋" w:cs="仿宋"/>
          <w:sz w:val="32"/>
          <w:szCs w:val="32"/>
          <w:lang w:val="en-US" w:eastAsia="zh-CN"/>
        </w:rPr>
        <w:t>与</w:t>
      </w:r>
      <w:r>
        <w:rPr>
          <w:rFonts w:hint="eastAsia" w:ascii="仿宋" w:hAnsi="仿宋" w:eastAsia="仿宋" w:cs="仿宋"/>
          <w:sz w:val="32"/>
          <w:szCs w:val="32"/>
        </w:rPr>
        <w:t>年初预算数</w:t>
      </w:r>
      <w:r>
        <w:rPr>
          <w:rFonts w:hint="eastAsia" w:ascii="仿宋" w:hAnsi="仿宋" w:eastAsia="仿宋" w:cs="仿宋"/>
          <w:sz w:val="32"/>
          <w:szCs w:val="32"/>
          <w:lang w:val="en-US" w:eastAsia="zh-CN"/>
        </w:rPr>
        <w:t>持平</w:t>
      </w:r>
      <w:r>
        <w:rPr>
          <w:rFonts w:hint="eastAsia" w:ascii="仿宋" w:hAnsi="仿宋" w:eastAsia="仿宋" w:cs="仿宋"/>
          <w:sz w:val="32"/>
          <w:szCs w:val="32"/>
        </w:rPr>
        <w:t>。主要原因是：县级财政厉行节约，压减开支。</w:t>
      </w:r>
    </w:p>
    <w:p>
      <w:pPr>
        <w:pStyle w:val="12"/>
        <w:rPr>
          <w:rFonts w:hAnsi="黑体" w:cs="Times New Roman"/>
          <w:b/>
          <w:bCs/>
          <w:sz w:val="32"/>
          <w:szCs w:val="32"/>
        </w:rPr>
      </w:pPr>
      <w:r>
        <w:rPr>
          <w:rFonts w:hint="eastAsia" w:hAnsi="黑体"/>
          <w:b/>
          <w:bCs/>
          <w:sz w:val="32"/>
          <w:szCs w:val="32"/>
        </w:rPr>
        <w:t>十、一般性支出情况说明</w:t>
      </w:r>
    </w:p>
    <w:p>
      <w:pPr>
        <w:pStyle w:val="12"/>
        <w:ind w:firstLine="640" w:firstLineChars="200"/>
        <w:rPr>
          <w:rFonts w:ascii="仿宋" w:hAnsi="仿宋" w:eastAsia="仿宋" w:cs="Times New Roman"/>
          <w:sz w:val="32"/>
          <w:szCs w:val="32"/>
        </w:rPr>
      </w:pP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年本部门开支会议费</w:t>
      </w:r>
      <w:r>
        <w:rPr>
          <w:rFonts w:ascii="仿宋" w:hAnsi="仿宋" w:eastAsia="仿宋" w:cs="仿宋"/>
          <w:sz w:val="32"/>
          <w:szCs w:val="32"/>
        </w:rPr>
        <w:t>3</w:t>
      </w:r>
      <w:r>
        <w:rPr>
          <w:rFonts w:hint="eastAsia" w:ascii="仿宋" w:hAnsi="仿宋" w:eastAsia="仿宋" w:cs="仿宋"/>
          <w:sz w:val="32"/>
          <w:szCs w:val="32"/>
        </w:rPr>
        <w:t>万元，用于召开全县民政工作会议，人数</w:t>
      </w:r>
      <w:r>
        <w:rPr>
          <w:rFonts w:ascii="仿宋" w:hAnsi="仿宋" w:eastAsia="仿宋" w:cs="仿宋"/>
          <w:sz w:val="32"/>
          <w:szCs w:val="32"/>
        </w:rPr>
        <w:t>170</w:t>
      </w:r>
      <w:r>
        <w:rPr>
          <w:rFonts w:hint="eastAsia" w:ascii="仿宋" w:hAnsi="仿宋" w:eastAsia="仿宋" w:cs="仿宋"/>
          <w:sz w:val="32"/>
          <w:szCs w:val="32"/>
        </w:rPr>
        <w:t>人次，内容为召开全县范围的民政工作会议，表璋上年度优秀及安排本年度工作；开支培训费</w:t>
      </w:r>
      <w:r>
        <w:rPr>
          <w:rFonts w:ascii="仿宋" w:hAnsi="仿宋" w:eastAsia="仿宋" w:cs="仿宋"/>
          <w:sz w:val="32"/>
          <w:szCs w:val="32"/>
        </w:rPr>
        <w:t>3</w:t>
      </w:r>
      <w:r>
        <w:rPr>
          <w:rFonts w:hint="eastAsia" w:ascii="仿宋" w:hAnsi="仿宋" w:eastAsia="仿宋" w:cs="仿宋"/>
          <w:sz w:val="32"/>
          <w:szCs w:val="32"/>
        </w:rPr>
        <w:t>万元，用于开展乡镇民政相关工作培训，人数</w:t>
      </w:r>
      <w:r>
        <w:rPr>
          <w:rFonts w:ascii="仿宋" w:hAnsi="仿宋" w:eastAsia="仿宋" w:cs="仿宋"/>
          <w:sz w:val="32"/>
          <w:szCs w:val="32"/>
        </w:rPr>
        <w:t>190</w:t>
      </w:r>
      <w:r>
        <w:rPr>
          <w:rFonts w:hint="eastAsia" w:ascii="仿宋" w:hAnsi="仿宋" w:eastAsia="仿宋" w:cs="仿宋"/>
          <w:sz w:val="32"/>
          <w:szCs w:val="32"/>
        </w:rPr>
        <w:t>人次，内容为对乡镇民政工作人员开展养老、安全生产等相关的业务培训。</w:t>
      </w:r>
    </w:p>
    <w:p>
      <w:pPr>
        <w:pStyle w:val="12"/>
        <w:rPr>
          <w:rFonts w:hAnsi="黑体" w:cs="Times New Roman"/>
          <w:b/>
          <w:bCs/>
          <w:sz w:val="32"/>
          <w:szCs w:val="32"/>
        </w:rPr>
      </w:pPr>
      <w:r>
        <w:rPr>
          <w:rFonts w:hint="eastAsia" w:hAnsi="黑体"/>
          <w:b/>
          <w:bCs/>
          <w:sz w:val="32"/>
          <w:szCs w:val="32"/>
        </w:rPr>
        <w:t>十一、政府采购支出说明</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本部门</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331.2</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196</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135.2</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33</w:t>
      </w:r>
      <w:r>
        <w:rPr>
          <w:rFonts w:ascii="仿宋" w:hAnsi="仿宋" w:eastAsia="仿宋" w:cs="仿宋"/>
          <w:sz w:val="32"/>
          <w:szCs w:val="32"/>
        </w:rPr>
        <w:t>1.2</w:t>
      </w:r>
      <w:r>
        <w:rPr>
          <w:rFonts w:hint="eastAsia" w:ascii="仿宋" w:hAnsi="仿宋" w:eastAsia="仿宋" w:cs="仿宋"/>
          <w:sz w:val="32"/>
          <w:szCs w:val="32"/>
        </w:rPr>
        <w:t>万元，占政府采购支出总额的</w:t>
      </w:r>
      <w:r>
        <w:rPr>
          <w:rFonts w:ascii="仿宋" w:hAnsi="仿宋" w:eastAsia="仿宋" w:cs="仿宋"/>
          <w:sz w:val="32"/>
          <w:szCs w:val="32"/>
        </w:rPr>
        <w:t>100%</w:t>
      </w:r>
      <w:r>
        <w:rPr>
          <w:rFonts w:hint="eastAsia" w:ascii="仿宋" w:hAnsi="仿宋" w:eastAsia="仿宋" w:cs="仿宋"/>
          <w:sz w:val="32"/>
          <w:szCs w:val="32"/>
        </w:rPr>
        <w:t>，其中：授予小微企业合同金额</w:t>
      </w:r>
      <w:r>
        <w:rPr>
          <w:rFonts w:ascii="仿宋" w:hAnsi="仿宋" w:eastAsia="仿宋" w:cs="仿宋"/>
          <w:sz w:val="32"/>
          <w:szCs w:val="32"/>
        </w:rPr>
        <w:t>0</w:t>
      </w:r>
      <w:r>
        <w:rPr>
          <w:rFonts w:hint="eastAsia" w:ascii="仿宋" w:hAnsi="仿宋" w:eastAsia="仿宋" w:cs="仿宋"/>
          <w:sz w:val="32"/>
          <w:szCs w:val="32"/>
        </w:rPr>
        <w:t>万元，占授予中小企业合同金额的</w:t>
      </w:r>
      <w:r>
        <w:rPr>
          <w:rFonts w:ascii="仿宋" w:hAnsi="仿宋" w:eastAsia="仿宋" w:cs="仿宋"/>
          <w:sz w:val="32"/>
          <w:szCs w:val="32"/>
        </w:rPr>
        <w:t>0%</w:t>
      </w:r>
      <w:r>
        <w:rPr>
          <w:rFonts w:hint="eastAsia" w:ascii="仿宋" w:hAnsi="仿宋" w:eastAsia="仿宋" w:cs="仿宋"/>
          <w:sz w:val="32"/>
          <w:szCs w:val="32"/>
        </w:rPr>
        <w:t>；货物采购授予中小企业合同金额占货物支出金额的</w:t>
      </w:r>
      <w:r>
        <w:rPr>
          <w:rFonts w:ascii="仿宋" w:hAnsi="仿宋" w:eastAsia="仿宋" w:cs="仿宋"/>
          <w:sz w:val="32"/>
          <w:szCs w:val="32"/>
        </w:rPr>
        <w:t>100%</w:t>
      </w:r>
      <w:r>
        <w:rPr>
          <w:rFonts w:hint="eastAsia" w:ascii="仿宋" w:hAnsi="仿宋" w:eastAsia="仿宋" w:cs="仿宋"/>
          <w:sz w:val="32"/>
          <w:szCs w:val="32"/>
        </w:rPr>
        <w:t>，工程采购授予中小企业合同金额占工程支出金额的</w:t>
      </w:r>
      <w:r>
        <w:rPr>
          <w:rFonts w:ascii="仿宋" w:hAnsi="仿宋" w:eastAsia="仿宋" w:cs="仿宋"/>
          <w:sz w:val="32"/>
          <w:szCs w:val="32"/>
        </w:rPr>
        <w:t>100%</w:t>
      </w:r>
      <w:r>
        <w:rPr>
          <w:rFonts w:hint="eastAsia" w:ascii="仿宋" w:hAnsi="仿宋" w:eastAsia="仿宋" w:cs="仿宋"/>
          <w:sz w:val="32"/>
          <w:szCs w:val="32"/>
        </w:rPr>
        <w:t>，服务采购授予中小企业合同金额占服务支出金额的</w:t>
      </w:r>
      <w:r>
        <w:rPr>
          <w:rFonts w:ascii="仿宋" w:hAnsi="仿宋" w:eastAsia="仿宋" w:cs="仿宋"/>
          <w:sz w:val="32"/>
          <w:szCs w:val="32"/>
        </w:rPr>
        <w:t>0%</w:t>
      </w:r>
      <w:r>
        <w:rPr>
          <w:rFonts w:hint="eastAsia" w:ascii="仿宋" w:hAnsi="仿宋" w:eastAsia="仿宋" w:cs="仿宋"/>
          <w:sz w:val="32"/>
          <w:szCs w:val="32"/>
        </w:rPr>
        <w:t>。</w:t>
      </w:r>
    </w:p>
    <w:p>
      <w:pPr>
        <w:pStyle w:val="12"/>
        <w:rPr>
          <w:rFonts w:hAnsi="黑体" w:cs="Times New Roman"/>
          <w:b/>
          <w:bCs/>
          <w:sz w:val="32"/>
          <w:szCs w:val="32"/>
        </w:rPr>
      </w:pPr>
      <w:r>
        <w:rPr>
          <w:rFonts w:hint="eastAsia" w:hAnsi="黑体"/>
          <w:b/>
          <w:bCs/>
          <w:sz w:val="32"/>
          <w:szCs w:val="32"/>
        </w:rPr>
        <w:t>十二、国有资产占用情况说明</w:t>
      </w:r>
    </w:p>
    <w:p>
      <w:pPr>
        <w:pStyle w:val="12"/>
        <w:ind w:firstLine="640" w:firstLineChars="200"/>
        <w:rPr>
          <w:rFonts w:ascii="仿宋" w:hAnsi="仿宋" w:eastAsia="仿宋" w:cs="Times New Roman"/>
          <w:sz w:val="32"/>
          <w:szCs w:val="32"/>
        </w:rPr>
      </w:pPr>
      <w:r>
        <w:rPr>
          <w:rFonts w:hint="eastAsia" w:ascii="仿宋" w:hAnsi="仿宋" w:eastAsia="仿宋" w:cs="仿宋"/>
          <w:sz w:val="32"/>
          <w:szCs w:val="32"/>
        </w:rPr>
        <w:t>截至</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ascii="仿宋" w:hAnsi="仿宋" w:eastAsia="仿宋" w:cs="仿宋"/>
          <w:sz w:val="32"/>
          <w:szCs w:val="32"/>
        </w:rPr>
        <w:t>12</w:t>
      </w:r>
      <w:r>
        <w:rPr>
          <w:rFonts w:hint="eastAsia" w:ascii="仿宋" w:hAnsi="仿宋" w:eastAsia="仿宋" w:cs="仿宋"/>
          <w:sz w:val="32"/>
          <w:szCs w:val="32"/>
        </w:rPr>
        <w:t>月</w:t>
      </w:r>
      <w:r>
        <w:rPr>
          <w:rFonts w:ascii="仿宋" w:hAnsi="仿宋" w:eastAsia="仿宋" w:cs="仿宋"/>
          <w:sz w:val="32"/>
          <w:szCs w:val="32"/>
        </w:rPr>
        <w:t>31</w:t>
      </w:r>
      <w:r>
        <w:rPr>
          <w:rFonts w:hint="eastAsia" w:ascii="仿宋" w:hAnsi="仿宋" w:eastAsia="仿宋" w:cs="仿宋"/>
          <w:sz w:val="32"/>
          <w:szCs w:val="32"/>
        </w:rPr>
        <w:t>日，部门（单位）共有车辆</w:t>
      </w:r>
      <w:r>
        <w:rPr>
          <w:rFonts w:ascii="仿宋" w:hAnsi="仿宋" w:eastAsia="仿宋" w:cs="仿宋"/>
          <w:sz w:val="32"/>
          <w:szCs w:val="32"/>
        </w:rPr>
        <w:t>1</w:t>
      </w:r>
      <w:r>
        <w:rPr>
          <w:rFonts w:hint="eastAsia" w:ascii="仿宋" w:hAnsi="仿宋" w:eastAsia="仿宋" w:cs="仿宋"/>
          <w:sz w:val="32"/>
          <w:szCs w:val="32"/>
        </w:rPr>
        <w:t>辆，其中，其他用车</w:t>
      </w:r>
      <w:r>
        <w:rPr>
          <w:rFonts w:ascii="仿宋" w:hAnsi="仿宋" w:eastAsia="仿宋" w:cs="仿宋"/>
          <w:sz w:val="32"/>
          <w:szCs w:val="32"/>
        </w:rPr>
        <w:t>1</w:t>
      </w:r>
      <w:r>
        <w:rPr>
          <w:rFonts w:hint="eastAsia" w:ascii="仿宋" w:hAnsi="仿宋" w:eastAsia="仿宋" w:cs="仿宋"/>
          <w:sz w:val="32"/>
          <w:szCs w:val="32"/>
        </w:rPr>
        <w:t>辆，其他用车主要是公务下乡出差；单位价值</w:t>
      </w:r>
      <w:r>
        <w:rPr>
          <w:rFonts w:ascii="仿宋" w:hAnsi="仿宋" w:eastAsia="仿宋" w:cs="仿宋"/>
          <w:sz w:val="32"/>
          <w:szCs w:val="32"/>
        </w:rPr>
        <w:t>50</w:t>
      </w:r>
      <w:r>
        <w:rPr>
          <w:rFonts w:hint="eastAsia" w:ascii="仿宋" w:hAnsi="仿宋" w:eastAsia="仿宋" w:cs="仿宋"/>
          <w:sz w:val="32"/>
          <w:szCs w:val="32"/>
        </w:rPr>
        <w:t>万元以上通用设备</w:t>
      </w:r>
      <w:r>
        <w:rPr>
          <w:rFonts w:ascii="仿宋" w:hAnsi="仿宋" w:eastAsia="仿宋" w:cs="仿宋"/>
          <w:sz w:val="32"/>
          <w:szCs w:val="32"/>
        </w:rPr>
        <w:t>0</w:t>
      </w:r>
      <w:r>
        <w:rPr>
          <w:rFonts w:hint="eastAsia" w:ascii="仿宋" w:hAnsi="仿宋" w:eastAsia="仿宋" w:cs="仿宋"/>
          <w:sz w:val="32"/>
          <w:szCs w:val="32"/>
        </w:rPr>
        <w:t>台（套）；单位价值</w:t>
      </w:r>
      <w:r>
        <w:rPr>
          <w:rFonts w:ascii="仿宋" w:hAnsi="仿宋" w:eastAsia="仿宋" w:cs="仿宋"/>
          <w:sz w:val="32"/>
          <w:szCs w:val="32"/>
        </w:rPr>
        <w:t>100</w:t>
      </w:r>
      <w:r>
        <w:rPr>
          <w:rFonts w:hint="eastAsia" w:ascii="仿宋" w:hAnsi="仿宋" w:eastAsia="仿宋" w:cs="仿宋"/>
          <w:sz w:val="32"/>
          <w:szCs w:val="32"/>
        </w:rPr>
        <w:t>万元以上专用设备</w:t>
      </w:r>
      <w:r>
        <w:rPr>
          <w:rFonts w:ascii="仿宋" w:hAnsi="仿宋" w:eastAsia="仿宋" w:cs="仿宋"/>
          <w:sz w:val="32"/>
          <w:szCs w:val="32"/>
        </w:rPr>
        <w:t>0</w:t>
      </w:r>
      <w:r>
        <w:rPr>
          <w:rFonts w:hint="eastAsia" w:ascii="仿宋" w:hAnsi="仿宋" w:eastAsia="仿宋" w:cs="仿宋"/>
          <w:sz w:val="32"/>
          <w:szCs w:val="32"/>
        </w:rPr>
        <w:t>台（套）。</w:t>
      </w:r>
    </w:p>
    <w:p>
      <w:pPr>
        <w:pStyle w:val="12"/>
        <w:rPr>
          <w:rFonts w:hAnsi="黑体" w:cs="Times New Roman"/>
          <w:b/>
          <w:bCs/>
          <w:sz w:val="32"/>
          <w:szCs w:val="32"/>
        </w:rPr>
      </w:pPr>
      <w:r>
        <w:rPr>
          <w:rFonts w:hint="eastAsia" w:hAnsi="黑体"/>
          <w:b/>
          <w:bCs/>
          <w:sz w:val="32"/>
          <w:szCs w:val="32"/>
        </w:rPr>
        <w:t>十三、</w:t>
      </w:r>
      <w:r>
        <w:rPr>
          <w:rFonts w:hAnsi="黑体"/>
          <w:b/>
          <w:bCs/>
          <w:sz w:val="32"/>
          <w:szCs w:val="32"/>
        </w:rPr>
        <w:t>202</w:t>
      </w:r>
      <w:r>
        <w:rPr>
          <w:rFonts w:hint="eastAsia" w:hAnsi="黑体"/>
          <w:b/>
          <w:bCs/>
          <w:sz w:val="32"/>
          <w:szCs w:val="32"/>
          <w:lang w:val="en-US" w:eastAsia="zh-CN"/>
        </w:rPr>
        <w:t>5</w:t>
      </w:r>
      <w:r>
        <w:rPr>
          <w:rFonts w:hint="eastAsia" w:hAnsi="黑体"/>
          <w:b/>
          <w:bCs/>
          <w:sz w:val="32"/>
          <w:szCs w:val="32"/>
        </w:rPr>
        <w:t>年度预算绩效情况说明</w:t>
      </w:r>
    </w:p>
    <w:p>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1</w:t>
      </w:r>
      <w:r>
        <w:rPr>
          <w:rFonts w:hint="eastAsia" w:ascii="宋体" w:hAnsi="宋体" w:cs="宋体"/>
          <w:b/>
          <w:bCs/>
          <w:color w:val="000000"/>
          <w:kern w:val="0"/>
          <w:sz w:val="32"/>
          <w:szCs w:val="32"/>
        </w:rPr>
        <w:t>）绩效管理评价工作开展情况</w:t>
      </w:r>
      <w:r>
        <w:rPr>
          <w:rFonts w:hint="eastAsia" w:ascii="宋体" w:hAnsi="宋体" w:cs="宋体"/>
          <w:color w:val="000000"/>
          <w:kern w:val="0"/>
          <w:sz w:val="32"/>
          <w:szCs w:val="32"/>
        </w:rPr>
        <w:t>。</w:t>
      </w:r>
    </w:p>
    <w:p>
      <w:pPr>
        <w:autoSpaceDE w:val="0"/>
        <w:autoSpaceDN w:val="0"/>
        <w:adjustRightInd w:val="0"/>
        <w:ind w:firstLine="640" w:firstLineChars="200"/>
        <w:jc w:val="left"/>
        <w:rPr>
          <w:rFonts w:ascii="仿宋" w:hAnsi="仿宋" w:eastAsia="仿宋" w:cs="Times New Roman"/>
          <w:color w:val="000000"/>
          <w:kern w:val="0"/>
          <w:sz w:val="32"/>
          <w:szCs w:val="32"/>
        </w:rPr>
      </w:pPr>
      <w:r>
        <w:rPr>
          <w:rFonts w:hint="eastAsia" w:ascii="仿宋" w:hAnsi="仿宋" w:eastAsia="仿宋" w:cs="仿宋"/>
          <w:color w:val="000000"/>
          <w:kern w:val="0"/>
          <w:sz w:val="32"/>
          <w:szCs w:val="32"/>
        </w:rPr>
        <w:t>根据预算绩效管理要求，我部门组织对</w:t>
      </w:r>
      <w:r>
        <w:rPr>
          <w:rFonts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年度一般公共预算项目支出全面开展绩效自评，其中，一级项目</w:t>
      </w:r>
      <w:r>
        <w:rPr>
          <w:rFonts w:ascii="仿宋" w:hAnsi="仿宋" w:eastAsia="仿宋" w:cs="仿宋"/>
          <w:color w:val="000000"/>
          <w:kern w:val="0"/>
          <w:sz w:val="32"/>
          <w:szCs w:val="32"/>
        </w:rPr>
        <w:t>1</w:t>
      </w:r>
      <w:r>
        <w:rPr>
          <w:rFonts w:hint="eastAsia" w:ascii="仿宋" w:hAnsi="仿宋" w:eastAsia="仿宋" w:cs="仿宋"/>
          <w:color w:val="000000"/>
          <w:kern w:val="0"/>
          <w:sz w:val="32"/>
          <w:szCs w:val="32"/>
        </w:rPr>
        <w:t>个，二级项目</w:t>
      </w:r>
      <w:r>
        <w:rPr>
          <w:rFonts w:ascii="仿宋" w:hAnsi="仿宋" w:eastAsia="仿宋" w:cs="仿宋"/>
          <w:color w:val="000000"/>
          <w:kern w:val="0"/>
          <w:sz w:val="32"/>
          <w:szCs w:val="32"/>
        </w:rPr>
        <w:t>1</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个，共涉及资金</w:t>
      </w:r>
      <w:r>
        <w:rPr>
          <w:rFonts w:ascii="仿宋" w:hAnsi="仿宋" w:eastAsia="仿宋" w:cs="仿宋"/>
          <w:color w:val="000000"/>
          <w:kern w:val="0"/>
          <w:sz w:val="32"/>
          <w:szCs w:val="32"/>
        </w:rPr>
        <w:t>18</w:t>
      </w:r>
      <w:r>
        <w:rPr>
          <w:rFonts w:hint="eastAsia" w:ascii="仿宋" w:hAnsi="仿宋" w:eastAsia="仿宋" w:cs="仿宋"/>
          <w:color w:val="000000"/>
          <w:kern w:val="0"/>
          <w:sz w:val="32"/>
          <w:szCs w:val="32"/>
          <w:lang w:val="en-US" w:eastAsia="zh-CN"/>
        </w:rPr>
        <w:t>621.97</w:t>
      </w:r>
      <w:r>
        <w:rPr>
          <w:rFonts w:hint="eastAsia" w:ascii="仿宋" w:hAnsi="仿宋" w:eastAsia="仿宋" w:cs="仿宋"/>
          <w:color w:val="000000"/>
          <w:kern w:val="0"/>
          <w:sz w:val="32"/>
          <w:szCs w:val="32"/>
        </w:rPr>
        <w:t>万元，占一般公共预算项目支出总额的</w:t>
      </w:r>
      <w:r>
        <w:rPr>
          <w:rFonts w:ascii="仿宋" w:hAnsi="仿宋" w:eastAsia="仿宋" w:cs="仿宋"/>
          <w:color w:val="000000"/>
          <w:kern w:val="0"/>
          <w:sz w:val="32"/>
          <w:szCs w:val="32"/>
        </w:rPr>
        <w:t>100%</w:t>
      </w:r>
      <w:r>
        <w:rPr>
          <w:rFonts w:hint="eastAsia" w:ascii="仿宋" w:hAnsi="仿宋" w:eastAsia="仿宋" w:cs="仿宋"/>
          <w:color w:val="000000"/>
          <w:kern w:val="0"/>
          <w:sz w:val="32"/>
          <w:szCs w:val="32"/>
        </w:rPr>
        <w:t>。组织对</w:t>
      </w:r>
      <w:r>
        <w:rPr>
          <w:rFonts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年度用于社会福利的彩票公益金支出等</w:t>
      </w:r>
      <w:r>
        <w:rPr>
          <w:rFonts w:hint="eastAsia" w:ascii="仿宋" w:hAnsi="仿宋" w:eastAsia="仿宋" w:cs="仿宋"/>
          <w:color w:val="000000"/>
          <w:kern w:val="0"/>
          <w:sz w:val="32"/>
          <w:szCs w:val="32"/>
          <w:lang w:val="en-US" w:eastAsia="zh-CN"/>
        </w:rPr>
        <w:t>1</w:t>
      </w:r>
      <w:r>
        <w:rPr>
          <w:rFonts w:hint="eastAsia" w:ascii="仿宋" w:hAnsi="仿宋" w:eastAsia="仿宋" w:cs="仿宋"/>
          <w:color w:val="000000"/>
          <w:kern w:val="0"/>
          <w:sz w:val="32"/>
          <w:szCs w:val="32"/>
        </w:rPr>
        <w:t>个政府性基金预算项目支出开展绩效自评，共涉及资金</w:t>
      </w:r>
      <w:r>
        <w:rPr>
          <w:rFonts w:ascii="仿宋" w:hAnsi="仿宋" w:eastAsia="仿宋" w:cs="仿宋"/>
          <w:color w:val="000000"/>
          <w:kern w:val="0"/>
          <w:sz w:val="32"/>
          <w:szCs w:val="32"/>
        </w:rPr>
        <w:t>8</w:t>
      </w:r>
      <w:r>
        <w:rPr>
          <w:rFonts w:hint="eastAsia" w:ascii="仿宋" w:hAnsi="仿宋" w:eastAsia="仿宋" w:cs="仿宋"/>
          <w:color w:val="000000"/>
          <w:kern w:val="0"/>
          <w:sz w:val="32"/>
          <w:szCs w:val="32"/>
          <w:lang w:val="en-US" w:eastAsia="zh-CN"/>
        </w:rPr>
        <w:t>65.46</w:t>
      </w:r>
      <w:r>
        <w:rPr>
          <w:rFonts w:hint="eastAsia" w:ascii="仿宋" w:hAnsi="仿宋" w:eastAsia="仿宋" w:cs="仿宋"/>
          <w:color w:val="000000"/>
          <w:kern w:val="0"/>
          <w:sz w:val="32"/>
          <w:szCs w:val="32"/>
        </w:rPr>
        <w:t>万元，占政府性基金预算项目支出总额的</w:t>
      </w:r>
      <w:r>
        <w:rPr>
          <w:rFonts w:ascii="仿宋" w:hAnsi="仿宋" w:eastAsia="仿宋" w:cs="仿宋"/>
          <w:color w:val="000000"/>
          <w:kern w:val="0"/>
          <w:sz w:val="32"/>
          <w:szCs w:val="32"/>
        </w:rPr>
        <w:t>100%</w:t>
      </w:r>
      <w:r>
        <w:rPr>
          <w:rFonts w:hint="eastAsia" w:ascii="仿宋" w:hAnsi="仿宋" w:eastAsia="仿宋" w:cs="仿宋"/>
          <w:color w:val="000000"/>
          <w:kern w:val="0"/>
          <w:sz w:val="32"/>
          <w:szCs w:val="32"/>
        </w:rPr>
        <w:t>。</w:t>
      </w:r>
    </w:p>
    <w:p>
      <w:pPr>
        <w:autoSpaceDE w:val="0"/>
        <w:autoSpaceDN w:val="0"/>
        <w:adjustRightInd w:val="0"/>
        <w:ind w:firstLine="640" w:firstLineChars="200"/>
        <w:jc w:val="left"/>
        <w:rPr>
          <w:rFonts w:ascii="仿宋" w:hAnsi="仿宋" w:eastAsia="仿宋" w:cs="Times New Roman"/>
          <w:color w:val="000000"/>
          <w:kern w:val="0"/>
          <w:sz w:val="32"/>
          <w:szCs w:val="32"/>
        </w:rPr>
      </w:pPr>
      <w:r>
        <w:rPr>
          <w:rFonts w:hint="eastAsia" w:ascii="仿宋" w:hAnsi="仿宋" w:eastAsia="仿宋" w:cs="仿宋"/>
          <w:color w:val="000000"/>
          <w:kern w:val="0"/>
          <w:sz w:val="32"/>
          <w:szCs w:val="32"/>
        </w:rPr>
        <w:t>组织对“最低生活保障”“特困供养”“养老服务”等</w:t>
      </w:r>
      <w:r>
        <w:rPr>
          <w:rFonts w:ascii="仿宋" w:hAnsi="仿宋" w:eastAsia="仿宋" w:cs="仿宋"/>
          <w:color w:val="000000"/>
          <w:kern w:val="0"/>
          <w:sz w:val="32"/>
          <w:szCs w:val="32"/>
        </w:rPr>
        <w:t>14</w:t>
      </w:r>
      <w:r>
        <w:rPr>
          <w:rFonts w:hint="eastAsia" w:ascii="仿宋" w:hAnsi="仿宋" w:eastAsia="仿宋" w:cs="仿宋"/>
          <w:color w:val="000000"/>
          <w:kern w:val="0"/>
          <w:sz w:val="32"/>
          <w:szCs w:val="32"/>
        </w:rPr>
        <w:t>个项目开展了部门评价，涉及一般公共预算支出</w:t>
      </w:r>
      <w:r>
        <w:rPr>
          <w:rFonts w:ascii="仿宋" w:hAnsi="仿宋" w:eastAsia="仿宋" w:cs="仿宋"/>
          <w:color w:val="000000"/>
          <w:kern w:val="0"/>
          <w:sz w:val="32"/>
          <w:szCs w:val="32"/>
        </w:rPr>
        <w:t>18</w:t>
      </w:r>
      <w:r>
        <w:rPr>
          <w:rFonts w:hint="eastAsia" w:ascii="仿宋" w:hAnsi="仿宋" w:eastAsia="仿宋" w:cs="仿宋"/>
          <w:color w:val="000000"/>
          <w:kern w:val="0"/>
          <w:sz w:val="32"/>
          <w:szCs w:val="32"/>
          <w:lang w:val="en-US" w:eastAsia="zh-CN"/>
        </w:rPr>
        <w:t>621.97</w:t>
      </w:r>
      <w:r>
        <w:rPr>
          <w:rFonts w:hint="eastAsia" w:ascii="仿宋" w:hAnsi="仿宋" w:eastAsia="仿宋" w:cs="仿宋"/>
          <w:color w:val="000000"/>
          <w:kern w:val="0"/>
          <w:sz w:val="32"/>
          <w:szCs w:val="32"/>
        </w:rPr>
        <w:t>万元，政府性基金预算支出</w:t>
      </w:r>
      <w:r>
        <w:rPr>
          <w:rFonts w:ascii="仿宋" w:hAnsi="仿宋" w:eastAsia="仿宋" w:cs="仿宋"/>
          <w:color w:val="000000"/>
          <w:kern w:val="0"/>
          <w:sz w:val="32"/>
          <w:szCs w:val="32"/>
        </w:rPr>
        <w:t>8</w:t>
      </w:r>
      <w:r>
        <w:rPr>
          <w:rFonts w:hint="eastAsia" w:ascii="仿宋" w:hAnsi="仿宋" w:eastAsia="仿宋" w:cs="仿宋"/>
          <w:color w:val="000000"/>
          <w:kern w:val="0"/>
          <w:sz w:val="32"/>
          <w:szCs w:val="32"/>
          <w:lang w:val="en-US" w:eastAsia="zh-CN"/>
        </w:rPr>
        <w:t>65.46</w:t>
      </w:r>
      <w:r>
        <w:rPr>
          <w:rFonts w:hint="eastAsia" w:ascii="仿宋" w:hAnsi="仿宋" w:eastAsia="仿宋" w:cs="仿宋"/>
          <w:color w:val="000000"/>
          <w:kern w:val="0"/>
          <w:sz w:val="32"/>
          <w:szCs w:val="32"/>
        </w:rPr>
        <w:t>万元，从评价情况来看，都符合专款专用的原则，保障了民生，加大了政府在群众心中的满意度，增加群众的幸福值。</w:t>
      </w:r>
    </w:p>
    <w:p>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2</w:t>
      </w:r>
      <w:r>
        <w:rPr>
          <w:rFonts w:hint="eastAsia" w:ascii="宋体" w:hAnsi="宋体" w:cs="宋体"/>
          <w:b/>
          <w:bCs/>
          <w:color w:val="000000"/>
          <w:kern w:val="0"/>
          <w:sz w:val="32"/>
          <w:szCs w:val="32"/>
        </w:rPr>
        <w:t>）部门评价项目绩效评价结果。</w:t>
      </w:r>
    </w:p>
    <w:p>
      <w:pPr>
        <w:autoSpaceDE w:val="0"/>
        <w:autoSpaceDN w:val="0"/>
        <w:adjustRightInd w:val="0"/>
        <w:ind w:firstLine="640" w:firstLineChars="200"/>
        <w:jc w:val="left"/>
        <w:rPr>
          <w:rFonts w:ascii="仿宋" w:hAnsi="仿宋" w:eastAsia="仿宋" w:cs="Times New Roman"/>
          <w:color w:val="000000"/>
          <w:kern w:val="0"/>
          <w:sz w:val="32"/>
          <w:szCs w:val="32"/>
        </w:rPr>
      </w:pPr>
      <w:r>
        <w:rPr>
          <w:rFonts w:hint="eastAsia" w:ascii="仿宋" w:hAnsi="仿宋" w:eastAsia="仿宋" w:cs="仿宋"/>
          <w:color w:val="000000"/>
          <w:kern w:val="0"/>
          <w:sz w:val="32"/>
          <w:szCs w:val="32"/>
        </w:rPr>
        <w:t>部门评价项目数量</w:t>
      </w:r>
      <w:r>
        <w:rPr>
          <w:rFonts w:ascii="仿宋" w:hAnsi="仿宋" w:eastAsia="仿宋" w:cs="仿宋"/>
          <w:color w:val="000000"/>
          <w:kern w:val="0"/>
          <w:sz w:val="32"/>
          <w:szCs w:val="32"/>
        </w:rPr>
        <w:t>3</w:t>
      </w:r>
      <w:r>
        <w:rPr>
          <w:rFonts w:hint="eastAsia" w:ascii="仿宋" w:hAnsi="仿宋" w:eastAsia="仿宋" w:cs="仿宋"/>
          <w:color w:val="000000"/>
          <w:kern w:val="0"/>
          <w:sz w:val="32"/>
          <w:szCs w:val="32"/>
        </w:rPr>
        <w:t>个以内的，至少将</w:t>
      </w:r>
      <w:r>
        <w:rPr>
          <w:rFonts w:ascii="仿宋" w:hAnsi="仿宋" w:eastAsia="仿宋" w:cs="仿宋"/>
          <w:color w:val="000000"/>
          <w:kern w:val="0"/>
          <w:sz w:val="32"/>
          <w:szCs w:val="32"/>
        </w:rPr>
        <w:t xml:space="preserve">1 </w:t>
      </w:r>
      <w:r>
        <w:rPr>
          <w:rFonts w:hint="eastAsia" w:ascii="仿宋" w:hAnsi="仿宋" w:eastAsia="仿宋" w:cs="仿宋"/>
          <w:color w:val="000000"/>
          <w:kern w:val="0"/>
          <w:sz w:val="32"/>
          <w:szCs w:val="32"/>
        </w:rPr>
        <w:t>个部门评价报告向社会公开；部门评价项目数量大于</w:t>
      </w:r>
      <w:r>
        <w:rPr>
          <w:rFonts w:ascii="仿宋" w:hAnsi="仿宋" w:eastAsia="仿宋" w:cs="仿宋"/>
          <w:color w:val="000000"/>
          <w:kern w:val="0"/>
          <w:sz w:val="32"/>
          <w:szCs w:val="32"/>
        </w:rPr>
        <w:t xml:space="preserve">3 </w:t>
      </w:r>
      <w:r>
        <w:rPr>
          <w:rFonts w:hint="eastAsia" w:ascii="仿宋" w:hAnsi="仿宋" w:eastAsia="仿宋" w:cs="仿宋"/>
          <w:color w:val="000000"/>
          <w:kern w:val="0"/>
          <w:sz w:val="32"/>
          <w:szCs w:val="32"/>
        </w:rPr>
        <w:t>个的，至少将</w:t>
      </w:r>
      <w:r>
        <w:rPr>
          <w:rFonts w:ascii="仿宋" w:hAnsi="仿宋" w:eastAsia="仿宋" w:cs="仿宋"/>
          <w:color w:val="000000"/>
          <w:kern w:val="0"/>
          <w:sz w:val="32"/>
          <w:szCs w:val="32"/>
        </w:rPr>
        <w:t xml:space="preserve">2 </w:t>
      </w:r>
      <w:r>
        <w:rPr>
          <w:rFonts w:hint="eastAsia" w:ascii="仿宋" w:hAnsi="仿宋" w:eastAsia="仿宋" w:cs="仿宋"/>
          <w:color w:val="000000"/>
          <w:kern w:val="0"/>
          <w:sz w:val="32"/>
          <w:szCs w:val="32"/>
        </w:rPr>
        <w:t>个部门评价报告向社会公开。报告框架可参考《项目支出绩效评价办法》（财预〔</w:t>
      </w:r>
      <w:r>
        <w:rPr>
          <w:rFonts w:ascii="仿宋" w:hAnsi="仿宋" w:eastAsia="仿宋" w:cs="仿宋"/>
          <w:color w:val="000000"/>
          <w:kern w:val="0"/>
          <w:sz w:val="32"/>
          <w:szCs w:val="32"/>
        </w:rPr>
        <w:t>2020</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 xml:space="preserve">10 </w:t>
      </w:r>
      <w:r>
        <w:rPr>
          <w:rFonts w:hint="eastAsia" w:ascii="仿宋" w:hAnsi="仿宋" w:eastAsia="仿宋" w:cs="仿宋"/>
          <w:color w:val="000000"/>
          <w:kern w:val="0"/>
          <w:sz w:val="32"/>
          <w:szCs w:val="32"/>
        </w:rPr>
        <w:t>号）中《项目支出绩效评价报告（参考提纲）》、《湖南省预算支出绩效评价管理办法》（湘财绩〔</w:t>
      </w:r>
      <w:r>
        <w:rPr>
          <w:rFonts w:ascii="仿宋" w:hAnsi="仿宋" w:eastAsia="仿宋" w:cs="仿宋"/>
          <w:color w:val="000000"/>
          <w:kern w:val="0"/>
          <w:sz w:val="32"/>
          <w:szCs w:val="32"/>
        </w:rPr>
        <w:t>2020</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7</w:t>
      </w:r>
      <w:r>
        <w:rPr>
          <w:rFonts w:hint="eastAsia" w:ascii="仿宋" w:hAnsi="仿宋" w:eastAsia="仿宋" w:cs="仿宋"/>
          <w:color w:val="000000"/>
          <w:kern w:val="0"/>
          <w:sz w:val="32"/>
          <w:szCs w:val="32"/>
        </w:rPr>
        <w:t>号）。</w:t>
      </w:r>
    </w:p>
    <w:p>
      <w:pPr>
        <w:pStyle w:val="12"/>
        <w:jc w:val="center"/>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r>
        <w:rPr>
          <w:rFonts w:hint="eastAsia"/>
          <w:sz w:val="72"/>
          <w:szCs w:val="72"/>
        </w:rPr>
        <w:t>第四部分</w:t>
      </w:r>
    </w:p>
    <w:p>
      <w:pPr>
        <w:jc w:val="center"/>
        <w:rPr>
          <w:rFonts w:ascii="黑体" w:eastAsia="黑体" w:cs="Times New Roman"/>
          <w:color w:val="000000"/>
          <w:kern w:val="0"/>
          <w:sz w:val="70"/>
          <w:szCs w:val="70"/>
        </w:rPr>
      </w:pPr>
    </w:p>
    <w:p>
      <w:pPr>
        <w:jc w:val="center"/>
        <w:rPr>
          <w:rFonts w:ascii="黑体" w:eastAsia="黑体" w:cs="Times New Roman"/>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Times New Roman"/>
          <w:color w:val="000000"/>
          <w:kern w:val="0"/>
          <w:sz w:val="70"/>
          <w:szCs w:val="70"/>
        </w:rPr>
      </w:pPr>
      <w:r>
        <w:rPr>
          <w:rFonts w:ascii="黑体" w:eastAsia="黑体" w:cs="Times New Roman"/>
          <w:color w:val="000000"/>
          <w:kern w:val="0"/>
          <w:sz w:val="70"/>
          <w:szCs w:val="70"/>
        </w:rPr>
        <w:br w:type="page"/>
      </w:r>
    </w:p>
    <w:p>
      <w:pPr>
        <w:ind w:firstLine="640" w:firstLineChars="200"/>
        <w:jc w:val="left"/>
        <w:rPr>
          <w:rFonts w:ascii="宋体" w:cs="Times New Roman"/>
          <w:color w:val="000000"/>
          <w:kern w:val="0"/>
          <w:sz w:val="32"/>
          <w:szCs w:val="32"/>
        </w:rPr>
      </w:pPr>
    </w:p>
    <w:p>
      <w:pPr>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一、“三公经费”是指因公出国（境）费用、公务用车购置及运行使用维护费、公务接待费等三项具体经费。</w:t>
      </w:r>
    </w:p>
    <w:p>
      <w:pPr>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二、“会议费”是指会议住宿费、伙食费、会议场地租金、文件印刷费、交通费等。</w:t>
      </w:r>
    </w:p>
    <w:p>
      <w:pPr>
        <w:widowControl/>
        <w:jc w:val="left"/>
        <w:rPr>
          <w:rFonts w:ascii="宋体" w:hAnsi="宋体" w:eastAsia="黑体" w:cs="Times New Roman"/>
          <w:color w:val="000000"/>
          <w:kern w:val="0"/>
          <w:sz w:val="28"/>
          <w:szCs w:val="28"/>
        </w:rPr>
      </w:pPr>
      <w:r>
        <w:rPr>
          <w:rFonts w:hint="eastAsia" w:ascii="宋体" w:hAnsi="宋体" w:cs="宋体"/>
          <w:color w:val="000000"/>
          <w:kern w:val="0"/>
          <w:sz w:val="32"/>
          <w:szCs w:val="32"/>
        </w:rPr>
        <w:t>三、“培训费”是指培训住宿费、伙食费、培训场地租金、培训资料印刷费、交通费等。</w:t>
      </w: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p>
    <w:p>
      <w:pPr>
        <w:pStyle w:val="12"/>
        <w:rPr>
          <w:rFonts w:cs="Times New Roman"/>
          <w:sz w:val="72"/>
          <w:szCs w:val="72"/>
        </w:rPr>
      </w:pPr>
    </w:p>
    <w:p>
      <w:pPr>
        <w:pStyle w:val="12"/>
        <w:jc w:val="center"/>
        <w:rPr>
          <w:rFonts w:cs="Times New Roman"/>
          <w:sz w:val="72"/>
          <w:szCs w:val="72"/>
        </w:rPr>
      </w:pPr>
    </w:p>
    <w:p>
      <w:pPr>
        <w:pStyle w:val="12"/>
        <w:jc w:val="center"/>
        <w:rPr>
          <w:rFonts w:cs="Times New Roman"/>
          <w:sz w:val="72"/>
          <w:szCs w:val="72"/>
        </w:rPr>
      </w:pPr>
      <w:r>
        <w:rPr>
          <w:rFonts w:hint="eastAsia"/>
          <w:sz w:val="72"/>
          <w:szCs w:val="72"/>
        </w:rPr>
        <w:t>第五部分</w:t>
      </w:r>
    </w:p>
    <w:p>
      <w:pPr>
        <w:jc w:val="center"/>
        <w:rPr>
          <w:rFonts w:ascii="黑体" w:eastAsia="黑体" w:cs="Times New Roman"/>
          <w:color w:val="000000"/>
          <w:kern w:val="0"/>
          <w:sz w:val="70"/>
          <w:szCs w:val="70"/>
        </w:rPr>
      </w:pPr>
    </w:p>
    <w:p>
      <w:pPr>
        <w:jc w:val="center"/>
        <w:rPr>
          <w:rFonts w:ascii="黑体" w:eastAsia="黑体" w:cs="Times New Roman"/>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Times New Roman"/>
          <w:color w:val="000000"/>
          <w:kern w:val="0"/>
          <w:sz w:val="70"/>
          <w:szCs w:val="70"/>
        </w:rPr>
      </w:pPr>
      <w:r>
        <w:rPr>
          <w:rFonts w:ascii="黑体" w:eastAsia="黑体" w:cs="Times New Roman"/>
          <w:color w:val="000000"/>
          <w:kern w:val="0"/>
          <w:sz w:val="70"/>
          <w:szCs w:val="70"/>
        </w:rPr>
        <w:br w:type="page"/>
      </w:r>
    </w:p>
    <w:p>
      <w:pPr>
        <w:pStyle w:val="2"/>
        <w:jc w:val="center"/>
        <w:rPr>
          <w:rFonts w:cs="Times New Roman"/>
        </w:rPr>
      </w:pPr>
      <w:r>
        <w:rPr>
          <w:rFonts w:hint="eastAsia" w:cs="宋体"/>
        </w:rPr>
        <w:t>道县民政局</w:t>
      </w:r>
      <w:r>
        <w:t>202</w:t>
      </w:r>
      <w:r>
        <w:rPr>
          <w:rFonts w:hint="eastAsia"/>
          <w:lang w:val="en-US" w:eastAsia="zh-CN"/>
        </w:rPr>
        <w:t>5</w:t>
      </w:r>
      <w:r>
        <w:rPr>
          <w:rFonts w:hint="eastAsia" w:cs="宋体"/>
        </w:rPr>
        <w:t>年部门整体绩效自评报告</w:t>
      </w:r>
    </w:p>
    <w:p>
      <w:pPr>
        <w:numPr>
          <w:ilvl w:val="0"/>
          <w:numId w:val="2"/>
        </w:numPr>
        <w:spacing w:line="360" w:lineRule="auto"/>
        <w:rPr>
          <w:rFonts w:cs="Times New Roman"/>
          <w:b/>
          <w:bCs/>
          <w:sz w:val="32"/>
          <w:szCs w:val="32"/>
        </w:rPr>
      </w:pPr>
      <w:r>
        <w:rPr>
          <w:rFonts w:hint="eastAsia" w:cs="宋体"/>
          <w:b/>
          <w:bCs/>
          <w:sz w:val="32"/>
          <w:szCs w:val="32"/>
        </w:rPr>
        <w:t>基本情况</w:t>
      </w:r>
    </w:p>
    <w:p>
      <w:pPr>
        <w:numPr>
          <w:ilvl w:val="0"/>
          <w:numId w:val="3"/>
        </w:numPr>
        <w:spacing w:line="360" w:lineRule="auto"/>
        <w:ind w:left="210"/>
        <w:rPr>
          <w:rFonts w:ascii="仿宋" w:hAnsi="仿宋" w:eastAsia="仿宋" w:cs="Times New Roman"/>
          <w:sz w:val="32"/>
          <w:szCs w:val="32"/>
        </w:rPr>
      </w:pPr>
      <w:r>
        <w:rPr>
          <w:rFonts w:hint="eastAsia" w:ascii="仿宋" w:hAnsi="仿宋" w:eastAsia="仿宋" w:cs="仿宋"/>
          <w:sz w:val="32"/>
          <w:szCs w:val="32"/>
        </w:rPr>
        <w:t>部门（单位）基本情况</w:t>
      </w:r>
    </w:p>
    <w:p>
      <w:pPr>
        <w:widowControl/>
        <w:spacing w:line="360" w:lineRule="auto"/>
        <w:ind w:firstLine="640" w:firstLineChars="20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、职能职责</w:t>
      </w:r>
    </w:p>
    <w:p>
      <w:pPr>
        <w:widowControl/>
        <w:spacing w:line="360" w:lineRule="auto"/>
        <w:ind w:firstLine="640" w:firstLineChars="200"/>
        <w:rPr>
          <w:rFonts w:ascii="仿宋" w:hAnsi="仿宋" w:eastAsia="仿宋" w:cs="Times New Roman"/>
          <w:sz w:val="32"/>
          <w:szCs w:val="32"/>
        </w:rPr>
      </w:pPr>
      <w:r>
        <w:rPr>
          <w:rFonts w:hint="eastAsia" w:ascii="仿宋" w:hAnsi="仿宋" w:eastAsia="仿宋" w:cs="仿宋"/>
          <w:sz w:val="32"/>
          <w:szCs w:val="32"/>
        </w:rPr>
        <w:t>困难群众生活救助、基层政权和社区建设、社会事务管理工作，健全城乡社会救助体系，负责城乡居民最低生活保障、特困供养、临时救助、生活无着人员救助等工作。</w:t>
      </w:r>
    </w:p>
    <w:p>
      <w:pPr>
        <w:widowControl/>
        <w:spacing w:line="360" w:lineRule="auto"/>
        <w:ind w:firstLine="640" w:firstLineChars="20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、机构设置</w:t>
      </w:r>
    </w:p>
    <w:p>
      <w:pPr>
        <w:spacing w:line="360" w:lineRule="auto"/>
        <w:ind w:firstLine="640" w:firstLineChars="200"/>
        <w:rPr>
          <w:rFonts w:ascii="仿宋" w:hAnsi="仿宋" w:eastAsia="仿宋" w:cs="Times New Roman"/>
          <w:sz w:val="32"/>
          <w:szCs w:val="32"/>
        </w:rPr>
      </w:pPr>
      <w:r>
        <w:rPr>
          <w:rFonts w:hint="eastAsia" w:ascii="仿宋" w:hAnsi="仿宋" w:eastAsia="仿宋" w:cs="仿宋"/>
          <w:sz w:val="32"/>
          <w:szCs w:val="32"/>
        </w:rPr>
        <w:t>本单位为正科级单位，</w:t>
      </w:r>
      <w:r>
        <w:rPr>
          <w:rFonts w:hint="eastAsia" w:ascii="仿宋" w:hAnsi="仿宋" w:eastAsia="仿宋" w:cs="仿宋"/>
          <w:kern w:val="0"/>
          <w:sz w:val="32"/>
          <w:szCs w:val="32"/>
        </w:rPr>
        <w:t>局机关内设综合股、社会组织管理和慈善事业促进股、社会救助股、区划地名股、养老服务股等</w:t>
      </w:r>
      <w:r>
        <w:rPr>
          <w:rFonts w:ascii="仿宋" w:hAnsi="仿宋" w:eastAsia="仿宋" w:cs="仿宋"/>
          <w:kern w:val="0"/>
          <w:sz w:val="32"/>
          <w:szCs w:val="32"/>
        </w:rPr>
        <w:t>7</w:t>
      </w:r>
      <w:r>
        <w:rPr>
          <w:rFonts w:hint="eastAsia" w:ascii="仿宋" w:hAnsi="仿宋" w:eastAsia="仿宋" w:cs="仿宋"/>
          <w:kern w:val="0"/>
          <w:sz w:val="32"/>
          <w:szCs w:val="32"/>
        </w:rPr>
        <w:t>个股室，</w:t>
      </w:r>
      <w:r>
        <w:rPr>
          <w:rFonts w:hint="eastAsia" w:ascii="仿宋" w:hAnsi="仿宋" w:eastAsia="仿宋" w:cs="仿宋"/>
          <w:sz w:val="32"/>
          <w:szCs w:val="32"/>
        </w:rPr>
        <w:t>下设社会事务管理中心、社会福利院等机构。现有在职在编人员</w:t>
      </w:r>
      <w:r>
        <w:rPr>
          <w:rFonts w:ascii="仿宋" w:hAnsi="仿宋" w:eastAsia="仿宋" w:cs="仿宋"/>
          <w:sz w:val="32"/>
          <w:szCs w:val="32"/>
        </w:rPr>
        <w:t>6</w:t>
      </w:r>
      <w:r>
        <w:rPr>
          <w:rFonts w:hint="eastAsia" w:ascii="仿宋" w:hAnsi="仿宋" w:eastAsia="仿宋" w:cs="仿宋"/>
          <w:sz w:val="32"/>
          <w:szCs w:val="32"/>
          <w:lang w:val="en-US" w:eastAsia="zh-CN"/>
        </w:rPr>
        <w:t>6</w:t>
      </w:r>
      <w:r>
        <w:rPr>
          <w:rFonts w:hint="eastAsia" w:ascii="仿宋" w:hAnsi="仿宋" w:eastAsia="仿宋" w:cs="仿宋"/>
          <w:sz w:val="32"/>
          <w:szCs w:val="32"/>
        </w:rPr>
        <w:t>人，其中行政编制</w:t>
      </w:r>
      <w:r>
        <w:rPr>
          <w:rFonts w:ascii="仿宋" w:hAnsi="仿宋" w:eastAsia="仿宋" w:cs="仿宋"/>
          <w:sz w:val="32"/>
          <w:szCs w:val="32"/>
        </w:rPr>
        <w:t>2</w:t>
      </w:r>
      <w:r>
        <w:rPr>
          <w:rFonts w:hint="eastAsia" w:ascii="仿宋" w:hAnsi="仿宋" w:eastAsia="仿宋" w:cs="仿宋"/>
          <w:sz w:val="32"/>
          <w:szCs w:val="32"/>
          <w:lang w:val="en-US" w:eastAsia="zh-CN"/>
        </w:rPr>
        <w:t>0</w:t>
      </w:r>
      <w:r>
        <w:rPr>
          <w:rFonts w:hint="eastAsia" w:ascii="仿宋" w:hAnsi="仿宋" w:eastAsia="仿宋" w:cs="仿宋"/>
          <w:sz w:val="32"/>
          <w:szCs w:val="32"/>
        </w:rPr>
        <w:t>人，全额拨款事业编制</w:t>
      </w:r>
      <w:r>
        <w:rPr>
          <w:rFonts w:ascii="仿宋" w:hAnsi="仿宋" w:eastAsia="仿宋" w:cs="仿宋"/>
          <w:sz w:val="32"/>
          <w:szCs w:val="32"/>
        </w:rPr>
        <w:t>3</w:t>
      </w:r>
      <w:r>
        <w:rPr>
          <w:rFonts w:hint="eastAsia" w:ascii="仿宋" w:hAnsi="仿宋" w:eastAsia="仿宋" w:cs="仿宋"/>
          <w:sz w:val="32"/>
          <w:szCs w:val="32"/>
          <w:lang w:val="en-US" w:eastAsia="zh-CN"/>
        </w:rPr>
        <w:t>2</w:t>
      </w:r>
      <w:r>
        <w:rPr>
          <w:rFonts w:hint="eastAsia" w:ascii="仿宋" w:hAnsi="仿宋" w:eastAsia="仿宋" w:cs="仿宋"/>
          <w:sz w:val="32"/>
          <w:szCs w:val="32"/>
        </w:rPr>
        <w:t>人，差额拨款事业编制</w:t>
      </w:r>
      <w:r>
        <w:rPr>
          <w:rFonts w:ascii="仿宋" w:hAnsi="仿宋" w:eastAsia="仿宋" w:cs="仿宋"/>
          <w:sz w:val="32"/>
          <w:szCs w:val="32"/>
        </w:rPr>
        <w:t>14</w:t>
      </w:r>
      <w:r>
        <w:rPr>
          <w:rFonts w:hint="eastAsia" w:ascii="仿宋" w:hAnsi="仿宋" w:eastAsia="仿宋" w:cs="仿宋"/>
          <w:sz w:val="32"/>
          <w:szCs w:val="32"/>
        </w:rPr>
        <w:t>人；离退休人员</w:t>
      </w:r>
      <w:r>
        <w:rPr>
          <w:rFonts w:ascii="仿宋" w:hAnsi="仿宋" w:eastAsia="仿宋" w:cs="仿宋"/>
          <w:sz w:val="32"/>
          <w:szCs w:val="32"/>
        </w:rPr>
        <w:t>5</w:t>
      </w:r>
      <w:r>
        <w:rPr>
          <w:rFonts w:hint="eastAsia" w:ascii="仿宋" w:hAnsi="仿宋" w:eastAsia="仿宋" w:cs="仿宋"/>
          <w:sz w:val="32"/>
          <w:szCs w:val="32"/>
          <w:lang w:val="en-US" w:eastAsia="zh-CN"/>
        </w:rPr>
        <w:t>5</w:t>
      </w:r>
      <w:r>
        <w:rPr>
          <w:rFonts w:hint="eastAsia" w:ascii="仿宋" w:hAnsi="仿宋" w:eastAsia="仿宋" w:cs="仿宋"/>
          <w:sz w:val="32"/>
          <w:szCs w:val="32"/>
        </w:rPr>
        <w:t>人。公务用车</w:t>
      </w:r>
      <w:r>
        <w:rPr>
          <w:rFonts w:ascii="仿宋" w:hAnsi="仿宋" w:eastAsia="仿宋" w:cs="仿宋"/>
          <w:sz w:val="32"/>
          <w:szCs w:val="32"/>
        </w:rPr>
        <w:t>1</w:t>
      </w:r>
      <w:r>
        <w:rPr>
          <w:rFonts w:hint="eastAsia" w:ascii="仿宋" w:hAnsi="仿宋" w:eastAsia="仿宋" w:cs="仿宋"/>
          <w:sz w:val="32"/>
          <w:szCs w:val="32"/>
        </w:rPr>
        <w:t>辆。部门（单位）年度整体支出绩效目标</w:t>
      </w:r>
    </w:p>
    <w:p>
      <w:pPr>
        <w:spacing w:line="360" w:lineRule="auto"/>
        <w:ind w:firstLine="640" w:firstLineChars="200"/>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、保障民生，完善社会救助工作，加强社会救助平台建设，进一步提高社会救助水平，续续推动城乡低保标准稳步提高。</w:t>
      </w:r>
      <w:r>
        <w:rPr>
          <w:rFonts w:ascii="仿宋" w:hAnsi="仿宋" w:eastAsia="仿宋" w:cs="仿宋"/>
          <w:sz w:val="32"/>
          <w:szCs w:val="32"/>
        </w:rPr>
        <w:t xml:space="preserve"> </w:t>
      </w:r>
    </w:p>
    <w:p>
      <w:pPr>
        <w:spacing w:line="360" w:lineRule="auto"/>
        <w:ind w:firstLine="640" w:firstLineChars="20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、加强社会福利和促进慈善业发展，保障残疾人两补，孤儿生活保障金、高龄补贴及时按规定发放到位。</w:t>
      </w:r>
    </w:p>
    <w:p>
      <w:pPr>
        <w:spacing w:line="360" w:lineRule="auto"/>
        <w:ind w:firstLine="640" w:firstLineChars="200"/>
        <w:rPr>
          <w:rFonts w:ascii="仿宋" w:hAnsi="仿宋" w:eastAsia="仿宋" w:cs="Times New Roman"/>
          <w:sz w:val="32"/>
          <w:szCs w:val="32"/>
        </w:rPr>
      </w:pPr>
      <w:r>
        <w:rPr>
          <w:rFonts w:ascii="仿宋" w:hAnsi="仿宋" w:eastAsia="仿宋" w:cs="仿宋"/>
          <w:sz w:val="32"/>
          <w:szCs w:val="32"/>
        </w:rPr>
        <w:t>3</w:t>
      </w:r>
      <w:r>
        <w:rPr>
          <w:rFonts w:hint="eastAsia" w:ascii="仿宋" w:hAnsi="仿宋" w:eastAsia="仿宋" w:cs="仿宋"/>
          <w:sz w:val="32"/>
          <w:szCs w:val="32"/>
        </w:rPr>
        <w:t>、加强基层政权及社区建设，加强社会组织管理，加强区划地名和界线管理，进一步规范婚姻、收养登记工作。</w:t>
      </w:r>
    </w:p>
    <w:p>
      <w:pPr>
        <w:spacing w:line="360" w:lineRule="auto"/>
        <w:ind w:firstLine="640" w:firstLineChars="200"/>
        <w:rPr>
          <w:rFonts w:ascii="仿宋" w:hAnsi="仿宋" w:eastAsia="仿宋" w:cs="Times New Roman"/>
          <w:sz w:val="32"/>
          <w:szCs w:val="32"/>
        </w:rPr>
      </w:pPr>
      <w:r>
        <w:rPr>
          <w:rFonts w:ascii="仿宋" w:hAnsi="仿宋" w:eastAsia="仿宋" w:cs="仿宋"/>
          <w:sz w:val="32"/>
          <w:szCs w:val="32"/>
        </w:rPr>
        <w:t>4</w:t>
      </w:r>
      <w:r>
        <w:rPr>
          <w:rFonts w:hint="eastAsia" w:ascii="仿宋" w:hAnsi="仿宋" w:eastAsia="仿宋" w:cs="仿宋"/>
          <w:sz w:val="32"/>
          <w:szCs w:val="32"/>
        </w:rPr>
        <w:t>、提高民政综合能力建设。</w:t>
      </w:r>
    </w:p>
    <w:p>
      <w:pPr>
        <w:spacing w:line="360" w:lineRule="auto"/>
        <w:ind w:firstLine="640" w:firstLineChars="200"/>
        <w:rPr>
          <w:rFonts w:ascii="黑体" w:hAnsi="黑体" w:eastAsia="黑体" w:cs="Times New Roman"/>
          <w:sz w:val="32"/>
          <w:szCs w:val="32"/>
        </w:rPr>
      </w:pPr>
      <w:r>
        <w:rPr>
          <w:rFonts w:hint="eastAsia" w:ascii="黑体" w:hAnsi="黑体" w:eastAsia="黑体" w:cs="黑体"/>
          <w:sz w:val="32"/>
          <w:szCs w:val="32"/>
        </w:rPr>
        <w:t>二、一般公共预算支出情况</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年一般公共预算拨款收入</w:t>
      </w:r>
      <w:r>
        <w:rPr>
          <w:rFonts w:hint="eastAsia" w:ascii="仿宋_GB2312" w:hAnsi="仿宋" w:eastAsia="仿宋_GB2312"/>
          <w:sz w:val="32"/>
          <w:szCs w:val="32"/>
          <w:highlight w:val="none"/>
          <w:lang w:val="en-US" w:eastAsia="zh-CN"/>
        </w:rPr>
        <w:t>19534.39</w:t>
      </w:r>
      <w:r>
        <w:rPr>
          <w:rFonts w:hint="eastAsia" w:ascii="仿宋_GB2312" w:hAnsi="仿宋" w:eastAsia="仿宋_GB2312" w:cs="仿宋_GB2312"/>
          <w:sz w:val="32"/>
          <w:szCs w:val="32"/>
        </w:rPr>
        <w:t>万元，具体安排情况如下：</w:t>
      </w:r>
    </w:p>
    <w:p>
      <w:pPr>
        <w:spacing w:line="560" w:lineRule="exact"/>
        <w:ind w:firstLine="640" w:firstLineChars="200"/>
        <w:rPr>
          <w:rFonts w:ascii="楷体_GB2312" w:hAnsi="楷体_GB2312" w:eastAsia="楷体_GB2312" w:cs="Times New Roman"/>
          <w:b/>
          <w:bCs/>
          <w:sz w:val="32"/>
          <w:szCs w:val="32"/>
        </w:rPr>
      </w:pPr>
      <w:r>
        <w:rPr>
          <w:rFonts w:ascii="楷体_GB2312" w:hAnsi="楷体_GB2312" w:eastAsia="楷体_GB2312" w:cs="楷体_GB2312"/>
          <w:b/>
          <w:bCs/>
          <w:sz w:val="32"/>
          <w:szCs w:val="32"/>
        </w:rPr>
        <w:t xml:space="preserve"> </w:t>
      </w:r>
      <w:r>
        <w:rPr>
          <w:rFonts w:hint="eastAsia" w:ascii="楷体_GB2312" w:hAnsi="楷体_GB2312" w:eastAsia="楷体_GB2312" w:cs="楷体_GB2312"/>
          <w:b/>
          <w:bCs/>
          <w:sz w:val="32"/>
          <w:szCs w:val="32"/>
        </w:rPr>
        <w:t>（一）基本支出情况：</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年全年预算数为</w:t>
      </w:r>
      <w:r>
        <w:rPr>
          <w:rFonts w:ascii="仿宋_GB2312" w:hAnsi="仿宋" w:eastAsia="仿宋_GB2312" w:cs="仿宋_GB2312"/>
          <w:sz w:val="32"/>
          <w:szCs w:val="32"/>
        </w:rPr>
        <w:t>91</w:t>
      </w:r>
      <w:r>
        <w:rPr>
          <w:rFonts w:hint="eastAsia" w:ascii="仿宋_GB2312" w:hAnsi="仿宋" w:eastAsia="仿宋_GB2312" w:cs="仿宋_GB2312"/>
          <w:sz w:val="32"/>
          <w:szCs w:val="32"/>
          <w:lang w:val="en-US" w:eastAsia="zh-CN"/>
        </w:rPr>
        <w:t>2.42</w:t>
      </w:r>
      <w:r>
        <w:rPr>
          <w:rFonts w:hint="eastAsia" w:ascii="仿宋_GB2312" w:hAnsi="仿宋" w:eastAsia="仿宋_GB2312" w:cs="仿宋_GB2312"/>
          <w:sz w:val="32"/>
          <w:szCs w:val="32"/>
        </w:rPr>
        <w:t>万元，其中：行政运行支出</w:t>
      </w:r>
      <w:r>
        <w:rPr>
          <w:rFonts w:hint="eastAsia" w:ascii="仿宋_GB2312" w:hAnsi="仿宋" w:eastAsia="仿宋_GB2312" w:cs="仿宋_GB2312"/>
          <w:sz w:val="32"/>
          <w:szCs w:val="32"/>
          <w:lang w:val="en-US" w:eastAsia="zh-CN"/>
        </w:rPr>
        <w:t>802.78</w:t>
      </w:r>
      <w:r>
        <w:rPr>
          <w:rFonts w:hint="eastAsia" w:ascii="仿宋_GB2312" w:hAnsi="仿宋" w:eastAsia="仿宋_GB2312" w:cs="仿宋_GB2312"/>
          <w:sz w:val="32"/>
          <w:szCs w:val="32"/>
        </w:rPr>
        <w:t>万元，机关事业单位基本养老保险缴费支出</w:t>
      </w:r>
      <w:r>
        <w:rPr>
          <w:rFonts w:hint="eastAsia" w:ascii="仿宋_GB2312" w:hAnsi="仿宋" w:eastAsia="仿宋_GB2312" w:cs="仿宋_GB2312"/>
          <w:sz w:val="32"/>
          <w:szCs w:val="32"/>
          <w:lang w:val="en-US" w:eastAsia="zh-CN"/>
        </w:rPr>
        <w:t>71.13</w:t>
      </w:r>
      <w:r>
        <w:rPr>
          <w:rFonts w:hint="eastAsia" w:ascii="仿宋_GB2312" w:hAnsi="仿宋" w:eastAsia="仿宋_GB2312" w:cs="仿宋_GB2312"/>
          <w:sz w:val="32"/>
          <w:szCs w:val="32"/>
        </w:rPr>
        <w:t>万元，行政单位医疗支出</w:t>
      </w:r>
      <w:r>
        <w:rPr>
          <w:rFonts w:ascii="仿宋_GB2312" w:hAnsi="仿宋" w:eastAsia="仿宋_GB2312" w:cs="仿宋_GB2312"/>
          <w:sz w:val="32"/>
          <w:szCs w:val="32"/>
        </w:rPr>
        <w:t>3</w:t>
      </w:r>
      <w:r>
        <w:rPr>
          <w:rFonts w:hint="eastAsia" w:ascii="仿宋_GB2312" w:hAnsi="仿宋" w:eastAsia="仿宋_GB2312" w:cs="仿宋_GB2312"/>
          <w:sz w:val="32"/>
          <w:szCs w:val="32"/>
          <w:lang w:val="en-US" w:eastAsia="zh-CN"/>
        </w:rPr>
        <w:t>8.51</w:t>
      </w:r>
      <w:r>
        <w:rPr>
          <w:rFonts w:hint="eastAsia" w:ascii="仿宋_GB2312" w:hAnsi="仿宋" w:eastAsia="仿宋_GB2312" w:cs="仿宋_GB2312"/>
          <w:sz w:val="32"/>
          <w:szCs w:val="32"/>
        </w:rPr>
        <w:t>万元。</w:t>
      </w:r>
    </w:p>
    <w:p>
      <w:pPr>
        <w:spacing w:line="560" w:lineRule="exact"/>
        <w:ind w:firstLine="640" w:firstLineChars="200"/>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（二）项目支出情况：</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年专项经费支出</w:t>
      </w:r>
      <w:r>
        <w:rPr>
          <w:rFonts w:ascii="仿宋_GB2312" w:hAnsi="仿宋" w:eastAsia="仿宋_GB2312" w:cs="仿宋_GB2312"/>
          <w:sz w:val="32"/>
          <w:szCs w:val="32"/>
        </w:rPr>
        <w:t>18</w:t>
      </w:r>
      <w:r>
        <w:rPr>
          <w:rFonts w:hint="eastAsia" w:ascii="仿宋_GB2312" w:hAnsi="仿宋" w:eastAsia="仿宋_GB2312" w:cs="仿宋_GB2312"/>
          <w:sz w:val="32"/>
          <w:szCs w:val="32"/>
          <w:lang w:val="en-US" w:eastAsia="zh-CN"/>
        </w:rPr>
        <w:t>621.97</w:t>
      </w:r>
      <w:r>
        <w:rPr>
          <w:rFonts w:hint="eastAsia" w:ascii="仿宋_GB2312" w:hAnsi="仿宋" w:eastAsia="仿宋_GB2312" w:cs="仿宋_GB2312"/>
          <w:sz w:val="32"/>
          <w:szCs w:val="32"/>
        </w:rPr>
        <w:t>万元，其中：社会组织管理</w:t>
      </w:r>
      <w:r>
        <w:rPr>
          <w:rFonts w:hint="eastAsia" w:ascii="仿宋_GB2312" w:hAnsi="仿宋" w:eastAsia="仿宋_GB2312" w:cs="仿宋_GB2312"/>
          <w:sz w:val="32"/>
          <w:szCs w:val="32"/>
          <w:lang w:val="en-US" w:eastAsia="zh-CN"/>
        </w:rPr>
        <w:t>1.08</w:t>
      </w:r>
      <w:r>
        <w:rPr>
          <w:rFonts w:hint="eastAsia" w:ascii="仿宋_GB2312" w:hAnsi="仿宋" w:eastAsia="仿宋_GB2312" w:cs="仿宋_GB2312"/>
          <w:sz w:val="32"/>
          <w:szCs w:val="32"/>
        </w:rPr>
        <w:t>万元，其他民政管理事务</w:t>
      </w:r>
      <w:r>
        <w:rPr>
          <w:rFonts w:hint="eastAsia" w:ascii="仿宋_GB2312" w:hAnsi="仿宋" w:eastAsia="仿宋_GB2312" w:cs="仿宋_GB2312"/>
          <w:sz w:val="32"/>
          <w:szCs w:val="32"/>
          <w:lang w:val="en-US" w:eastAsia="zh-CN"/>
        </w:rPr>
        <w:t>141.34</w:t>
      </w:r>
      <w:r>
        <w:rPr>
          <w:rFonts w:hint="eastAsia" w:ascii="仿宋_GB2312" w:hAnsi="仿宋" w:eastAsia="仿宋_GB2312" w:cs="仿宋_GB2312"/>
          <w:sz w:val="32"/>
          <w:szCs w:val="32"/>
        </w:rPr>
        <w:t>万元，死亡抚恤</w:t>
      </w:r>
      <w:r>
        <w:rPr>
          <w:rFonts w:hint="eastAsia" w:ascii="仿宋_GB2312" w:hAnsi="仿宋" w:eastAsia="仿宋_GB2312" w:cs="仿宋_GB2312"/>
          <w:sz w:val="32"/>
          <w:szCs w:val="32"/>
          <w:lang w:val="en-US" w:eastAsia="zh-CN"/>
        </w:rPr>
        <w:t>20.93</w:t>
      </w:r>
      <w:r>
        <w:rPr>
          <w:rFonts w:hint="eastAsia" w:ascii="仿宋_GB2312" w:hAnsi="仿宋" w:eastAsia="仿宋_GB2312" w:cs="仿宋_GB2312"/>
          <w:sz w:val="32"/>
          <w:szCs w:val="32"/>
        </w:rPr>
        <w:t>万元，城市低保</w:t>
      </w:r>
      <w:r>
        <w:rPr>
          <w:rFonts w:hint="eastAsia" w:ascii="仿宋_GB2312" w:hAnsi="仿宋" w:eastAsia="仿宋_GB2312" w:cs="仿宋_GB2312"/>
          <w:sz w:val="32"/>
          <w:szCs w:val="32"/>
          <w:lang w:val="en-US" w:eastAsia="zh-CN"/>
        </w:rPr>
        <w:t>1578.36</w:t>
      </w:r>
      <w:r>
        <w:rPr>
          <w:rFonts w:hint="eastAsia" w:ascii="仿宋_GB2312" w:hAnsi="仿宋" w:eastAsia="仿宋_GB2312" w:cs="仿宋_GB2312"/>
          <w:sz w:val="32"/>
          <w:szCs w:val="32"/>
        </w:rPr>
        <w:t>万元，农村低保</w:t>
      </w:r>
      <w:r>
        <w:rPr>
          <w:rFonts w:hint="eastAsia" w:ascii="仿宋_GB2312" w:hAnsi="仿宋" w:eastAsia="仿宋_GB2312" w:cs="仿宋_GB2312"/>
          <w:sz w:val="32"/>
          <w:szCs w:val="32"/>
          <w:lang w:val="en-US" w:eastAsia="zh-CN"/>
        </w:rPr>
        <w:t>7667.75</w:t>
      </w:r>
      <w:r>
        <w:rPr>
          <w:rFonts w:hint="eastAsia" w:ascii="仿宋_GB2312" w:hAnsi="仿宋" w:eastAsia="仿宋_GB2312" w:cs="仿宋_GB2312"/>
          <w:sz w:val="32"/>
          <w:szCs w:val="32"/>
        </w:rPr>
        <w:t>万元，城市特困</w:t>
      </w:r>
      <w:r>
        <w:rPr>
          <w:rFonts w:ascii="仿宋_GB2312" w:hAnsi="仿宋" w:eastAsia="仿宋_GB2312" w:cs="仿宋_GB2312"/>
          <w:sz w:val="32"/>
          <w:szCs w:val="32"/>
        </w:rPr>
        <w:t>10</w:t>
      </w:r>
      <w:r>
        <w:rPr>
          <w:rFonts w:hint="eastAsia" w:ascii="仿宋_GB2312" w:hAnsi="仿宋" w:eastAsia="仿宋_GB2312" w:cs="仿宋_GB2312"/>
          <w:sz w:val="32"/>
          <w:szCs w:val="32"/>
          <w:lang w:val="en-US" w:eastAsia="zh-CN"/>
        </w:rPr>
        <w:t>8.53</w:t>
      </w:r>
      <w:r>
        <w:rPr>
          <w:rFonts w:hint="eastAsia" w:ascii="仿宋_GB2312" w:hAnsi="仿宋" w:eastAsia="仿宋_GB2312" w:cs="仿宋_GB2312"/>
          <w:sz w:val="32"/>
          <w:szCs w:val="32"/>
        </w:rPr>
        <w:t>万元，农村特困</w:t>
      </w:r>
      <w:r>
        <w:rPr>
          <w:rFonts w:ascii="仿宋_GB2312" w:hAnsi="仿宋" w:eastAsia="仿宋_GB2312" w:cs="仿宋_GB2312"/>
          <w:sz w:val="32"/>
          <w:szCs w:val="32"/>
        </w:rPr>
        <w:t>47</w:t>
      </w:r>
      <w:r>
        <w:rPr>
          <w:rFonts w:hint="eastAsia" w:ascii="仿宋_GB2312" w:hAnsi="仿宋" w:eastAsia="仿宋_GB2312" w:cs="仿宋_GB2312"/>
          <w:sz w:val="32"/>
          <w:szCs w:val="32"/>
          <w:lang w:val="en-US" w:eastAsia="zh-CN"/>
        </w:rPr>
        <w:t>16.81</w:t>
      </w:r>
      <w:r>
        <w:rPr>
          <w:rFonts w:hint="eastAsia" w:ascii="仿宋_GB2312" w:hAnsi="仿宋" w:eastAsia="仿宋_GB2312" w:cs="仿宋_GB2312"/>
          <w:sz w:val="32"/>
          <w:szCs w:val="32"/>
        </w:rPr>
        <w:t>万元，儿童福利</w:t>
      </w:r>
      <w:r>
        <w:rPr>
          <w:rFonts w:ascii="仿宋_GB2312" w:hAnsi="仿宋" w:eastAsia="仿宋_GB2312" w:cs="仿宋_GB2312"/>
          <w:sz w:val="32"/>
          <w:szCs w:val="32"/>
        </w:rPr>
        <w:t>11</w:t>
      </w:r>
      <w:r>
        <w:rPr>
          <w:rFonts w:hint="eastAsia" w:ascii="仿宋_GB2312" w:hAnsi="仿宋" w:eastAsia="仿宋_GB2312" w:cs="仿宋_GB2312"/>
          <w:sz w:val="32"/>
          <w:szCs w:val="32"/>
          <w:lang w:val="en-US" w:eastAsia="zh-CN"/>
        </w:rPr>
        <w:t>65.77</w:t>
      </w:r>
      <w:r>
        <w:rPr>
          <w:rFonts w:hint="eastAsia" w:ascii="仿宋_GB2312" w:hAnsi="仿宋" w:eastAsia="仿宋_GB2312" w:cs="仿宋_GB2312"/>
          <w:sz w:val="32"/>
          <w:szCs w:val="32"/>
        </w:rPr>
        <w:t>万元，临时救助</w:t>
      </w:r>
      <w:r>
        <w:rPr>
          <w:rFonts w:hint="eastAsia" w:ascii="仿宋_GB2312" w:hAnsi="仿宋" w:eastAsia="仿宋_GB2312" w:cs="仿宋_GB2312"/>
          <w:sz w:val="32"/>
          <w:szCs w:val="32"/>
          <w:lang w:val="en-US" w:eastAsia="zh-CN"/>
        </w:rPr>
        <w:t>415.98</w:t>
      </w:r>
      <w:r>
        <w:rPr>
          <w:rFonts w:hint="eastAsia" w:ascii="仿宋_GB2312" w:hAnsi="仿宋" w:eastAsia="仿宋_GB2312" w:cs="仿宋_GB2312"/>
          <w:sz w:val="32"/>
          <w:szCs w:val="32"/>
        </w:rPr>
        <w:t>万元，流浪乞讨救助</w:t>
      </w:r>
      <w:r>
        <w:rPr>
          <w:rFonts w:hint="eastAsia" w:ascii="仿宋_GB2312" w:hAnsi="仿宋" w:eastAsia="仿宋_GB2312" w:cs="仿宋_GB2312"/>
          <w:sz w:val="32"/>
          <w:szCs w:val="32"/>
          <w:lang w:val="en-US" w:eastAsia="zh-CN"/>
        </w:rPr>
        <w:t>47.53</w:t>
      </w:r>
      <w:r>
        <w:rPr>
          <w:rFonts w:hint="eastAsia" w:ascii="仿宋_GB2312" w:hAnsi="仿宋" w:eastAsia="仿宋_GB2312" w:cs="仿宋_GB2312"/>
          <w:sz w:val="32"/>
          <w:szCs w:val="32"/>
        </w:rPr>
        <w:t>万元，老年福利</w:t>
      </w:r>
      <w:r>
        <w:rPr>
          <w:rFonts w:ascii="仿宋_GB2312" w:hAnsi="仿宋" w:eastAsia="仿宋_GB2312" w:cs="仿宋_GB2312"/>
          <w:sz w:val="32"/>
          <w:szCs w:val="32"/>
        </w:rPr>
        <w:t>1</w:t>
      </w:r>
      <w:r>
        <w:rPr>
          <w:rFonts w:hint="eastAsia" w:ascii="仿宋_GB2312" w:hAnsi="仿宋" w:eastAsia="仿宋_GB2312" w:cs="仿宋_GB2312"/>
          <w:sz w:val="32"/>
          <w:szCs w:val="32"/>
          <w:lang w:val="en-US" w:eastAsia="zh-CN"/>
        </w:rPr>
        <w:t>082.26</w:t>
      </w:r>
      <w:r>
        <w:rPr>
          <w:rFonts w:hint="eastAsia" w:ascii="仿宋_GB2312" w:hAnsi="仿宋" w:eastAsia="仿宋_GB2312" w:cs="仿宋_GB2312"/>
          <w:sz w:val="32"/>
          <w:szCs w:val="32"/>
        </w:rPr>
        <w:t>万元，殡葬补贴</w:t>
      </w:r>
      <w:r>
        <w:rPr>
          <w:rFonts w:hint="eastAsia" w:ascii="仿宋_GB2312" w:hAnsi="仿宋" w:eastAsia="仿宋_GB2312" w:cs="仿宋_GB2312"/>
          <w:sz w:val="32"/>
          <w:szCs w:val="32"/>
          <w:lang w:val="en-US" w:eastAsia="zh-CN"/>
        </w:rPr>
        <w:t>28.5</w:t>
      </w:r>
      <w:r>
        <w:rPr>
          <w:rFonts w:hint="eastAsia" w:ascii="仿宋_GB2312" w:hAnsi="仿宋" w:eastAsia="仿宋_GB2312" w:cs="仿宋_GB2312"/>
          <w:sz w:val="32"/>
          <w:szCs w:val="32"/>
        </w:rPr>
        <w:t>万元，残疾人两项补贴</w:t>
      </w:r>
      <w:r>
        <w:rPr>
          <w:rFonts w:hint="eastAsia" w:ascii="仿宋_GB2312" w:hAnsi="仿宋" w:eastAsia="仿宋_GB2312" w:cs="仿宋_GB2312"/>
          <w:sz w:val="32"/>
          <w:szCs w:val="32"/>
          <w:lang w:val="en-US" w:eastAsia="zh-CN"/>
        </w:rPr>
        <w:t>1300.12</w:t>
      </w:r>
      <w:r>
        <w:rPr>
          <w:rFonts w:hint="eastAsia" w:ascii="仿宋_GB2312" w:hAnsi="仿宋" w:eastAsia="仿宋_GB2312" w:cs="仿宋_GB2312"/>
          <w:sz w:val="32"/>
          <w:szCs w:val="32"/>
        </w:rPr>
        <w:t>万元等。</w:t>
      </w:r>
    </w:p>
    <w:p>
      <w:p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三、政府性基金预算支出情况</w:t>
      </w:r>
    </w:p>
    <w:p>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道县民政局</w:t>
      </w: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年度政府性基金的预算支出</w:t>
      </w:r>
      <w:r>
        <w:rPr>
          <w:rFonts w:ascii="仿宋_GB2312" w:hAnsi="仿宋" w:eastAsia="仿宋_GB2312" w:cs="仿宋_GB2312"/>
          <w:sz w:val="32"/>
          <w:szCs w:val="32"/>
        </w:rPr>
        <w:t>8</w:t>
      </w:r>
      <w:r>
        <w:rPr>
          <w:rFonts w:hint="eastAsia" w:ascii="仿宋_GB2312" w:hAnsi="仿宋" w:eastAsia="仿宋_GB2312" w:cs="仿宋_GB2312"/>
          <w:sz w:val="32"/>
          <w:szCs w:val="32"/>
          <w:lang w:val="en-US" w:eastAsia="zh-CN"/>
        </w:rPr>
        <w:t>65.46</w:t>
      </w:r>
      <w:r>
        <w:rPr>
          <w:rFonts w:hint="eastAsia" w:ascii="仿宋_GB2312" w:hAnsi="仿宋" w:eastAsia="仿宋_GB2312" w:cs="仿宋_GB2312"/>
          <w:sz w:val="32"/>
          <w:szCs w:val="32"/>
        </w:rPr>
        <w:t>万元，主要是用社会福利方面支出的福利彩票公益金支出。</w:t>
      </w:r>
    </w:p>
    <w:p>
      <w:p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四、国有资本经营预算支出情况</w:t>
      </w:r>
    </w:p>
    <w:p>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道县民政局</w:t>
      </w: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年度无涉及国有资本经营的预算支出。</w:t>
      </w:r>
    </w:p>
    <w:p>
      <w:p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五、社会保险基金预算支出情况</w:t>
      </w:r>
    </w:p>
    <w:p>
      <w:pPr>
        <w:spacing w:line="560" w:lineRule="exact"/>
        <w:ind w:firstLine="480" w:firstLineChars="150"/>
        <w:rPr>
          <w:rFonts w:ascii="仿宋_GB2312" w:hAnsi="仿宋" w:eastAsia="仿宋_GB2312" w:cs="Times New Roman"/>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道县民政局</w:t>
      </w:r>
      <w:r>
        <w:rPr>
          <w:rFonts w:ascii="仿宋_GB2312" w:hAnsi="仿宋" w:eastAsia="仿宋_GB2312" w:cs="仿宋_GB2312"/>
          <w:sz w:val="32"/>
          <w:szCs w:val="32"/>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年无涉及社会保险基金预算支出。</w:t>
      </w:r>
    </w:p>
    <w:p>
      <w:p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六、部门整体支出绩效情况</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大力加强城乡社区建设，扎实推进村居自治工作，稳步提高救助水平，实现农村低保制度和扶贫开发制度有效衔接，依法开展婚姻收养登记，积极做好流浪乞讨人员救助工作。</w:t>
      </w:r>
    </w:p>
    <w:p>
      <w:p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七、存在的问题及原因分析</w:t>
      </w:r>
    </w:p>
    <w:p>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（一）存在的问题和困难</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、家庭经济核对信息化程度不高，城乡低保精准认定有一定难度，造成部分已享受低保对象难以清退。</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、资金压力大。</w:t>
      </w:r>
    </w:p>
    <w:p>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（二）建议</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、加大资金投入。请上级部门加大对社会保障资金的投入，全面提高救助标准，让弱势群体最基本的生活医疗得到有效保障。</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加大民政项目建设资金的投入。民政的项目建设（如乡镇敬老院建设）都是关系民生的重点项目，也是上级考核的重要指标，但是依靠当地政府是不可能有资金投入，所有敬老院的建设、设施配备都需要大量的资金投入，希望上级部门加大对民政养老项目建设的投入，让特困人员群体享受最基本人保障。</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、加大居家和社区基本养老服务提升方面资金的投入，应对老龄化的需求，更好地满足老年人多层次多样化的养老服务，提升广大老年人的获得</w:t>
      </w:r>
      <w:bookmarkStart w:id="3" w:name="_GoBack"/>
      <w:bookmarkEnd w:id="3"/>
      <w:r>
        <w:rPr>
          <w:rFonts w:hint="eastAsia" w:ascii="仿宋_GB2312" w:hAnsi="仿宋" w:eastAsia="仿宋_GB2312" w:cs="仿宋_GB2312"/>
          <w:sz w:val="32"/>
          <w:szCs w:val="32"/>
        </w:rPr>
        <w:t>感、幸福感、安全感。</w:t>
      </w:r>
    </w:p>
    <w:p>
      <w:pPr>
        <w:spacing w:line="560" w:lineRule="exact"/>
        <w:ind w:firstLine="420" w:firstLineChars="200"/>
        <w:rPr>
          <w:rFonts w:ascii="仿宋_GB2312" w:hAnsi="仿宋" w:eastAsia="仿宋_GB2312" w:cs="Times New Roman"/>
          <w:sz w:val="32"/>
          <w:szCs w:val="32"/>
        </w:rPr>
      </w:pPr>
      <w:r>
        <w:drawing>
          <wp:anchor distT="0" distB="0" distL="114300" distR="114300" simplePos="0" relativeHeight="251659264" behindDoc="0" locked="0" layoutInCell="1" allowOverlap="1">
            <wp:simplePos x="0" y="0"/>
            <wp:positionH relativeFrom="column">
              <wp:posOffset>3969385</wp:posOffset>
            </wp:positionH>
            <wp:positionV relativeFrom="paragraph">
              <wp:posOffset>81915</wp:posOffset>
            </wp:positionV>
            <wp:extent cx="1496695" cy="1511935"/>
            <wp:effectExtent l="0" t="0" r="8255" b="12065"/>
            <wp:wrapNone/>
            <wp:docPr id="1" name="图片 5" descr="行政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行政公章"/>
                    <pic:cNvPicPr>
                      <a:picLocks noChangeAspect="1"/>
                    </pic:cNvPicPr>
                  </pic:nvPicPr>
                  <pic:blipFill>
                    <a:blip r:embed="rId5"/>
                    <a:stretch>
                      <a:fillRect/>
                    </a:stretch>
                  </pic:blipFill>
                  <pic:spPr>
                    <a:xfrm>
                      <a:off x="0" y="0"/>
                      <a:ext cx="1496695" cy="1511935"/>
                    </a:xfrm>
                    <a:prstGeom prst="rect">
                      <a:avLst/>
                    </a:prstGeom>
                    <a:noFill/>
                    <a:ln>
                      <a:noFill/>
                    </a:ln>
                  </pic:spPr>
                </pic:pic>
              </a:graphicData>
            </a:graphic>
          </wp:anchor>
        </w:drawing>
      </w:r>
      <w:r>
        <w:rPr>
          <w:rFonts w:ascii="仿宋_GB2312" w:hAnsi="仿宋" w:eastAsia="仿宋_GB2312" w:cs="仿宋_GB2312"/>
          <w:sz w:val="32"/>
          <w:szCs w:val="32"/>
        </w:rPr>
        <w:t xml:space="preserve">   </w:t>
      </w:r>
    </w:p>
    <w:p>
      <w:pPr>
        <w:spacing w:line="560" w:lineRule="exact"/>
        <w:ind w:firstLine="640" w:firstLineChars="200"/>
        <w:rPr>
          <w:rFonts w:ascii="仿宋_GB2312" w:hAnsi="仿宋" w:eastAsia="仿宋_GB2312" w:cs="Times New Roman"/>
          <w:sz w:val="32"/>
          <w:szCs w:val="32"/>
        </w:rPr>
      </w:pP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道县民政局</w:t>
      </w:r>
    </w:p>
    <w:p>
      <w:pPr>
        <w:spacing w:line="560" w:lineRule="exact"/>
        <w:ind w:firstLine="640" w:firstLineChars="200"/>
        <w:rPr>
          <w:rFonts w:ascii="仿宋_GB2312" w:hAnsi="仿宋" w:eastAsia="仿宋_GB2312" w:cs="Times New Roman"/>
          <w:sz w:val="32"/>
          <w:szCs w:val="32"/>
        </w:rPr>
      </w:pPr>
      <w:r>
        <w:rPr>
          <w:rFonts w:ascii="仿宋_GB2312" w:hAnsi="仿宋" w:eastAsia="仿宋_GB2312" w:cs="仿宋_GB2312"/>
          <w:sz w:val="32"/>
          <w:szCs w:val="32"/>
        </w:rPr>
        <w:t xml:space="preserve">                                202</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年</w:t>
      </w:r>
      <w:r>
        <w:rPr>
          <w:rFonts w:ascii="仿宋_GB2312" w:hAnsi="仿宋" w:eastAsia="仿宋_GB2312" w:cs="仿宋_GB2312"/>
          <w:sz w:val="32"/>
          <w:szCs w:val="32"/>
        </w:rPr>
        <w:t>0</w:t>
      </w:r>
      <w:r>
        <w:rPr>
          <w:rFonts w:hint="eastAsia" w:ascii="仿宋_GB2312" w:hAnsi="仿宋" w:eastAsia="仿宋_GB2312" w:cs="仿宋_GB2312"/>
          <w:sz w:val="32"/>
          <w:szCs w:val="32"/>
          <w:lang w:val="en-US" w:eastAsia="zh-CN"/>
        </w:rPr>
        <w:t>9</w:t>
      </w:r>
      <w:r>
        <w:rPr>
          <w:rFonts w:hint="eastAsia" w:ascii="仿宋_GB2312" w:hAnsi="仿宋" w:eastAsia="仿宋_GB2312" w:cs="仿宋_GB2312"/>
          <w:sz w:val="32"/>
          <w:szCs w:val="32"/>
        </w:rPr>
        <w:t>月</w:t>
      </w:r>
      <w:r>
        <w:rPr>
          <w:rFonts w:hint="eastAsia" w:ascii="仿宋_GB2312" w:hAnsi="仿宋" w:eastAsia="仿宋_GB2312" w:cs="仿宋_GB2312"/>
          <w:sz w:val="32"/>
          <w:szCs w:val="32"/>
          <w:lang w:val="en-US" w:eastAsia="zh-CN"/>
        </w:rPr>
        <w:t>9</w:t>
      </w:r>
      <w:r>
        <w:rPr>
          <w:rFonts w:hint="eastAsia" w:ascii="仿宋_GB2312" w:hAnsi="仿宋" w:eastAsia="仿宋_GB2312" w:cs="仿宋_GB2312"/>
          <w:sz w:val="32"/>
          <w:szCs w:val="32"/>
        </w:rPr>
        <w:t>日</w:t>
      </w:r>
    </w:p>
    <w:p>
      <w:pPr>
        <w:spacing w:line="360" w:lineRule="auto"/>
        <w:ind w:left="210"/>
        <w:rPr>
          <w:rFonts w:eastAsia="Times New Roman" w:cs="Times New Roman"/>
          <w:kern w:val="0"/>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F102A6"/>
    <w:multiLevelType w:val="singleLevel"/>
    <w:tmpl w:val="C6F102A6"/>
    <w:lvl w:ilvl="0" w:tentative="0">
      <w:start w:val="1"/>
      <w:numFmt w:val="chineseCounting"/>
      <w:suff w:val="nothing"/>
      <w:lvlText w:val="%1、"/>
      <w:lvlJc w:val="left"/>
      <w:pPr>
        <w:ind w:left="210"/>
      </w:pPr>
      <w:rPr>
        <w:rFonts w:hint="eastAsia"/>
      </w:rPr>
    </w:lvl>
  </w:abstractNum>
  <w:abstractNum w:abstractNumId="1">
    <w:nsid w:val="25980DB8"/>
    <w:multiLevelType w:val="singleLevel"/>
    <w:tmpl w:val="25980DB8"/>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287D"/>
    <w:rsid w:val="000206AB"/>
    <w:rsid w:val="0002229B"/>
    <w:rsid w:val="000273BD"/>
    <w:rsid w:val="000415B7"/>
    <w:rsid w:val="00041E3F"/>
    <w:rsid w:val="00055DAA"/>
    <w:rsid w:val="00061F7B"/>
    <w:rsid w:val="000658A3"/>
    <w:rsid w:val="00074155"/>
    <w:rsid w:val="000873EF"/>
    <w:rsid w:val="000A3F69"/>
    <w:rsid w:val="000A5EB4"/>
    <w:rsid w:val="00103957"/>
    <w:rsid w:val="001104E6"/>
    <w:rsid w:val="00111175"/>
    <w:rsid w:val="00124204"/>
    <w:rsid w:val="00124A1F"/>
    <w:rsid w:val="001477F5"/>
    <w:rsid w:val="00152C6D"/>
    <w:rsid w:val="00162D39"/>
    <w:rsid w:val="001678BD"/>
    <w:rsid w:val="001721EB"/>
    <w:rsid w:val="00181E74"/>
    <w:rsid w:val="00182373"/>
    <w:rsid w:val="001A67DB"/>
    <w:rsid w:val="001C3C29"/>
    <w:rsid w:val="001C5C05"/>
    <w:rsid w:val="001D51E5"/>
    <w:rsid w:val="001E080D"/>
    <w:rsid w:val="001E53D0"/>
    <w:rsid w:val="001F0C3B"/>
    <w:rsid w:val="001F4E6B"/>
    <w:rsid w:val="00202C14"/>
    <w:rsid w:val="00202C82"/>
    <w:rsid w:val="00214427"/>
    <w:rsid w:val="00216BE2"/>
    <w:rsid w:val="00226CB7"/>
    <w:rsid w:val="00253655"/>
    <w:rsid w:val="00264552"/>
    <w:rsid w:val="00264835"/>
    <w:rsid w:val="00264EF9"/>
    <w:rsid w:val="002655A4"/>
    <w:rsid w:val="00265724"/>
    <w:rsid w:val="0027426B"/>
    <w:rsid w:val="002B3B41"/>
    <w:rsid w:val="002D4009"/>
    <w:rsid w:val="002E0A30"/>
    <w:rsid w:val="003130C4"/>
    <w:rsid w:val="00316C4B"/>
    <w:rsid w:val="0032192B"/>
    <w:rsid w:val="00345400"/>
    <w:rsid w:val="003479BD"/>
    <w:rsid w:val="00353778"/>
    <w:rsid w:val="00361DA0"/>
    <w:rsid w:val="0037197D"/>
    <w:rsid w:val="003768D5"/>
    <w:rsid w:val="003A1383"/>
    <w:rsid w:val="003C4197"/>
    <w:rsid w:val="003C47E6"/>
    <w:rsid w:val="003C4FC2"/>
    <w:rsid w:val="003E2331"/>
    <w:rsid w:val="00405808"/>
    <w:rsid w:val="00406A7D"/>
    <w:rsid w:val="00416E61"/>
    <w:rsid w:val="0042790C"/>
    <w:rsid w:val="004506F9"/>
    <w:rsid w:val="00453B4E"/>
    <w:rsid w:val="004717A2"/>
    <w:rsid w:val="00473DF3"/>
    <w:rsid w:val="00487911"/>
    <w:rsid w:val="00491741"/>
    <w:rsid w:val="004B0CEE"/>
    <w:rsid w:val="004C5844"/>
    <w:rsid w:val="004E263B"/>
    <w:rsid w:val="00500E5F"/>
    <w:rsid w:val="005122EF"/>
    <w:rsid w:val="0051441A"/>
    <w:rsid w:val="00516BA7"/>
    <w:rsid w:val="00517C33"/>
    <w:rsid w:val="00517D5F"/>
    <w:rsid w:val="00521AF2"/>
    <w:rsid w:val="00523644"/>
    <w:rsid w:val="00525FC4"/>
    <w:rsid w:val="0054069E"/>
    <w:rsid w:val="00544866"/>
    <w:rsid w:val="005767CC"/>
    <w:rsid w:val="00590D9F"/>
    <w:rsid w:val="00595D26"/>
    <w:rsid w:val="005A74E6"/>
    <w:rsid w:val="005B404E"/>
    <w:rsid w:val="005D4D55"/>
    <w:rsid w:val="005E2CFB"/>
    <w:rsid w:val="005F0AD9"/>
    <w:rsid w:val="005F0E1B"/>
    <w:rsid w:val="005F2103"/>
    <w:rsid w:val="005F3D1C"/>
    <w:rsid w:val="005F4A5A"/>
    <w:rsid w:val="0062378F"/>
    <w:rsid w:val="00626F3F"/>
    <w:rsid w:val="00641842"/>
    <w:rsid w:val="00651EEC"/>
    <w:rsid w:val="00686673"/>
    <w:rsid w:val="00691E8C"/>
    <w:rsid w:val="006A22C4"/>
    <w:rsid w:val="006A348B"/>
    <w:rsid w:val="006A351B"/>
    <w:rsid w:val="006B0422"/>
    <w:rsid w:val="006B4A25"/>
    <w:rsid w:val="006C1B53"/>
    <w:rsid w:val="006C27E1"/>
    <w:rsid w:val="006D57DE"/>
    <w:rsid w:val="006D7730"/>
    <w:rsid w:val="006E26DB"/>
    <w:rsid w:val="006E5284"/>
    <w:rsid w:val="006F3EB5"/>
    <w:rsid w:val="00702E34"/>
    <w:rsid w:val="00704395"/>
    <w:rsid w:val="00710FE7"/>
    <w:rsid w:val="00717621"/>
    <w:rsid w:val="00720FF1"/>
    <w:rsid w:val="00721970"/>
    <w:rsid w:val="00724726"/>
    <w:rsid w:val="00727A53"/>
    <w:rsid w:val="007851E5"/>
    <w:rsid w:val="00787B42"/>
    <w:rsid w:val="007C4539"/>
    <w:rsid w:val="007E5423"/>
    <w:rsid w:val="007F3657"/>
    <w:rsid w:val="00812ED5"/>
    <w:rsid w:val="00820E8E"/>
    <w:rsid w:val="00826F7A"/>
    <w:rsid w:val="008277D9"/>
    <w:rsid w:val="008346B4"/>
    <w:rsid w:val="0084478C"/>
    <w:rsid w:val="0086638C"/>
    <w:rsid w:val="00891E67"/>
    <w:rsid w:val="008A3E8D"/>
    <w:rsid w:val="008A5BB9"/>
    <w:rsid w:val="008A6D3F"/>
    <w:rsid w:val="008F5340"/>
    <w:rsid w:val="009237C4"/>
    <w:rsid w:val="00942824"/>
    <w:rsid w:val="00944C48"/>
    <w:rsid w:val="00950252"/>
    <w:rsid w:val="00954D91"/>
    <w:rsid w:val="00967F5D"/>
    <w:rsid w:val="009721C9"/>
    <w:rsid w:val="009A0F95"/>
    <w:rsid w:val="009B3ADF"/>
    <w:rsid w:val="009C3B52"/>
    <w:rsid w:val="009E6817"/>
    <w:rsid w:val="009E6E9A"/>
    <w:rsid w:val="00A01D2B"/>
    <w:rsid w:val="00A21055"/>
    <w:rsid w:val="00A42218"/>
    <w:rsid w:val="00A70249"/>
    <w:rsid w:val="00A70B02"/>
    <w:rsid w:val="00A71D9F"/>
    <w:rsid w:val="00A81A65"/>
    <w:rsid w:val="00A83D6F"/>
    <w:rsid w:val="00A92E9F"/>
    <w:rsid w:val="00A96475"/>
    <w:rsid w:val="00AF6360"/>
    <w:rsid w:val="00B33BEA"/>
    <w:rsid w:val="00B35374"/>
    <w:rsid w:val="00B573A0"/>
    <w:rsid w:val="00B57C9F"/>
    <w:rsid w:val="00B63572"/>
    <w:rsid w:val="00B773B5"/>
    <w:rsid w:val="00B77A30"/>
    <w:rsid w:val="00B845B3"/>
    <w:rsid w:val="00B85D8B"/>
    <w:rsid w:val="00BB4A40"/>
    <w:rsid w:val="00BB7E0C"/>
    <w:rsid w:val="00BD1BEB"/>
    <w:rsid w:val="00BD6C3E"/>
    <w:rsid w:val="00BE3674"/>
    <w:rsid w:val="00C10681"/>
    <w:rsid w:val="00C260B4"/>
    <w:rsid w:val="00C3049A"/>
    <w:rsid w:val="00C31B1E"/>
    <w:rsid w:val="00C7170B"/>
    <w:rsid w:val="00C7450F"/>
    <w:rsid w:val="00C77645"/>
    <w:rsid w:val="00CE04C3"/>
    <w:rsid w:val="00CE76A0"/>
    <w:rsid w:val="00D04633"/>
    <w:rsid w:val="00D148C6"/>
    <w:rsid w:val="00D17A8A"/>
    <w:rsid w:val="00D23DED"/>
    <w:rsid w:val="00D415BA"/>
    <w:rsid w:val="00D63780"/>
    <w:rsid w:val="00D644EE"/>
    <w:rsid w:val="00D66E8F"/>
    <w:rsid w:val="00D75489"/>
    <w:rsid w:val="00D91F6C"/>
    <w:rsid w:val="00DA131A"/>
    <w:rsid w:val="00DA5788"/>
    <w:rsid w:val="00DD06FF"/>
    <w:rsid w:val="00DD5FE9"/>
    <w:rsid w:val="00E00C7A"/>
    <w:rsid w:val="00E209CF"/>
    <w:rsid w:val="00E37D6C"/>
    <w:rsid w:val="00E55B68"/>
    <w:rsid w:val="00E67BE6"/>
    <w:rsid w:val="00E8683C"/>
    <w:rsid w:val="00EA2B72"/>
    <w:rsid w:val="00ED1142"/>
    <w:rsid w:val="00F74360"/>
    <w:rsid w:val="00FA4C16"/>
    <w:rsid w:val="00FB462F"/>
    <w:rsid w:val="00FE16FA"/>
    <w:rsid w:val="00FE2A0B"/>
    <w:rsid w:val="00FE328A"/>
    <w:rsid w:val="00FE4A73"/>
    <w:rsid w:val="00FE6269"/>
    <w:rsid w:val="00FF5CD6"/>
    <w:rsid w:val="06C8202F"/>
    <w:rsid w:val="0F1461FE"/>
    <w:rsid w:val="1E547D20"/>
    <w:rsid w:val="224A0F6E"/>
    <w:rsid w:val="27E23690"/>
    <w:rsid w:val="34CB6886"/>
    <w:rsid w:val="442D3790"/>
    <w:rsid w:val="48584FE2"/>
    <w:rsid w:val="59987F3E"/>
    <w:rsid w:val="59D2726A"/>
    <w:rsid w:val="75EE2D2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8"/>
    <w:qFormat/>
    <w:uiPriority w:val="99"/>
    <w:pPr>
      <w:keepNext/>
      <w:keepLines/>
      <w:spacing w:before="340" w:after="330" w:line="576" w:lineRule="auto"/>
      <w:outlineLvl w:val="0"/>
    </w:pPr>
    <w:rPr>
      <w:b/>
      <w:bCs/>
      <w:kern w:val="44"/>
      <w:sz w:val="44"/>
      <w:szCs w:val="44"/>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uiPriority w:val="99"/>
    <w:pPr>
      <w:pBdr>
        <w:bottom w:val="single" w:color="auto" w:sz="6" w:space="1"/>
      </w:pBdr>
      <w:tabs>
        <w:tab w:val="center" w:pos="4153"/>
        <w:tab w:val="right" w:pos="8306"/>
      </w:tabs>
      <w:snapToGrid w:val="0"/>
      <w:jc w:val="center"/>
    </w:pPr>
    <w:rPr>
      <w:sz w:val="18"/>
      <w:szCs w:val="18"/>
    </w:rPr>
  </w:style>
  <w:style w:type="character" w:customStyle="1" w:styleId="8">
    <w:name w:val="Heading 1 Char"/>
    <w:basedOn w:val="7"/>
    <w:link w:val="2"/>
    <w:locked/>
    <w:uiPriority w:val="99"/>
    <w:rPr>
      <w:rFonts w:ascii="Calibri" w:hAnsi="Calibri" w:cs="Calibri"/>
      <w:b/>
      <w:bCs/>
      <w:kern w:val="44"/>
      <w:sz w:val="44"/>
      <w:szCs w:val="44"/>
    </w:rPr>
  </w:style>
  <w:style w:type="character" w:customStyle="1" w:styleId="9">
    <w:name w:val="Balloon Text Char"/>
    <w:basedOn w:val="7"/>
    <w:link w:val="3"/>
    <w:semiHidden/>
    <w:locked/>
    <w:uiPriority w:val="99"/>
    <w:rPr>
      <w:sz w:val="18"/>
      <w:szCs w:val="18"/>
    </w:rPr>
  </w:style>
  <w:style w:type="character" w:customStyle="1" w:styleId="10">
    <w:name w:val="Footer Char"/>
    <w:basedOn w:val="7"/>
    <w:link w:val="4"/>
    <w:qFormat/>
    <w:locked/>
    <w:uiPriority w:val="99"/>
    <w:rPr>
      <w:sz w:val="18"/>
      <w:szCs w:val="18"/>
    </w:rPr>
  </w:style>
  <w:style w:type="character" w:customStyle="1" w:styleId="11">
    <w:name w:val="Header Char"/>
    <w:basedOn w:val="7"/>
    <w:link w:val="5"/>
    <w:qFormat/>
    <w:locked/>
    <w:uiPriority w:val="99"/>
    <w:rPr>
      <w:sz w:val="18"/>
      <w:szCs w:val="18"/>
    </w:rPr>
  </w:style>
  <w:style w:type="paragraph" w:customStyle="1" w:styleId="12">
    <w:name w:val="Default"/>
    <w:qForma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Microsoft</Company>
  <Pages>35</Pages>
  <Words>9663</Words>
  <Characters>12845</Characters>
  <Lines>0</Lines>
  <Paragraphs>0</Paragraphs>
  <TotalTime>19</TotalTime>
  <ScaleCrop>false</ScaleCrop>
  <LinksUpToDate>false</LinksUpToDate>
  <CharactersWithSpaces>13859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2025-08-27T03:54:00Z</dcterms:created>
  <dc:creator>李航 null</dc:creator>
  <cp:lastModifiedBy>水蜜桃</cp:lastModifiedBy>
  <cp:lastPrinted>2026-09-09T03:33:00Z</cp:lastPrinted>
  <dcterms:modified xsi:type="dcterms:W3CDTF">2026-09-14T01:38:27Z</dcterms:modified>
  <dc:title>2023年度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80871652949D4F2FACB5240E4683EE23_13</vt:lpwstr>
  </property>
  <property fmtid="{D5CDD505-2E9C-101B-9397-08002B2CF9AE}" pid="4" name="KSOTemplateDocerSaveRecord">
    <vt:lpwstr>eyJoZGlkIjoiMjA3ZDA1MTQ3NDUyOGRiYTVkZTczZjljMjllNzdmNTEiLCJ1c2VySWQiOiI1NjIyNjM2NTUifQ==</vt:lpwstr>
  </property>
</Properties>
</file>