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p>
                  </w:txbxContent>
                </v:textbox>
              </v:shape>
            </w:pict>
          </mc:Fallback>
        </mc:AlternateContent>
      </w:r>
    </w:p>
    <w:p>
      <w:pPr>
        <w:pStyle w:val="12"/>
        <w:jc w:val="center"/>
        <w:rPr>
          <w:sz w:val="56"/>
          <w:szCs w:val="56"/>
        </w:rPr>
      </w:pPr>
    </w:p>
    <w:p>
      <w:pPr>
        <w:pStyle w:val="12"/>
        <w:jc w:val="center"/>
        <w:rPr>
          <w:sz w:val="84"/>
          <w:szCs w:val="84"/>
        </w:rPr>
      </w:pPr>
    </w:p>
    <w:p>
      <w:pPr>
        <w:pStyle w:val="12"/>
        <w:jc w:val="center"/>
        <w:rPr>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道县信访局</w:t>
      </w:r>
      <w:r>
        <w:rPr>
          <w:rFonts w:hint="eastAsia" w:ascii="方正小标宋_GBK" w:hAnsi="方正小标宋_GBK" w:eastAsia="方正小标宋_GBK" w:cs="方正小标宋_GBK"/>
          <w:sz w:val="84"/>
          <w:szCs w:val="84"/>
        </w:rPr>
        <w:t>部门决算</w:t>
      </w:r>
    </w:p>
    <w:p>
      <w:pPr>
        <w:pStyle w:val="12"/>
        <w:jc w:val="center"/>
        <w:rPr>
          <w:rFonts w:hint="eastAsia" w:ascii="方正小标宋_GBK" w:hAnsi="方正小标宋_GBK" w:eastAsia="方正小标宋_GBK" w:cs="方正小标宋_GBK"/>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spacing w:line="540" w:lineRule="exact"/>
        <w:jc w:val="center"/>
        <w:rPr>
          <w:sz w:val="56"/>
          <w:szCs w:val="56"/>
        </w:rPr>
      </w:pPr>
    </w:p>
    <w:p>
      <w:pPr>
        <w:pStyle w:val="12"/>
        <w:spacing w:line="500" w:lineRule="exact"/>
        <w:jc w:val="both"/>
        <w:rPr>
          <w:b/>
          <w:sz w:val="36"/>
          <w:szCs w:val="28"/>
        </w:rPr>
      </w:pPr>
    </w:p>
    <w:p>
      <w:pPr>
        <w:pStyle w:val="12"/>
        <w:spacing w:line="500" w:lineRule="exact"/>
        <w:jc w:val="center"/>
        <w:rPr>
          <w:b/>
          <w:sz w:val="36"/>
          <w:szCs w:val="28"/>
        </w:rPr>
      </w:pPr>
      <w:r>
        <w:rPr>
          <w:rFonts w:hint="eastAsia"/>
          <w:b/>
          <w:sz w:val="36"/>
          <w:szCs w:val="28"/>
        </w:rPr>
        <w:t>目录</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道县信访局</w:t>
      </w:r>
      <w:r>
        <w:rPr>
          <w:rFonts w:hint="eastAsia" w:ascii="黑体" w:hAnsi="黑体" w:eastAsia="黑体" w:cs="黑体"/>
          <w:b w:val="0"/>
          <w:bCs/>
          <w:sz w:val="28"/>
          <w:szCs w:val="28"/>
        </w:rPr>
        <w:t>概况</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2"/>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道县信访局</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600" w:firstLineChars="200"/>
        <w:rPr>
          <w:rFonts w:hint="eastAsia" w:ascii="仿宋_GB2312" w:hAnsi="仿宋_GB2312" w:cs="仿宋_GB2312"/>
          <w:bCs/>
          <w:sz w:val="30"/>
          <w:szCs w:val="30"/>
        </w:rPr>
      </w:pPr>
      <w:r>
        <w:rPr>
          <w:rFonts w:hint="eastAsia" w:ascii="仿宋_GB2312" w:hAnsi="仿宋_GB2312" w:cs="仿宋_GB2312"/>
          <w:bCs/>
          <w:sz w:val="30"/>
          <w:szCs w:val="30"/>
        </w:rPr>
        <w:t>根据道办</w:t>
      </w:r>
      <w:r>
        <w:rPr>
          <w:rFonts w:ascii="仿宋_GB2312" w:hAnsi="仿宋_GB2312" w:cs="仿宋_GB2312"/>
          <w:bCs/>
          <w:sz w:val="30"/>
          <w:szCs w:val="30"/>
        </w:rPr>
        <w:t>[2010]36</w:t>
      </w:r>
      <w:r>
        <w:rPr>
          <w:rFonts w:hint="eastAsia" w:ascii="仿宋_GB2312" w:hAnsi="仿宋_GB2312" w:cs="仿宋_GB2312"/>
          <w:bCs/>
          <w:sz w:val="30"/>
          <w:szCs w:val="30"/>
        </w:rPr>
        <w:t>号文件规定，本单位主要工作职责是：用群众工作统揽信访调纠工作的长效机制，构建“一站式接待、一条龙办理、一揽子解决”的工作模式。实现信息联通、工作联手、措施联动，提高处理问题、化解矛盾的效率和做好群众工作的水平，确保各类信访问题和矛盾纠纷隐患化解在基层、消除在萌芽状态，有效预防和化解群体性事件和非正常上访，维护社会和谐稳定。</w:t>
      </w:r>
      <w:r>
        <w:rPr>
          <w:rFonts w:ascii="仿宋_GB2312" w:hAnsi="仿宋_GB2312" w:cs="仿宋_GB2312"/>
          <w:bCs/>
          <w:sz w:val="30"/>
          <w:szCs w:val="30"/>
        </w:rPr>
        <w:t xml:space="preserve"> </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beforeLines="0" w:afterLines="0" w:line="520" w:lineRule="exact"/>
        <w:ind w:firstLine="640"/>
        <w:rPr>
          <w:rFonts w:hint="default" w:ascii="仿宋" w:hAnsi="仿宋" w:eastAsia="仿宋"/>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sz w:val="32"/>
          <w:szCs w:val="32"/>
          <w:lang w:eastAsia="zh-CN"/>
        </w:rPr>
        <w:t>2025年</w:t>
      </w:r>
      <w:r>
        <w:rPr>
          <w:rFonts w:hint="eastAsia" w:ascii="仿宋" w:hAnsi="仿宋" w:eastAsia="仿宋"/>
          <w:sz w:val="32"/>
          <w:szCs w:val="32"/>
        </w:rPr>
        <w:t>本单位有驻京办、驻长办两个二下级预算单位，下设办公室（内设信访导访室、复查复核室、信访办理室等三个室）、应急处突室、接访调处一室（涉法涉诉）、接访调处二室（企业改制、交通和劳动社会保障等）、接访调处三室（国土、规划、城管）、接访调处四室（农业、农村工作）、接访调处五室（文化、教育、卫生、计生）、接访调处六室（军队退役人员、民政工作）、接访调处七室（三大权属调纠）、督办追责室等10个职能股室。</w:t>
      </w:r>
      <w:r>
        <w:rPr>
          <w:rFonts w:hint="eastAsia" w:ascii="仿宋_GB2312" w:hAnsi="仿宋_GB2312" w:cs="仿宋_GB2312"/>
          <w:bCs/>
          <w:sz w:val="30"/>
          <w:szCs w:val="30"/>
        </w:rPr>
        <w:t>现有工作人员</w:t>
      </w:r>
      <w:r>
        <w:rPr>
          <w:rFonts w:hint="eastAsia" w:ascii="仿宋" w:hAnsi="仿宋" w:eastAsia="仿宋"/>
          <w:sz w:val="32"/>
          <w:szCs w:val="32"/>
          <w:lang w:val="en-US" w:eastAsia="zh-CN"/>
        </w:rPr>
        <w:t>40</w:t>
      </w:r>
      <w:r>
        <w:rPr>
          <w:rFonts w:hint="eastAsia" w:ascii="仿宋_GB2312" w:hAnsi="仿宋_GB2312" w:cs="仿宋_GB2312"/>
          <w:bCs/>
          <w:sz w:val="30"/>
          <w:szCs w:val="30"/>
        </w:rPr>
        <w:t>人。车辆共</w:t>
      </w:r>
      <w:r>
        <w:rPr>
          <w:rFonts w:hint="eastAsia" w:ascii="仿宋_GB2312" w:hAnsi="仿宋_GB2312" w:cs="仿宋_GB2312"/>
          <w:bCs/>
          <w:sz w:val="30"/>
          <w:szCs w:val="30"/>
          <w:lang w:val="en-US" w:eastAsia="zh-CN"/>
        </w:rPr>
        <w:t>1</w:t>
      </w:r>
      <w:r>
        <w:rPr>
          <w:rFonts w:hint="eastAsia" w:ascii="仿宋_GB2312" w:hAnsi="仿宋_GB2312" w:cs="仿宋_GB2312"/>
          <w:bCs/>
          <w:sz w:val="30"/>
          <w:szCs w:val="30"/>
        </w:rPr>
        <w:t>辆。</w:t>
      </w:r>
    </w:p>
    <w:p>
      <w:pPr>
        <w:spacing w:beforeLines="0" w:afterLines="0" w:line="600" w:lineRule="exact"/>
        <w:rPr>
          <w:rFonts w:hint="default" w:ascii="Times New Roman" w:hAnsi="Times New Roman" w:eastAsia="仿宋_GB2312"/>
          <w:kern w:val="0"/>
          <w:sz w:val="32"/>
          <w:szCs w:val="24"/>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kern w:val="0"/>
          <w:sz w:val="32"/>
          <w:szCs w:val="24"/>
        </w:rPr>
        <w:t>县委群工部</w:t>
      </w:r>
      <w:r>
        <w:rPr>
          <w:rFonts w:hint="eastAsia" w:ascii="Times New Roman" w:hAnsi="Times New Roman" w:eastAsia="仿宋_GB2312"/>
          <w:kern w:val="0"/>
          <w:sz w:val="32"/>
          <w:szCs w:val="24"/>
          <w:lang w:eastAsia="zh-CN"/>
        </w:rPr>
        <w:t>2025年</w:t>
      </w:r>
      <w:r>
        <w:rPr>
          <w:rFonts w:hint="eastAsia" w:ascii="Times New Roman" w:hAnsi="Times New Roman" w:eastAsia="仿宋_GB2312"/>
          <w:kern w:val="0"/>
          <w:sz w:val="32"/>
          <w:szCs w:val="24"/>
        </w:rPr>
        <w:t>部门决算汇总公开单位构成包括：县委群工部本级以及驻京办、驻长办。</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2"/>
        <w:jc w:val="center"/>
        <w:rPr>
          <w:rFonts w:hint="eastAsia" w:ascii="方正小标宋_GBK" w:hAnsi="方正小标宋_GBK" w:eastAsia="方正小标宋_GBK" w:cs="方正小标宋_GBK"/>
          <w:sz w:val="84"/>
          <w:szCs w:val="84"/>
        </w:rPr>
      </w:pPr>
    </w:p>
    <w:p>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both"/>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428" w:type="dxa"/>
        <w:tblInd w:w="0" w:type="dxa"/>
        <w:tblLayout w:type="fixed"/>
        <w:tblCellMar>
          <w:top w:w="0" w:type="dxa"/>
          <w:left w:w="0" w:type="dxa"/>
          <w:bottom w:w="0" w:type="dxa"/>
          <w:right w:w="0" w:type="dxa"/>
        </w:tblCellMar>
      </w:tblPr>
      <w:tblGrid>
        <w:gridCol w:w="298"/>
        <w:gridCol w:w="1246"/>
        <w:gridCol w:w="1459"/>
        <w:gridCol w:w="1691"/>
        <w:gridCol w:w="1691"/>
        <w:gridCol w:w="1827"/>
        <w:gridCol w:w="1059"/>
        <w:gridCol w:w="1801"/>
        <w:gridCol w:w="1801"/>
        <w:gridCol w:w="2555"/>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22"/>
              <w:gridCol w:w="592"/>
              <w:gridCol w:w="2473"/>
              <w:gridCol w:w="3789"/>
              <w:gridCol w:w="1537"/>
              <w:gridCol w:w="44"/>
              <w:gridCol w:w="26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32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7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3789"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581"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641" w:type="dxa"/>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32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9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78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8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41"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322"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部门：道县信访局</w:t>
                  </w:r>
                </w:p>
              </w:tc>
              <w:tc>
                <w:tcPr>
                  <w:tcW w:w="59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78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8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41"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738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8011"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366.75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bCs/>
                      <w:i w:val="0"/>
                      <w:color w:val="000000"/>
                      <w:sz w:val="22"/>
                      <w:szCs w:val="22"/>
                      <w:u w:val="none"/>
                      <w:lang w:val="en-US" w:eastAsia="zh-CN"/>
                    </w:rPr>
                  </w:pPr>
                  <w:r>
                    <w:rPr>
                      <w:rFonts w:hint="eastAsia" w:ascii="宋体" w:hAnsi="宋体" w:eastAsia="宋体" w:cs="宋体"/>
                      <w:b/>
                      <w:bCs/>
                      <w:i w:val="0"/>
                      <w:color w:val="000000"/>
                      <w:sz w:val="22"/>
                      <w:szCs w:val="22"/>
                      <w:u w:val="none"/>
                      <w:lang w:val="en-US" w:eastAsia="zh-CN"/>
                    </w:rPr>
                    <w:t>19.94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b/>
                      <w:bCs/>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568.66</w:t>
                  </w:r>
                </w:p>
              </w:tc>
              <w:tc>
                <w:tcPr>
                  <w:tcW w:w="37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568.66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7"/>
                  <w:tcBorders>
                    <w:top w:val="nil"/>
                    <w:left w:val="nil"/>
                    <w:bottom w:val="nil"/>
                    <w:right w:val="nil"/>
                  </w:tcBorders>
                  <w:shd w:val="clear" w:color="auto" w:fill="auto"/>
                  <w:vAlign w:val="center"/>
                </w:tcPr>
                <w:tbl>
                  <w:tblPr>
                    <w:tblStyle w:val="8"/>
                    <w:tblW w:w="1444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4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445" w:type="dxa"/>
                        <w:tcBorders>
                          <w:top w:val="single" w:color="D4D4D4" w:sz="4" w:space="0"/>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注：1.本表依据《收入支出决算总表》（财决01表）进行批复。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44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2.本表以“万元”为金额单位（保留两位小数）。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44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3.本套报表金额单位转换时可能存在尾数误差。</w:t>
                        </w:r>
                      </w:p>
                    </w:tc>
                  </w:tr>
                </w:tbl>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354" w:hRule="atLeast"/>
        </w:trPr>
        <w:tc>
          <w:tcPr>
            <w:tcW w:w="29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4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2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544"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color w:val="000000"/>
                <w:sz w:val="20"/>
                <w:szCs w:val="20"/>
                <w:lang w:eastAsia="zh-CN"/>
              </w:rPr>
            </w:pPr>
            <w:r>
              <w:rPr>
                <w:rFonts w:hint="eastAsia"/>
                <w:color w:val="000000"/>
                <w:sz w:val="20"/>
                <w:szCs w:val="20"/>
              </w:rPr>
              <w:t>部门：</w:t>
            </w:r>
            <w:r>
              <w:rPr>
                <w:rFonts w:hint="eastAsia"/>
                <w:color w:val="000000"/>
                <w:sz w:val="20"/>
                <w:szCs w:val="20"/>
                <w:lang w:eastAsia="zh-CN"/>
              </w:rPr>
              <w:t>道县信访局</w:t>
            </w:r>
          </w:p>
        </w:tc>
        <w:tc>
          <w:tcPr>
            <w:tcW w:w="14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27"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0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00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8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0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54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45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0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54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5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0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00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8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0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00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568.66</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568.66</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2014001</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22.85</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22.85</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2014004</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信访业务</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cs="宋体"/>
                <w:sz w:val="24"/>
                <w:szCs w:val="24"/>
                <w:lang w:val="en-US"/>
              </w:rPr>
            </w:pPr>
            <w:r>
              <w:rPr>
                <w:rFonts w:hint="eastAsia" w:ascii="宋体" w:hAnsi="宋体" w:eastAsia="宋体" w:cs="宋体"/>
                <w:i w:val="0"/>
                <w:iCs w:val="0"/>
                <w:color w:val="000000"/>
                <w:kern w:val="0"/>
                <w:sz w:val="22"/>
                <w:szCs w:val="22"/>
                <w:u w:val="none"/>
                <w:lang w:val="en-US" w:eastAsia="zh-CN" w:bidi="ar"/>
              </w:rPr>
              <w:t>55.00</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55.00</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2014099</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其他信访事务支出</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288.90</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288.90</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2049999</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其他公共安全支出</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171.23</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171.23</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2080505</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ascii="Helvetica" w:hAnsi="Helvetica" w:eastAsia="Helvetica" w:cs="Helvetica"/>
                <w:i w:val="0"/>
                <w:caps w:val="0"/>
                <w:spacing w:val="0"/>
                <w:sz w:val="21"/>
                <w:szCs w:val="21"/>
                <w:shd w:val="clear" w:fill="FFFFFF"/>
              </w:rPr>
              <w:t>机关事业单位基本养老保险缴费支出</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19.94</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19.94</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54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14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Helvetica" w:hAnsi="Helvetica" w:eastAsia="Helvetica" w:cs="Helvetica"/>
                <w:i w:val="0"/>
                <w:caps w:val="0"/>
                <w:spacing w:val="0"/>
                <w:sz w:val="21"/>
                <w:szCs w:val="21"/>
                <w:shd w:val="clear" w:fill="FFFFFF"/>
              </w:rPr>
            </w:pPr>
            <w:r>
              <w:rPr>
                <w:rFonts w:ascii="Helvetica" w:hAnsi="Helvetica" w:eastAsia="Helvetica" w:cs="Helvetica"/>
                <w:i w:val="0"/>
                <w:caps w:val="0"/>
                <w:spacing w:val="0"/>
                <w:sz w:val="21"/>
                <w:szCs w:val="21"/>
                <w:shd w:val="clear" w:fill="FFFFFF"/>
              </w:rPr>
              <w:t>行政单位医疗</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10.74</w:t>
            </w:r>
          </w:p>
        </w:tc>
        <w:tc>
          <w:tcPr>
            <w:tcW w:w="16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10.74</w:t>
            </w:r>
          </w:p>
        </w:tc>
        <w:tc>
          <w:tcPr>
            <w:tcW w:w="18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p>
        </w:tc>
        <w:tc>
          <w:tcPr>
            <w:tcW w:w="10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tbl>
            <w:tblPr>
              <w:tblStyle w:val="8"/>
              <w:tblW w:w="1530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305" w:type="dxa"/>
                  <w:tcBorders>
                    <w:top w:val="single" w:color="D4D4D4" w:sz="4" w:space="0"/>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注：1.本表依据《收入决算表》（财决03表）进行批复。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30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2.本表含一般公共预算财政拨款、政府性基金预算财政拨款和国有资本经营预算财政拨款。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30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3.本表批复到项级科目。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30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4.本表以“万元”为金额单位（保留两位小数）。</w:t>
                  </w:r>
                </w:p>
              </w:tc>
            </w:tr>
          </w:tbl>
          <w:p>
            <w:pPr>
              <w:rPr>
                <w:rFonts w:ascii="宋体" w:hAnsi="宋体" w:eastAsia="宋体" w:cs="宋体"/>
                <w:sz w:val="24"/>
                <w:szCs w:val="24"/>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8"/>
        <w:tblW w:w="18523" w:type="dxa"/>
        <w:tblInd w:w="93" w:type="dxa"/>
        <w:tblLayout w:type="fixed"/>
        <w:tblCellMar>
          <w:top w:w="0" w:type="dxa"/>
          <w:left w:w="108" w:type="dxa"/>
          <w:bottom w:w="0" w:type="dxa"/>
          <w:right w:w="108" w:type="dxa"/>
        </w:tblCellMar>
      </w:tblPr>
      <w:tblGrid>
        <w:gridCol w:w="1551"/>
        <w:gridCol w:w="330"/>
        <w:gridCol w:w="1859"/>
        <w:gridCol w:w="2450"/>
        <w:gridCol w:w="1763"/>
        <w:gridCol w:w="1855"/>
        <w:gridCol w:w="300"/>
        <w:gridCol w:w="1377"/>
        <w:gridCol w:w="1774"/>
        <w:gridCol w:w="2337"/>
        <w:gridCol w:w="2927"/>
      </w:tblGrid>
      <w:tr>
        <w:tblPrEx>
          <w:tblCellMar>
            <w:top w:w="0" w:type="dxa"/>
            <w:left w:w="108" w:type="dxa"/>
            <w:bottom w:w="0" w:type="dxa"/>
            <w:right w:w="108" w:type="dxa"/>
          </w:tblCellMar>
        </w:tblPrEx>
        <w:trPr>
          <w:trHeight w:val="807" w:hRule="atLeast"/>
        </w:trPr>
        <w:tc>
          <w:tcPr>
            <w:tcW w:w="18523"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gridAfter w:val="1"/>
          <w:wAfter w:w="2927" w:type="dxa"/>
          <w:trHeight w:val="403" w:hRule="atLeast"/>
        </w:trPr>
        <w:tc>
          <w:tcPr>
            <w:tcW w:w="155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3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5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5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0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15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gridAfter w:val="1"/>
          <w:wAfter w:w="2927" w:type="dxa"/>
          <w:trHeight w:val="403" w:hRule="atLeast"/>
        </w:trPr>
        <w:tc>
          <w:tcPr>
            <w:tcW w:w="1551"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16"/>
                <w:szCs w:val="16"/>
              </w:rPr>
              <w:t>部门：</w:t>
            </w:r>
            <w:r>
              <w:rPr>
                <w:rFonts w:hint="eastAsia" w:ascii="宋体" w:hAnsi="宋体" w:eastAsia="宋体" w:cs="宋体"/>
                <w:color w:val="000000"/>
                <w:kern w:val="0"/>
                <w:sz w:val="16"/>
                <w:szCs w:val="16"/>
                <w:lang w:eastAsia="zh-CN"/>
              </w:rPr>
              <w:t>道县信访局</w:t>
            </w:r>
          </w:p>
        </w:tc>
        <w:tc>
          <w:tcPr>
            <w:tcW w:w="33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5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5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nil"/>
              <w:right w:val="nil"/>
            </w:tcBorders>
            <w:shd w:val="clear" w:color="000000" w:fill="FFFFFF"/>
            <w:noWrap/>
            <w:vAlign w:val="center"/>
          </w:tcPr>
          <w:p>
            <w:pPr>
              <w:widowControl/>
              <w:tabs>
                <w:tab w:val="left" w:pos="3990"/>
              </w:tabs>
              <w:ind w:right="483" w:rightChars="230"/>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2927" w:type="dxa"/>
          <w:trHeight w:val="595" w:hRule="atLeast"/>
        </w:trPr>
        <w:tc>
          <w:tcPr>
            <w:tcW w:w="374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24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85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7"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77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gridAfter w:val="1"/>
          <w:wAfter w:w="2927" w:type="dxa"/>
          <w:trHeight w:val="595" w:hRule="atLeast"/>
        </w:trPr>
        <w:tc>
          <w:tcPr>
            <w:tcW w:w="188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85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4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2927" w:type="dxa"/>
          <w:trHeight w:val="595" w:hRule="atLeast"/>
        </w:trPr>
        <w:tc>
          <w:tcPr>
            <w:tcW w:w="188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5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5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2927" w:type="dxa"/>
          <w:trHeight w:val="595" w:hRule="atLeast"/>
        </w:trPr>
        <w:tc>
          <w:tcPr>
            <w:tcW w:w="374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45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76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85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7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3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gridAfter w:val="1"/>
          <w:wAfter w:w="2927" w:type="dxa"/>
          <w:trHeight w:val="595" w:hRule="atLeast"/>
        </w:trPr>
        <w:tc>
          <w:tcPr>
            <w:tcW w:w="374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568.66</w:t>
            </w:r>
          </w:p>
        </w:tc>
        <w:tc>
          <w:tcPr>
            <w:tcW w:w="1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224.76</w:t>
            </w:r>
          </w:p>
        </w:tc>
        <w:tc>
          <w:tcPr>
            <w:tcW w:w="18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343.90</w:t>
            </w: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2014001</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22.85</w:t>
            </w:r>
          </w:p>
        </w:tc>
        <w:tc>
          <w:tcPr>
            <w:tcW w:w="1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22.85</w:t>
            </w:r>
          </w:p>
        </w:tc>
        <w:tc>
          <w:tcPr>
            <w:tcW w:w="185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2014004</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信访业务</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55.00</w:t>
            </w:r>
          </w:p>
        </w:tc>
        <w:tc>
          <w:tcPr>
            <w:tcW w:w="176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8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55.00</w:t>
            </w: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2014099</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其他信访事务支出</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288.90</w:t>
            </w:r>
          </w:p>
        </w:tc>
        <w:tc>
          <w:tcPr>
            <w:tcW w:w="176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85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288.90</w:t>
            </w: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2049999</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其他公共安全支出</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171.23</w:t>
            </w:r>
          </w:p>
        </w:tc>
        <w:tc>
          <w:tcPr>
            <w:tcW w:w="1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171.23</w:t>
            </w:r>
          </w:p>
        </w:tc>
        <w:tc>
          <w:tcPr>
            <w:tcW w:w="185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ascii="Helvetica" w:hAnsi="Helvetica" w:eastAsia="Helvetica" w:cs="Helvetica"/>
                <w:i w:val="0"/>
                <w:caps w:val="0"/>
                <w:spacing w:val="0"/>
                <w:sz w:val="21"/>
                <w:szCs w:val="21"/>
                <w:shd w:val="clear" w:fill="FFFFFF"/>
              </w:rPr>
              <w:t>机关事业单位基本养老保险缴费支出</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19.94</w:t>
            </w:r>
          </w:p>
        </w:tc>
        <w:tc>
          <w:tcPr>
            <w:tcW w:w="1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19.94</w:t>
            </w:r>
          </w:p>
        </w:tc>
        <w:tc>
          <w:tcPr>
            <w:tcW w:w="185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2927" w:type="dxa"/>
          <w:trHeight w:val="595" w:hRule="atLeast"/>
        </w:trPr>
        <w:tc>
          <w:tcPr>
            <w:tcW w:w="1881"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85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ascii="Helvetica" w:hAnsi="Helvetica" w:eastAsia="Helvetica" w:cs="Helvetica"/>
                <w:i w:val="0"/>
                <w:caps w:val="0"/>
                <w:spacing w:val="0"/>
                <w:sz w:val="21"/>
                <w:szCs w:val="21"/>
                <w:shd w:val="clear" w:fill="FFFFFF"/>
              </w:rPr>
              <w:t>行政单位医疗</w:t>
            </w:r>
          </w:p>
        </w:tc>
        <w:tc>
          <w:tcPr>
            <w:tcW w:w="2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10.74</w:t>
            </w:r>
          </w:p>
        </w:tc>
        <w:tc>
          <w:tcPr>
            <w:tcW w:w="1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10.74</w:t>
            </w:r>
          </w:p>
        </w:tc>
        <w:tc>
          <w:tcPr>
            <w:tcW w:w="185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3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8523" w:type="dxa"/>
            <w:gridSpan w:val="11"/>
            <w:tcBorders>
              <w:top w:val="nil"/>
              <w:left w:val="nil"/>
              <w:bottom w:val="nil"/>
              <w:right w:val="nil"/>
            </w:tcBorders>
            <w:shd w:val="clear" w:color="auto" w:fill="auto"/>
            <w:vAlign w:val="center"/>
          </w:tcPr>
          <w:tbl>
            <w:tblPr>
              <w:tblStyle w:val="8"/>
              <w:tblW w:w="1932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320" w:type="dxa"/>
                  <w:tcBorders>
                    <w:top w:val="single" w:color="D4D4D4" w:sz="4" w:space="0"/>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注：1.本表依据《支出决算表》（财决04表）进行批复。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32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2.本表含一般公共预算财政拨款、政府性基金预算财政拨款和国有资本经营预算财政拨款。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32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3.本表批复到项级科目。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32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4.本表以“万元”为金额单位（保留两位小数）。</w:t>
                  </w:r>
                </w:p>
              </w:tc>
            </w:tr>
          </w:tbl>
          <w:p>
            <w:pPr>
              <w:widowControl/>
              <w:jc w:val="left"/>
              <w:rPr>
                <w:rFonts w:ascii="宋体" w:hAnsi="宋体" w:eastAsia="宋体" w:cs="宋体"/>
                <w:kern w:val="0"/>
                <w:sz w:val="24"/>
                <w:szCs w:val="24"/>
              </w:rPr>
            </w:pPr>
          </w:p>
        </w:tc>
      </w:tr>
    </w:tbl>
    <w:p>
      <w:pPr>
        <w:widowControl/>
        <w:jc w:val="both"/>
        <w:rPr>
          <w:rFonts w:ascii="Times New Roman" w:hAnsi="Times New Roman" w:eastAsia="方正小标宋_GBK" w:cs="Times New Roman"/>
          <w:color w:val="000000"/>
          <w:kern w:val="0"/>
          <w:sz w:val="36"/>
          <w:szCs w:val="21"/>
        </w:rPr>
      </w:pPr>
    </w:p>
    <w:tbl>
      <w:tblPr>
        <w:tblStyle w:val="8"/>
        <w:tblW w:w="15521" w:type="dxa"/>
        <w:tblInd w:w="93" w:type="dxa"/>
        <w:tblLayout w:type="fixed"/>
        <w:tblCellMar>
          <w:top w:w="0" w:type="dxa"/>
          <w:left w:w="108" w:type="dxa"/>
          <w:bottom w:w="0" w:type="dxa"/>
          <w:right w:w="108" w:type="dxa"/>
        </w:tblCellMar>
      </w:tblPr>
      <w:tblGrid>
        <w:gridCol w:w="3452"/>
        <w:gridCol w:w="427"/>
        <w:gridCol w:w="1480"/>
        <w:gridCol w:w="3454"/>
        <w:gridCol w:w="428"/>
        <w:gridCol w:w="426"/>
        <w:gridCol w:w="102"/>
        <w:gridCol w:w="1413"/>
        <w:gridCol w:w="179"/>
        <w:gridCol w:w="1301"/>
        <w:gridCol w:w="179"/>
        <w:gridCol w:w="1165"/>
        <w:gridCol w:w="112"/>
        <w:gridCol w:w="1403"/>
      </w:tblGrid>
      <w:tr>
        <w:tblPrEx>
          <w:tblCellMar>
            <w:top w:w="0" w:type="dxa"/>
            <w:left w:w="108" w:type="dxa"/>
            <w:bottom w:w="0" w:type="dxa"/>
            <w:right w:w="108" w:type="dxa"/>
          </w:tblCellMar>
        </w:tblPrEx>
        <w:trPr>
          <w:trHeight w:val="360" w:hRule="atLeast"/>
        </w:trPr>
        <w:tc>
          <w:tcPr>
            <w:tcW w:w="15521" w:type="dxa"/>
            <w:gridSpan w:val="14"/>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28"/>
                <w:szCs w:val="28"/>
              </w:rPr>
            </w:pPr>
            <w:bookmarkStart w:id="0" w:name="RANGE!A1:I22"/>
            <w:bookmarkEnd w:id="0"/>
            <w:bookmarkStart w:id="1" w:name="RANGE!A1:F16"/>
            <w:r>
              <w:rPr>
                <w:rFonts w:hint="eastAsia" w:ascii="华文中宋" w:hAnsi="华文中宋" w:eastAsia="华文中宋" w:cs="宋体"/>
                <w:color w:val="000000"/>
                <w:kern w:val="0"/>
                <w:sz w:val="28"/>
                <w:szCs w:val="28"/>
              </w:rPr>
              <w:t>财政拨款收入支出决算总表</w:t>
            </w:r>
          </w:p>
        </w:tc>
      </w:tr>
      <w:tr>
        <w:tblPrEx>
          <w:tblCellMar>
            <w:top w:w="0" w:type="dxa"/>
            <w:left w:w="108" w:type="dxa"/>
            <w:bottom w:w="0" w:type="dxa"/>
            <w:right w:w="108" w:type="dxa"/>
          </w:tblCellMar>
        </w:tblPrEx>
        <w:trPr>
          <w:trHeight w:val="300" w:hRule="atLeast"/>
        </w:trPr>
        <w:tc>
          <w:tcPr>
            <w:tcW w:w="3452" w:type="dxa"/>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部门：</w:t>
            </w:r>
            <w:r>
              <w:rPr>
                <w:rFonts w:hint="eastAsia" w:ascii="宋体" w:hAnsi="宋体" w:eastAsia="宋体" w:cs="宋体"/>
                <w:color w:val="000000"/>
                <w:kern w:val="0"/>
                <w:sz w:val="18"/>
                <w:szCs w:val="18"/>
                <w:lang w:eastAsia="zh-CN"/>
              </w:rPr>
              <w:t>道县信访局</w:t>
            </w:r>
          </w:p>
        </w:tc>
        <w:tc>
          <w:tcPr>
            <w:tcW w:w="42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48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3882"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42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51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48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34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51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单位：万元</w:t>
            </w:r>
          </w:p>
        </w:tc>
      </w:tr>
      <w:tr>
        <w:tblPrEx>
          <w:tblCellMar>
            <w:top w:w="0" w:type="dxa"/>
            <w:left w:w="108" w:type="dxa"/>
            <w:bottom w:w="0" w:type="dxa"/>
            <w:right w:w="108" w:type="dxa"/>
          </w:tblCellMar>
        </w:tblPrEx>
        <w:trPr>
          <w:trHeight w:val="402" w:hRule="atLeast"/>
        </w:trPr>
        <w:tc>
          <w:tcPr>
            <w:tcW w:w="53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收入</w:t>
            </w:r>
          </w:p>
        </w:tc>
        <w:tc>
          <w:tcPr>
            <w:tcW w:w="10162" w:type="dxa"/>
            <w:gridSpan w:val="11"/>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支出</w:t>
            </w:r>
          </w:p>
        </w:tc>
      </w:tr>
      <w:tr>
        <w:tblPrEx>
          <w:tblCellMar>
            <w:top w:w="0" w:type="dxa"/>
            <w:left w:w="108" w:type="dxa"/>
            <w:bottom w:w="0" w:type="dxa"/>
            <w:right w:w="108" w:type="dxa"/>
          </w:tblCellMar>
        </w:tblPrEx>
        <w:trPr>
          <w:trHeight w:val="630"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项    目</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行次</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金额</w:t>
            </w:r>
          </w:p>
        </w:tc>
        <w:tc>
          <w:tcPr>
            <w:tcW w:w="345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项    目</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18"/>
                <w:szCs w:val="18"/>
              </w:rPr>
            </w:pPr>
            <w:r>
              <w:rPr>
                <w:rFonts w:hint="eastAsia" w:ascii="宋体" w:hAnsi="宋体" w:eastAsia="宋体" w:cs="宋体"/>
                <w:kern w:val="0"/>
                <w:sz w:val="18"/>
                <w:szCs w:val="18"/>
              </w:rPr>
              <w:t>行次</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合计</w:t>
            </w:r>
          </w:p>
        </w:tc>
        <w:tc>
          <w:tcPr>
            <w:tcW w:w="1480"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一般公共预算财政拨款</w:t>
            </w:r>
          </w:p>
        </w:tc>
        <w:tc>
          <w:tcPr>
            <w:tcW w:w="12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政府性基金预算财政拨款</w:t>
            </w:r>
          </w:p>
        </w:tc>
        <w:tc>
          <w:tcPr>
            <w:tcW w:w="140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国有资本经营预算财政拨款</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栏    次</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　</w:t>
            </w:r>
          </w:p>
        </w:tc>
        <w:tc>
          <w:tcPr>
            <w:tcW w:w="14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1</w:t>
            </w:r>
          </w:p>
        </w:tc>
        <w:tc>
          <w:tcPr>
            <w:tcW w:w="345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栏    次</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　</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2</w:t>
            </w:r>
          </w:p>
        </w:tc>
        <w:tc>
          <w:tcPr>
            <w:tcW w:w="148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3</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4</w:t>
            </w:r>
          </w:p>
        </w:tc>
        <w:tc>
          <w:tcPr>
            <w:tcW w:w="14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rPr>
            </w:pPr>
            <w:r>
              <w:rPr>
                <w:rFonts w:hint="eastAsia" w:ascii="宋体" w:hAnsi="宋体" w:eastAsia="宋体" w:cs="宋体"/>
                <w:kern w:val="0"/>
                <w:sz w:val="22"/>
                <w:szCs w:val="22"/>
              </w:rPr>
              <w:t>5</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一、一般公共预算财政拨款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w:t>
            </w:r>
          </w:p>
        </w:tc>
        <w:tc>
          <w:tcPr>
            <w:tcW w:w="14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一、一般公共服务支出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15</w:t>
            </w:r>
          </w:p>
        </w:tc>
        <w:tc>
          <w:tcPr>
            <w:tcW w:w="159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0"/>
                <w:szCs w:val="20"/>
                <w:lang w:val="en-US"/>
              </w:rPr>
            </w:pPr>
            <w:r>
              <w:rPr>
                <w:rFonts w:hint="eastAsia" w:ascii="宋体" w:hAnsi="宋体" w:eastAsia="宋体" w:cs="宋体"/>
                <w:i w:val="0"/>
                <w:iCs w:val="0"/>
                <w:color w:val="000000"/>
                <w:kern w:val="0"/>
                <w:sz w:val="22"/>
                <w:szCs w:val="22"/>
                <w:u w:val="none"/>
                <w:lang w:val="en-US" w:eastAsia="zh-CN" w:bidi="ar"/>
              </w:rPr>
              <w:t>366.75</w:t>
            </w:r>
          </w:p>
        </w:tc>
        <w:tc>
          <w:tcPr>
            <w:tcW w:w="14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366.75</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二、政府性基金预算财政拨款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2</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二、外交支出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16</w:t>
            </w:r>
          </w:p>
        </w:tc>
        <w:tc>
          <w:tcPr>
            <w:tcW w:w="1592"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4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三、国有资本经营预算财政拨款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3</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三、国防支出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17</w:t>
            </w:r>
          </w:p>
        </w:tc>
        <w:tc>
          <w:tcPr>
            <w:tcW w:w="1592"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4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4</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四、公共安全支出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18</w:t>
            </w:r>
          </w:p>
        </w:tc>
        <w:tc>
          <w:tcPr>
            <w:tcW w:w="159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0"/>
                <w:szCs w:val="20"/>
                <w:lang w:val="en-US"/>
              </w:rPr>
            </w:pPr>
            <w:r>
              <w:rPr>
                <w:rFonts w:hint="eastAsia" w:ascii="宋体" w:hAnsi="宋体" w:eastAsia="宋体" w:cs="宋体"/>
                <w:i w:val="0"/>
                <w:iCs w:val="0"/>
                <w:color w:val="000000"/>
                <w:kern w:val="0"/>
                <w:sz w:val="22"/>
                <w:szCs w:val="22"/>
                <w:u w:val="none"/>
                <w:lang w:val="en-US" w:eastAsia="zh-CN" w:bidi="ar"/>
              </w:rPr>
              <w:t>171.23</w:t>
            </w:r>
          </w:p>
        </w:tc>
        <w:tc>
          <w:tcPr>
            <w:tcW w:w="14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171.23</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5</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五、教育支出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19</w:t>
            </w:r>
          </w:p>
        </w:tc>
        <w:tc>
          <w:tcPr>
            <w:tcW w:w="1592"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4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6</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六、科学技术支出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20</w:t>
            </w:r>
          </w:p>
        </w:tc>
        <w:tc>
          <w:tcPr>
            <w:tcW w:w="1592"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4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7</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szCs w:val="22"/>
              </w:rPr>
            </w:pPr>
            <w:r>
              <w:rPr>
                <w:rFonts w:hint="eastAsia" w:ascii="宋体" w:hAnsi="宋体" w:eastAsia="宋体" w:cs="宋体"/>
                <w:i w:val="0"/>
                <w:iCs w:val="0"/>
                <w:color w:val="000000"/>
                <w:kern w:val="0"/>
                <w:sz w:val="21"/>
                <w:szCs w:val="21"/>
                <w:u w:val="none"/>
                <w:lang w:val="en-US" w:eastAsia="zh-CN" w:bidi="ar"/>
              </w:rPr>
              <w:t>七、文化旅游体育与传媒支出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21</w:t>
            </w:r>
          </w:p>
        </w:tc>
        <w:tc>
          <w:tcPr>
            <w:tcW w:w="1592"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48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0"/>
                <w:szCs w:val="16"/>
              </w:rPr>
            </w:pP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8</w:t>
            </w:r>
          </w:p>
        </w:tc>
        <w:tc>
          <w:tcPr>
            <w:tcW w:w="14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345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八、社会保障和就业支出</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22</w:t>
            </w:r>
          </w:p>
        </w:tc>
        <w:tc>
          <w:tcPr>
            <w:tcW w:w="159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0"/>
                <w:szCs w:val="20"/>
                <w:lang w:val="en-US"/>
              </w:rPr>
            </w:pPr>
            <w:r>
              <w:rPr>
                <w:rFonts w:hint="eastAsia" w:ascii="宋体" w:hAnsi="宋体" w:eastAsia="宋体" w:cs="宋体"/>
                <w:i w:val="0"/>
                <w:iCs w:val="0"/>
                <w:color w:val="000000"/>
                <w:kern w:val="0"/>
                <w:sz w:val="22"/>
                <w:szCs w:val="22"/>
                <w:u w:val="none"/>
                <w:lang w:val="en-US" w:eastAsia="zh-CN" w:bidi="ar"/>
              </w:rPr>
              <w:t>19.94</w:t>
            </w:r>
          </w:p>
        </w:tc>
        <w:tc>
          <w:tcPr>
            <w:tcW w:w="14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19.94</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1"/>
                <w:szCs w:val="21"/>
              </w:rPr>
            </w:pPr>
            <w:r>
              <w:rPr>
                <w:rFonts w:hint="eastAsia" w:ascii="宋体" w:hAnsi="宋体" w:eastAsia="宋体" w:cs="宋体"/>
                <w:b/>
                <w:bCs/>
                <w:kern w:val="0"/>
                <w:sz w:val="21"/>
                <w:szCs w:val="21"/>
              </w:rPr>
              <w:t>本年收入合计</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9</w:t>
            </w:r>
          </w:p>
        </w:tc>
        <w:tc>
          <w:tcPr>
            <w:tcW w:w="14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345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1"/>
                <w:szCs w:val="21"/>
              </w:rPr>
            </w:pPr>
            <w:r>
              <w:rPr>
                <w:rFonts w:hint="eastAsia" w:ascii="宋体" w:hAnsi="宋体" w:eastAsia="宋体" w:cs="宋体"/>
                <w:b/>
                <w:bCs/>
                <w:kern w:val="0"/>
                <w:sz w:val="21"/>
                <w:szCs w:val="21"/>
              </w:rPr>
              <w:t>本年支出合计</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w:t>
            </w:r>
          </w:p>
        </w:tc>
        <w:tc>
          <w:tcPr>
            <w:tcW w:w="159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148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1"/>
                <w:szCs w:val="21"/>
              </w:rPr>
            </w:pPr>
            <w:r>
              <w:rPr>
                <w:rFonts w:hint="eastAsia" w:ascii="宋体" w:hAnsi="宋体" w:eastAsia="宋体" w:cs="宋体"/>
                <w:b/>
                <w:bCs/>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年初财政拨款结转和结余</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10</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年末财政拨款结转和结余</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48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一般公共预算财政拨款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11</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48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政府性基金预算财政拨款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12</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48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xml:space="preserve">      国有资本经营预算财政拨款</w:t>
            </w:r>
          </w:p>
        </w:tc>
        <w:tc>
          <w:tcPr>
            <w:tcW w:w="4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13</w:t>
            </w:r>
          </w:p>
        </w:tc>
        <w:tc>
          <w:tcPr>
            <w:tcW w:w="148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345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c>
          <w:tcPr>
            <w:tcW w:w="956"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w:t>
            </w:r>
          </w:p>
        </w:tc>
        <w:tc>
          <w:tcPr>
            <w:tcW w:w="159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48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1"/>
                <w:szCs w:val="21"/>
              </w:rPr>
            </w:pPr>
            <w:r>
              <w:rPr>
                <w:rFonts w:hint="eastAsia" w:ascii="宋体" w:hAnsi="宋体" w:eastAsia="宋体" w:cs="宋体"/>
                <w:kern w:val="0"/>
                <w:sz w:val="21"/>
                <w:szCs w:val="21"/>
              </w:rPr>
              <w:t>　</w:t>
            </w:r>
          </w:p>
        </w:tc>
      </w:tr>
      <w:tr>
        <w:tblPrEx>
          <w:tblCellMar>
            <w:top w:w="0" w:type="dxa"/>
            <w:left w:w="108" w:type="dxa"/>
            <w:bottom w:w="0" w:type="dxa"/>
            <w:right w:w="108" w:type="dxa"/>
          </w:tblCellMar>
        </w:tblPrEx>
        <w:trPr>
          <w:trHeight w:val="402" w:hRule="atLeast"/>
        </w:trPr>
        <w:tc>
          <w:tcPr>
            <w:tcW w:w="3452"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1"/>
                <w:szCs w:val="21"/>
              </w:rPr>
            </w:pPr>
            <w:r>
              <w:rPr>
                <w:rFonts w:hint="eastAsia" w:ascii="宋体" w:hAnsi="宋体" w:eastAsia="宋体" w:cs="宋体"/>
                <w:b/>
                <w:bCs/>
                <w:kern w:val="0"/>
                <w:sz w:val="21"/>
                <w:szCs w:val="21"/>
              </w:rPr>
              <w:t>总计</w:t>
            </w:r>
          </w:p>
        </w:tc>
        <w:tc>
          <w:tcPr>
            <w:tcW w:w="42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1"/>
                <w:szCs w:val="21"/>
              </w:rPr>
            </w:pPr>
            <w:r>
              <w:rPr>
                <w:rFonts w:hint="eastAsia" w:ascii="宋体" w:hAnsi="宋体" w:eastAsia="宋体" w:cs="宋体"/>
                <w:kern w:val="0"/>
                <w:sz w:val="21"/>
                <w:szCs w:val="21"/>
              </w:rPr>
              <w:t>14</w:t>
            </w:r>
          </w:p>
        </w:tc>
        <w:tc>
          <w:tcPr>
            <w:tcW w:w="14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345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1"/>
                <w:szCs w:val="21"/>
              </w:rPr>
            </w:pPr>
            <w:r>
              <w:rPr>
                <w:rFonts w:hint="eastAsia" w:ascii="宋体" w:hAnsi="宋体" w:eastAsia="宋体" w:cs="宋体"/>
                <w:b/>
                <w:bCs/>
                <w:kern w:val="0"/>
                <w:sz w:val="21"/>
                <w:szCs w:val="21"/>
              </w:rPr>
              <w:t>总计</w:t>
            </w:r>
          </w:p>
        </w:tc>
        <w:tc>
          <w:tcPr>
            <w:tcW w:w="956"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w:t>
            </w:r>
          </w:p>
        </w:tc>
        <w:tc>
          <w:tcPr>
            <w:tcW w:w="1592"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148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568.66</w:t>
            </w:r>
          </w:p>
        </w:tc>
        <w:tc>
          <w:tcPr>
            <w:tcW w:w="127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1"/>
                <w:szCs w:val="21"/>
              </w:rPr>
            </w:pPr>
            <w:r>
              <w:rPr>
                <w:rFonts w:hint="eastAsia" w:ascii="宋体" w:hAnsi="宋体" w:eastAsia="宋体" w:cs="宋体"/>
                <w:b/>
                <w:bCs/>
                <w:kern w:val="0"/>
                <w:sz w:val="21"/>
                <w:szCs w:val="21"/>
              </w:rPr>
              <w:t>　</w:t>
            </w:r>
          </w:p>
        </w:tc>
        <w:tc>
          <w:tcPr>
            <w:tcW w:w="140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1"/>
                <w:szCs w:val="21"/>
              </w:rPr>
            </w:pPr>
            <w:r>
              <w:rPr>
                <w:rFonts w:hint="eastAsia" w:ascii="宋体" w:hAnsi="宋体" w:eastAsia="宋体" w:cs="宋体"/>
                <w:b/>
                <w:bCs/>
                <w:kern w:val="0"/>
                <w:sz w:val="21"/>
                <w:szCs w:val="21"/>
              </w:rPr>
              <w:t>　</w:t>
            </w:r>
          </w:p>
        </w:tc>
      </w:tr>
      <w:tr>
        <w:tblPrEx>
          <w:tblCellMar>
            <w:top w:w="0" w:type="dxa"/>
            <w:left w:w="108" w:type="dxa"/>
            <w:bottom w:w="0" w:type="dxa"/>
            <w:right w:w="108" w:type="dxa"/>
          </w:tblCellMar>
        </w:tblPrEx>
        <w:trPr>
          <w:trHeight w:val="585" w:hRule="atLeast"/>
        </w:trPr>
        <w:tc>
          <w:tcPr>
            <w:tcW w:w="15521" w:type="dxa"/>
            <w:gridSpan w:val="14"/>
            <w:tcBorders>
              <w:top w:val="nil"/>
              <w:left w:val="nil"/>
              <w:bottom w:val="nil"/>
              <w:right w:val="nil"/>
            </w:tcBorders>
            <w:shd w:val="clear" w:color="auto" w:fill="auto"/>
            <w:vAlign w:val="center"/>
          </w:tcPr>
          <w:tbl>
            <w:tblPr>
              <w:tblStyle w:val="8"/>
              <w:tblW w:w="15212"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2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212" w:type="dxa"/>
                  <w:tcBorders>
                    <w:top w:val="single" w:color="D4D4D4" w:sz="4" w:space="0"/>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注：1.本表依据《财政拨款收入支出决算总表》（财决01-1表）进行批复。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212"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2.本表以“万元”为金额单位（保留两位小数）。</w:t>
                  </w:r>
                </w:p>
              </w:tc>
            </w:tr>
          </w:tbl>
          <w:p>
            <w:pPr>
              <w:widowControl/>
              <w:jc w:val="left"/>
              <w:rPr>
                <w:rFonts w:ascii="宋体" w:hAnsi="宋体" w:eastAsia="宋体" w:cs="宋体"/>
                <w:kern w:val="0"/>
                <w:sz w:val="22"/>
                <w:szCs w:val="22"/>
              </w:rPr>
            </w:pP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16"/>
          <w:szCs w:val="16"/>
          <w:lang w:eastAsia="zh-CN"/>
        </w:rPr>
        <w:t>道县信访局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5614" w:type="dxa"/>
        <w:jc w:val="center"/>
        <w:tblLayout w:type="fixed"/>
        <w:tblCellMar>
          <w:top w:w="0" w:type="dxa"/>
          <w:left w:w="108" w:type="dxa"/>
          <w:bottom w:w="0" w:type="dxa"/>
          <w:right w:w="108" w:type="dxa"/>
        </w:tblCellMar>
      </w:tblPr>
      <w:tblGrid>
        <w:gridCol w:w="2183"/>
        <w:gridCol w:w="8"/>
        <w:gridCol w:w="2167"/>
        <w:gridCol w:w="3694"/>
        <w:gridCol w:w="3869"/>
        <w:gridCol w:w="3693"/>
      </w:tblGrid>
      <w:tr>
        <w:tblPrEx>
          <w:tblCellMar>
            <w:top w:w="0" w:type="dxa"/>
            <w:left w:w="108" w:type="dxa"/>
            <w:bottom w:w="0" w:type="dxa"/>
            <w:right w:w="108" w:type="dxa"/>
          </w:tblCellMar>
        </w:tblPrEx>
        <w:trPr>
          <w:trHeight w:val="405" w:hRule="atLeast"/>
          <w:jc w:val="center"/>
        </w:trPr>
        <w:tc>
          <w:tcPr>
            <w:tcW w:w="4358"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25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2183"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5"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69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86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693"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2183"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7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6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3"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2183"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75"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6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3"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35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69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869"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693"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358"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rPr>
              <w:t>合计</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568.66</w:t>
            </w:r>
          </w:p>
        </w:tc>
        <w:tc>
          <w:tcPr>
            <w:tcW w:w="386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224.76</w:t>
            </w:r>
          </w:p>
        </w:tc>
        <w:tc>
          <w:tcPr>
            <w:tcW w:w="3693"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343.90</w:t>
            </w: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2014001</w:t>
            </w:r>
          </w:p>
        </w:tc>
        <w:tc>
          <w:tcPr>
            <w:tcW w:w="216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22.85</w:t>
            </w:r>
          </w:p>
        </w:tc>
        <w:tc>
          <w:tcPr>
            <w:tcW w:w="386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22.85</w:t>
            </w:r>
          </w:p>
        </w:tc>
        <w:tc>
          <w:tcPr>
            <w:tcW w:w="3693"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2014004</w:t>
            </w:r>
          </w:p>
        </w:tc>
        <w:tc>
          <w:tcPr>
            <w:tcW w:w="216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信访业务</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55.00</w:t>
            </w:r>
          </w:p>
        </w:tc>
        <w:tc>
          <w:tcPr>
            <w:tcW w:w="3869"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693"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55.00</w:t>
            </w: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2014099</w:t>
            </w:r>
          </w:p>
        </w:tc>
        <w:tc>
          <w:tcPr>
            <w:tcW w:w="216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其他信访事务支出</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288.90</w:t>
            </w:r>
          </w:p>
        </w:tc>
        <w:tc>
          <w:tcPr>
            <w:tcW w:w="3869"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693"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288.90</w:t>
            </w: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2049999</w:t>
            </w:r>
          </w:p>
        </w:tc>
        <w:tc>
          <w:tcPr>
            <w:tcW w:w="216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其他公共安全支出</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171.23</w:t>
            </w:r>
          </w:p>
        </w:tc>
        <w:tc>
          <w:tcPr>
            <w:tcW w:w="386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171.23</w:t>
            </w:r>
          </w:p>
        </w:tc>
        <w:tc>
          <w:tcPr>
            <w:tcW w:w="3693"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216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ascii="Helvetica" w:hAnsi="Helvetica" w:eastAsia="Helvetica" w:cs="Helvetica"/>
                <w:i w:val="0"/>
                <w:caps w:val="0"/>
                <w:spacing w:val="0"/>
                <w:sz w:val="21"/>
                <w:szCs w:val="21"/>
                <w:shd w:val="clear" w:fill="FFFFFF"/>
              </w:rPr>
              <w:t>机关事业单位基本养老保险缴费支出</w:t>
            </w:r>
          </w:p>
        </w:tc>
        <w:tc>
          <w:tcPr>
            <w:tcW w:w="369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19.94</w:t>
            </w:r>
          </w:p>
        </w:tc>
        <w:tc>
          <w:tcPr>
            <w:tcW w:w="386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19.94</w:t>
            </w:r>
          </w:p>
        </w:tc>
        <w:tc>
          <w:tcPr>
            <w:tcW w:w="3693"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2191"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216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ascii="Helvetica" w:hAnsi="Helvetica" w:eastAsia="Helvetica" w:cs="Helvetica"/>
                <w:i w:val="0"/>
                <w:caps w:val="0"/>
                <w:spacing w:val="0"/>
                <w:sz w:val="21"/>
                <w:szCs w:val="21"/>
                <w:shd w:val="clear" w:fill="FFFFFF"/>
              </w:rPr>
              <w:t>行政单位医疗</w:t>
            </w:r>
          </w:p>
        </w:tc>
        <w:tc>
          <w:tcPr>
            <w:tcW w:w="3694"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10.74</w:t>
            </w:r>
          </w:p>
        </w:tc>
        <w:tc>
          <w:tcPr>
            <w:tcW w:w="386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10.74</w:t>
            </w:r>
          </w:p>
        </w:tc>
        <w:tc>
          <w:tcPr>
            <w:tcW w:w="3693" w:type="dxa"/>
            <w:tcBorders>
              <w:top w:val="nil"/>
              <w:left w:val="nil"/>
              <w:bottom w:val="single" w:color="auto" w:sz="8"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645" w:hRule="atLeast"/>
          <w:jc w:val="center"/>
        </w:trPr>
        <w:tc>
          <w:tcPr>
            <w:tcW w:w="15614" w:type="dxa"/>
            <w:gridSpan w:val="6"/>
            <w:tcBorders>
              <w:top w:val="nil"/>
              <w:left w:val="nil"/>
              <w:bottom w:val="nil"/>
              <w:right w:val="nil"/>
            </w:tcBorders>
            <w:shd w:val="clear" w:color="auto" w:fill="auto"/>
            <w:vAlign w:val="center"/>
          </w:tcPr>
          <w:tbl>
            <w:tblPr>
              <w:tblStyle w:val="8"/>
              <w:tblW w:w="15490" w:type="dxa"/>
              <w:tblInd w:w="-2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6"/>
              <w:gridCol w:w="15117"/>
              <w:gridCol w:w="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86" w:type="dxa"/>
                <w:trHeight w:val="300" w:hRule="atLeast"/>
              </w:trPr>
              <w:tc>
                <w:tcPr>
                  <w:tcW w:w="15304" w:type="dxa"/>
                  <w:gridSpan w:val="2"/>
                  <w:tcBorders>
                    <w:top w:val="single" w:color="D4D4D4" w:sz="4" w:space="0"/>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注：1.本表依据《一般公共预算财政拨款收入支出决算表》（财决07表）进行批复。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 w:type="dxa"/>
                <w:trHeight w:val="300" w:hRule="atLeast"/>
              </w:trPr>
              <w:tc>
                <w:tcPr>
                  <w:tcW w:w="15303"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2.本表批复到项级科目。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86" w:type="dxa"/>
                <w:trHeight w:val="300" w:hRule="atLeast"/>
              </w:trPr>
              <w:tc>
                <w:tcPr>
                  <w:tcW w:w="15304"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3.本表以“万元”为金额单位（保留两位小数）。</w:t>
                  </w:r>
                </w:p>
              </w:tc>
            </w:tr>
          </w:tbl>
          <w:p>
            <w:pPr>
              <w:widowControl/>
              <w:jc w:val="lef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bCs/>
          <w:kern w:val="0"/>
          <w:szCs w:val="21"/>
        </w:rPr>
      </w:pPr>
    </w:p>
    <w:p>
      <w:pPr>
        <w:widowControl/>
        <w:tabs>
          <w:tab w:val="left" w:pos="5250"/>
        </w:tabs>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5614" w:type="dxa"/>
        <w:tblInd w:w="0" w:type="dxa"/>
        <w:tblLayout w:type="fixed"/>
        <w:tblCellMar>
          <w:top w:w="0" w:type="dxa"/>
          <w:left w:w="108" w:type="dxa"/>
          <w:bottom w:w="0" w:type="dxa"/>
          <w:right w:w="108" w:type="dxa"/>
        </w:tblCellMar>
      </w:tblPr>
      <w:tblGrid>
        <w:gridCol w:w="1003"/>
        <w:gridCol w:w="240"/>
        <w:gridCol w:w="95"/>
        <w:gridCol w:w="1307"/>
        <w:gridCol w:w="1475"/>
        <w:gridCol w:w="644"/>
        <w:gridCol w:w="870"/>
        <w:gridCol w:w="939"/>
        <w:gridCol w:w="310"/>
        <w:gridCol w:w="2006"/>
        <w:gridCol w:w="113"/>
        <w:gridCol w:w="1745"/>
        <w:gridCol w:w="374"/>
        <w:gridCol w:w="594"/>
        <w:gridCol w:w="1525"/>
        <w:gridCol w:w="1039"/>
        <w:gridCol w:w="1081"/>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20"/>
                <w:szCs w:val="28"/>
              </w:rPr>
            </w:pPr>
            <w:bookmarkStart w:id="2" w:name="RANGE!A1:I34"/>
            <w:r>
              <w:rPr>
                <w:rFonts w:hint="eastAsia" w:ascii="华文中宋" w:hAnsi="华文中宋" w:eastAsia="华文中宋" w:cs="宋体"/>
                <w:color w:val="000000"/>
                <w:kern w:val="0"/>
                <w:sz w:val="20"/>
                <w:szCs w:val="28"/>
              </w:rPr>
              <w:t>一般公共预算财政拨款基本支出决算明细表</w:t>
            </w:r>
            <w:bookmarkEnd w:id="2"/>
          </w:p>
          <w:p>
            <w:pPr>
              <w:widowControl/>
              <w:wordWrap w:val="0"/>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 xml:space="preserve">部门： </w:t>
            </w:r>
            <w:r>
              <w:rPr>
                <w:rFonts w:hint="eastAsia" w:ascii="Times New Roman" w:hAnsi="Times New Roman" w:eastAsia="仿宋_GB2312" w:cs="Times New Roman"/>
                <w:color w:val="000000"/>
                <w:kern w:val="0"/>
                <w:sz w:val="20"/>
                <w:szCs w:val="20"/>
              </w:rPr>
              <w:t xml:space="preserve">  </w:t>
            </w:r>
            <w:r>
              <w:rPr>
                <w:rFonts w:hint="eastAsia" w:ascii="宋体" w:hAnsi="宋体" w:eastAsia="宋体" w:cs="宋体"/>
                <w:color w:val="000000"/>
                <w:kern w:val="0"/>
                <w:sz w:val="16"/>
                <w:szCs w:val="16"/>
                <w:lang w:eastAsia="zh-CN"/>
              </w:rPr>
              <w:t>道县信访局</w:t>
            </w: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rPr>
              <w:t>公开06表</w:t>
            </w:r>
          </w:p>
          <w:p>
            <w:pPr>
              <w:widowControl/>
              <w:jc w:val="right"/>
              <w:rPr>
                <w:rFonts w:ascii="华文中宋" w:hAnsi="华文中宋" w:eastAsia="华文中宋" w:cs="宋体"/>
                <w:color w:val="000000"/>
                <w:kern w:val="0"/>
                <w:sz w:val="20"/>
                <w:szCs w:val="28"/>
              </w:rPr>
            </w:pPr>
            <w:r>
              <w:rPr>
                <w:rFonts w:hint="eastAsia" w:ascii="Times New Roman" w:hAnsi="Times New Roman" w:eastAsia="仿宋_GB2312" w:cs="Times New Roman"/>
                <w:color w:val="000000"/>
                <w:kern w:val="0"/>
                <w:sz w:val="20"/>
                <w:szCs w:val="20"/>
              </w:rPr>
              <w:t>单位：万元</w:t>
            </w:r>
          </w:p>
        </w:tc>
      </w:tr>
      <w:tr>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18"/>
                <w:szCs w:val="18"/>
              </w:rPr>
              <w:t>经济分类科目编码</w:t>
            </w:r>
          </w:p>
        </w:tc>
        <w:tc>
          <w:tcPr>
            <w:tcW w:w="278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15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决算数</w:t>
            </w:r>
          </w:p>
        </w:tc>
        <w:tc>
          <w:tcPr>
            <w:tcW w:w="93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185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决算数</w:t>
            </w:r>
          </w:p>
        </w:tc>
        <w:tc>
          <w:tcPr>
            <w:tcW w:w="96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经济分类科目编码</w:t>
            </w:r>
          </w:p>
        </w:tc>
        <w:tc>
          <w:tcPr>
            <w:tcW w:w="256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科目名称</w:t>
            </w:r>
          </w:p>
        </w:tc>
        <w:tc>
          <w:tcPr>
            <w:tcW w:w="133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决算数</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工资福利支出</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200.33</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商品和服务支出</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22.85</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307</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债务利息及费用支出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30101</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基本工资</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83.12</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办公费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4.85</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30701</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国内债务付息</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328"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30102</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津贴补贴</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44.40</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印刷费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2.50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30702</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国外债务付息</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30103</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奖金</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36.69</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咨询费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资本性支出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30106</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伙食补助费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手续费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31001</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房屋建筑物购建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30107</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绩效工资</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5.44</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水费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31002</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办公设备购置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30108</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机关事业单位基本养老保险缴费</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19.94</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电费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5.00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31003</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专用设备购置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30109</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职业年金缴费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邮电费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31005</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基础设施建设</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30110</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职工基本医疗保险缴费</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10.74</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取暖费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31006</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大型修缮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30111</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公务员医疗补助缴费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物业管理费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31007</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信息网络及软件购置更新</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30112</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其他社会保障缴费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差旅费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31008</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物资储备</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30113</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住房公积金</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因公出国（境）费用</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31009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土地补偿</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30114</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医疗费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维修（护）费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1.00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31010</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安置补助</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30199</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其他工资福利支出</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租赁费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31011</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地上附着物和青苗补偿</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对个人和家庭的补助</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15.83</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会议费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31012</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拆迁补偿</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30301</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离休费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培训费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31013</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公务用车购置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30302</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退休费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公务接待费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31019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其他交通工具购置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30303</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退职（役）费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专用材料费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31021</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文物和陈列品购置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30304</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抚恤金</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1"/>
                <w:szCs w:val="21"/>
                <w:u w:val="none"/>
                <w:lang w:val="en-US" w:eastAsia="zh-CN" w:bidi="ar"/>
              </w:rPr>
              <w:t>15.83</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被装购置费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31022</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无形资产购置</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30305</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生活补助</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专用燃料费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31099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其他资本性支出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30306</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救济费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劳务费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399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其他支出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30307</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医疗费补助</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委托业务费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39907</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 xml:space="preserve">  国家赔偿费用支出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30308</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助学金</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工会经费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39908</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对民间非营利组织和群众性自治组织补贴</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30309</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奖励金</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福利费</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0"/>
                <w:szCs w:val="18"/>
                <w:lang w:val="en-US" w:eastAsia="zh-CN"/>
              </w:rPr>
            </w:pPr>
            <w:r>
              <w:rPr>
                <w:rFonts w:hint="eastAsia" w:ascii="宋体" w:hAnsi="宋体" w:eastAsia="宋体" w:cs="宋体"/>
                <w:color w:val="000000"/>
                <w:kern w:val="0"/>
                <w:sz w:val="20"/>
                <w:szCs w:val="18"/>
              </w:rPr>
              <w:t>3990</w:t>
            </w:r>
            <w:r>
              <w:rPr>
                <w:rFonts w:hint="eastAsia" w:ascii="宋体" w:hAnsi="宋体" w:eastAsia="宋体" w:cs="宋体"/>
                <w:color w:val="000000"/>
                <w:kern w:val="0"/>
                <w:sz w:val="20"/>
                <w:szCs w:val="18"/>
                <w:lang w:val="en-US" w:eastAsia="zh-CN"/>
              </w:rPr>
              <w:t>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0"/>
                <w:szCs w:val="18"/>
              </w:rPr>
            </w:pPr>
            <w:r>
              <w:rPr>
                <w:rFonts w:hint="eastAsia" w:ascii="宋体" w:hAnsi="宋体" w:eastAsia="宋体" w:cs="宋体"/>
                <w:color w:val="000000"/>
                <w:kern w:val="0"/>
                <w:sz w:val="20"/>
                <w:szCs w:val="18"/>
              </w:rPr>
              <w:t xml:space="preserve">  经常性赠与</w:t>
            </w:r>
          </w:p>
          <w:p>
            <w:pPr>
              <w:widowControl/>
              <w:jc w:val="left"/>
              <w:rPr>
                <w:rFonts w:hint="eastAsia" w:ascii="宋体" w:hAnsi="宋体" w:eastAsia="宋体" w:cs="宋体"/>
                <w:color w:val="000000"/>
                <w:kern w:val="0"/>
                <w:sz w:val="20"/>
                <w:szCs w:val="18"/>
              </w:rPr>
            </w:pPr>
            <w:r>
              <w:rPr>
                <w:rFonts w:hint="eastAsia" w:ascii="宋体" w:hAnsi="宋体" w:eastAsia="宋体" w:cs="宋体"/>
                <w:color w:val="000000"/>
                <w:kern w:val="0"/>
                <w:sz w:val="20"/>
                <w:szCs w:val="18"/>
              </w:rPr>
              <w:t xml:space="preserve">  资本性赠与</w:t>
            </w:r>
          </w:p>
          <w:p>
            <w:pPr>
              <w:widowControl/>
              <w:jc w:val="left"/>
              <w:rPr>
                <w:rFonts w:hint="eastAsia" w:ascii="宋体" w:hAnsi="宋体" w:eastAsia="宋体" w:cs="宋体"/>
                <w:color w:val="000000"/>
                <w:kern w:val="0"/>
                <w:sz w:val="20"/>
                <w:szCs w:val="18"/>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资本性赠与</w:t>
                  </w:r>
                </w:p>
              </w:tc>
            </w:tr>
          </w:tbl>
          <w:p>
            <w:pPr>
              <w:widowControl/>
              <w:jc w:val="left"/>
              <w:rPr>
                <w:rFonts w:hint="eastAsia" w:ascii="宋体" w:hAnsi="宋体" w:eastAsia="宋体" w:cs="宋体"/>
                <w:color w:val="000000"/>
                <w:kern w:val="0"/>
                <w:sz w:val="20"/>
                <w:szCs w:val="18"/>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资本性赠与</w:t>
                  </w:r>
                </w:p>
              </w:tc>
            </w:tr>
          </w:tbl>
          <w:p>
            <w:pPr>
              <w:widowControl/>
              <w:jc w:val="left"/>
              <w:rPr>
                <w:rFonts w:ascii="宋体" w:hAnsi="宋体" w:eastAsia="宋体" w:cs="宋体"/>
                <w:color w:val="000000"/>
                <w:kern w:val="0"/>
                <w:sz w:val="20"/>
                <w:szCs w:val="18"/>
              </w:rPr>
            </w:pP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30310</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个人农业生产补贴</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公务用车运行维护费</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0"/>
                <w:szCs w:val="18"/>
                <w:lang w:val="en-US" w:eastAsia="zh-CN"/>
              </w:rPr>
            </w:pPr>
            <w:r>
              <w:rPr>
                <w:rFonts w:hint="eastAsia" w:ascii="宋体" w:hAnsi="宋体" w:eastAsia="宋体" w:cs="宋体"/>
                <w:color w:val="000000"/>
                <w:kern w:val="0"/>
                <w:sz w:val="20"/>
                <w:szCs w:val="18"/>
              </w:rPr>
              <w:t>399</w:t>
            </w:r>
            <w:r>
              <w:rPr>
                <w:rFonts w:hint="eastAsia" w:ascii="宋体" w:hAnsi="宋体" w:eastAsia="宋体" w:cs="宋体"/>
                <w:color w:val="000000"/>
                <w:kern w:val="0"/>
                <w:sz w:val="20"/>
                <w:szCs w:val="18"/>
                <w:lang w:val="en-US" w:eastAsia="zh-CN"/>
              </w:rPr>
              <w:t>10</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0"/>
                <w:szCs w:val="18"/>
                <w:lang w:val="en-US" w:eastAsia="zh-CN"/>
              </w:rPr>
            </w:pPr>
            <w:r>
              <w:rPr>
                <w:rFonts w:hint="eastAsia" w:ascii="宋体" w:hAnsi="宋体" w:eastAsia="宋体" w:cs="宋体"/>
                <w:color w:val="000000"/>
                <w:kern w:val="0"/>
                <w:sz w:val="20"/>
                <w:szCs w:val="18"/>
                <w:lang w:val="en-US" w:eastAsia="zh-CN"/>
              </w:rPr>
              <w:t xml:space="preserve">  资本性赠与</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30311</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代缴社会保险费</w:t>
            </w:r>
          </w:p>
        </w:tc>
        <w:tc>
          <w:tcPr>
            <w:tcW w:w="1514"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18"/>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其他交通费用</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2.00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39999</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lang w:val="en-US" w:eastAsia="zh-CN" w:bidi="ar-SA"/>
              </w:rPr>
            </w:pPr>
            <w:r>
              <w:rPr>
                <w:rFonts w:hint="eastAsia" w:ascii="宋体" w:hAnsi="宋体" w:eastAsia="宋体" w:cs="宋体"/>
                <w:color w:val="000000"/>
                <w:kern w:val="0"/>
                <w:sz w:val="20"/>
                <w:szCs w:val="18"/>
              </w:rPr>
              <w:t xml:space="preserve">  其他支出</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30399</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其他对个人和家庭的补助</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 w:val="20"/>
                <w:szCs w:val="18"/>
              </w:rPr>
            </w:pP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税金及附加费用</w:t>
            </w:r>
          </w:p>
        </w:tc>
        <w:tc>
          <w:tcPr>
            <w:tcW w:w="1858"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 w:val="20"/>
                <w:szCs w:val="18"/>
              </w:rPr>
            </w:pP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6"/>
              </w:rPr>
            </w:pPr>
            <w:r>
              <w:rPr>
                <w:rFonts w:hint="eastAsia" w:ascii="宋体" w:hAnsi="宋体" w:eastAsia="宋体" w:cs="宋体"/>
                <w:color w:val="000000"/>
                <w:kern w:val="0"/>
                <w:sz w:val="20"/>
                <w:szCs w:val="16"/>
              </w:rPr>
              <w:t>　</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6"/>
              </w:rPr>
            </w:pPr>
            <w:r>
              <w:rPr>
                <w:rFonts w:hint="eastAsia" w:ascii="宋体" w:hAnsi="宋体" w:eastAsia="宋体" w:cs="宋体"/>
                <w:color w:val="000000"/>
                <w:kern w:val="0"/>
                <w:sz w:val="20"/>
                <w:szCs w:val="16"/>
              </w:rPr>
              <w:t>　</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c>
          <w:tcPr>
            <w:tcW w:w="278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c>
          <w:tcPr>
            <w:tcW w:w="15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c>
          <w:tcPr>
            <w:tcW w:w="93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xml:space="preserve">  其他商品和服务支出</w:t>
            </w:r>
          </w:p>
        </w:tc>
        <w:tc>
          <w:tcPr>
            <w:tcW w:w="1858"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 w:val="20"/>
                <w:szCs w:val="18"/>
                <w:lang w:val="en-US"/>
              </w:rPr>
            </w:pPr>
            <w:r>
              <w:rPr>
                <w:rFonts w:hint="eastAsia" w:ascii="宋体" w:hAnsi="宋体" w:eastAsia="宋体" w:cs="宋体"/>
                <w:i w:val="0"/>
                <w:iCs w:val="0"/>
                <w:color w:val="000000"/>
                <w:kern w:val="0"/>
                <w:sz w:val="22"/>
                <w:szCs w:val="22"/>
                <w:u w:val="none"/>
                <w:lang w:val="en-US" w:eastAsia="zh-CN" w:bidi="ar"/>
              </w:rPr>
              <w:t>1.50</w:t>
            </w:r>
          </w:p>
        </w:tc>
        <w:tc>
          <w:tcPr>
            <w:tcW w:w="9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6"/>
              </w:rPr>
            </w:pPr>
            <w:r>
              <w:rPr>
                <w:rFonts w:hint="eastAsia" w:ascii="宋体" w:hAnsi="宋体" w:eastAsia="宋体" w:cs="宋体"/>
                <w:color w:val="000000"/>
                <w:kern w:val="0"/>
                <w:sz w:val="20"/>
                <w:szCs w:val="16"/>
              </w:rPr>
              <w:t>　</w:t>
            </w:r>
          </w:p>
        </w:tc>
        <w:tc>
          <w:tcPr>
            <w:tcW w:w="25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6"/>
              </w:rPr>
            </w:pPr>
            <w:r>
              <w:rPr>
                <w:rFonts w:hint="eastAsia" w:ascii="宋体" w:hAnsi="宋体" w:eastAsia="宋体" w:cs="宋体"/>
                <w:color w:val="000000"/>
                <w:kern w:val="0"/>
                <w:sz w:val="20"/>
                <w:szCs w:val="16"/>
              </w:rPr>
              <w:t>　</w:t>
            </w:r>
          </w:p>
        </w:tc>
        <w:tc>
          <w:tcPr>
            <w:tcW w:w="133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0"/>
                <w:szCs w:val="18"/>
              </w:rPr>
            </w:pPr>
            <w:r>
              <w:rPr>
                <w:rFonts w:hint="eastAsia" w:ascii="宋体" w:hAnsi="宋体" w:eastAsia="宋体" w:cs="宋体"/>
                <w:color w:val="000000"/>
                <w:kern w:val="0"/>
                <w:sz w:val="20"/>
                <w:szCs w:val="18"/>
              </w:rPr>
              <w:t>　</w:t>
            </w:r>
          </w:p>
        </w:tc>
      </w:tr>
      <w:tr>
        <w:tblPrEx>
          <w:tblCellMar>
            <w:top w:w="0" w:type="dxa"/>
            <w:left w:w="108" w:type="dxa"/>
            <w:bottom w:w="0" w:type="dxa"/>
            <w:right w:w="108" w:type="dxa"/>
          </w:tblCellMar>
        </w:tblPrEx>
        <w:trPr>
          <w:trHeight w:val="284" w:hRule="exact"/>
        </w:trPr>
        <w:tc>
          <w:tcPr>
            <w:tcW w:w="41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人员经费合计</w:t>
            </w:r>
          </w:p>
        </w:tc>
        <w:tc>
          <w:tcPr>
            <w:tcW w:w="15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201.91</w:t>
            </w:r>
          </w:p>
        </w:tc>
        <w:tc>
          <w:tcPr>
            <w:tcW w:w="864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0"/>
                <w:szCs w:val="18"/>
              </w:rPr>
            </w:pPr>
            <w:r>
              <w:rPr>
                <w:rFonts w:hint="eastAsia" w:ascii="宋体" w:hAnsi="宋体" w:eastAsia="宋体" w:cs="宋体"/>
                <w:color w:val="000000"/>
                <w:kern w:val="0"/>
                <w:sz w:val="20"/>
                <w:szCs w:val="18"/>
              </w:rPr>
              <w:t>公用经费合计</w:t>
            </w:r>
          </w:p>
        </w:tc>
        <w:tc>
          <w:tcPr>
            <w:tcW w:w="1335"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26.00</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 w:val="20"/>
                <w:szCs w:val="22"/>
              </w:rPr>
            </w:pPr>
            <w:r>
              <w:rPr>
                <w:rFonts w:hint="eastAsia" w:ascii="宋体" w:hAnsi="宋体" w:eastAsia="宋体" w:cs="宋体"/>
                <w:color w:val="000000"/>
                <w:kern w:val="0"/>
                <w:sz w:val="20"/>
                <w:szCs w:val="22"/>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28"/>
                <w:szCs w:val="28"/>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28"/>
                <w:szCs w:val="28"/>
                <w:u w:val="none"/>
              </w:rPr>
            </w:pPr>
            <w:r>
              <w:rPr>
                <w:rFonts w:hint="eastAsia" w:ascii="华文中宋" w:hAnsi="华文中宋" w:eastAsia="华文中宋" w:cs="华文中宋"/>
                <w:i w:val="0"/>
                <w:color w:val="000000"/>
                <w:kern w:val="0"/>
                <w:sz w:val="28"/>
                <w:szCs w:val="28"/>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18"/>
                <w:szCs w:val="18"/>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18"/>
                <w:szCs w:val="18"/>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w:t>
            </w:r>
            <w:r>
              <w:rPr>
                <w:rFonts w:hint="eastAsia" w:ascii="宋体" w:hAnsi="宋体" w:eastAsia="宋体" w:cs="宋体"/>
                <w:color w:val="000000"/>
                <w:kern w:val="0"/>
                <w:sz w:val="16"/>
                <w:szCs w:val="16"/>
                <w:lang w:eastAsia="zh-CN"/>
              </w:rPr>
              <w:t>道县信访局</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18"/>
                <w:szCs w:val="18"/>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18"/>
                <w:szCs w:val="18"/>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项 </w:t>
            </w:r>
            <w:r>
              <w:rPr>
                <w:rStyle w:val="15"/>
                <w:sz w:val="21"/>
                <w:szCs w:val="21"/>
                <w:lang w:val="en-US" w:eastAsia="zh-CN" w:bidi="ar"/>
              </w:rPr>
              <w:t xml:space="preserve">   </w:t>
            </w:r>
            <w:r>
              <w:rPr>
                <w:rStyle w:val="16"/>
                <w:sz w:val="22"/>
                <w:szCs w:val="22"/>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基本支出  </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楷体" w:hAnsi="楷体" w:eastAsia="楷体" w:cs="楷体"/>
                <w:b/>
                <w:bCs/>
                <w:i w:val="0"/>
                <w:color w:val="auto"/>
                <w:kern w:val="0"/>
                <w:sz w:val="22"/>
                <w:szCs w:val="22"/>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8"/>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6"/>
        <w:gridCol w:w="687"/>
        <w:gridCol w:w="2244"/>
        <w:gridCol w:w="3240"/>
        <w:gridCol w:w="3240"/>
        <w:gridCol w:w="40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61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68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44"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4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24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093"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616"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color w:val="000000"/>
                <w:kern w:val="0"/>
                <w:sz w:val="16"/>
                <w:szCs w:val="16"/>
                <w:lang w:eastAsia="zh-CN"/>
              </w:rPr>
              <w:t>道县信访局</w:t>
            </w:r>
          </w:p>
        </w:tc>
        <w:tc>
          <w:tcPr>
            <w:tcW w:w="68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44"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4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24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093"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5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7"/>
                <w:lang w:val="en-US" w:eastAsia="zh-CN" w:bidi="ar"/>
              </w:rPr>
              <w:t>目</w:t>
            </w:r>
          </w:p>
        </w:tc>
        <w:tc>
          <w:tcPr>
            <w:tcW w:w="105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0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0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5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5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8"/>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66"/>
        <w:gridCol w:w="1180"/>
        <w:gridCol w:w="1168"/>
        <w:gridCol w:w="1133"/>
        <w:gridCol w:w="1357"/>
        <w:gridCol w:w="1357"/>
        <w:gridCol w:w="1357"/>
        <w:gridCol w:w="1180"/>
        <w:gridCol w:w="1191"/>
        <w:gridCol w:w="1110"/>
        <w:gridCol w:w="1357"/>
        <w:gridCol w:w="13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521"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6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8"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1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65"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66"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color w:val="000000"/>
                <w:kern w:val="0"/>
                <w:sz w:val="16"/>
                <w:szCs w:val="16"/>
                <w:lang w:eastAsia="zh-CN"/>
              </w:rPr>
              <w:t>道县信访局</w:t>
            </w:r>
          </w:p>
        </w:tc>
        <w:tc>
          <w:tcPr>
            <w:tcW w:w="118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8"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1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57"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365"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9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6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3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6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4.5</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521" w:type="dxa"/>
            <w:gridSpan w:val="12"/>
            <w:tcBorders>
              <w:top w:val="nil"/>
              <w:left w:val="nil"/>
              <w:bottom w:val="nil"/>
              <w:right w:val="nil"/>
            </w:tcBorders>
            <w:shd w:val="clear" w:color="auto" w:fill="auto"/>
            <w:vAlign w:val="center"/>
          </w:tcPr>
          <w:tbl>
            <w:tblPr>
              <w:tblStyle w:val="8"/>
              <w:tblW w:w="1764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7640" w:type="dxa"/>
                  <w:tcBorders>
                    <w:top w:val="single" w:color="D4D4D4" w:sz="12" w:space="0"/>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注:1.本表依据《机构运行信息表》(F03表)进行批复。其中，预算数为“三公”经费全年预算数，反映按规定程序调整后的相关支出预算数；决算数是包括当年财政拨款和以前年度结转资金安排的实际支出。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64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2.本表以“万元”为金额单位(保留两位小数)。</w:t>
                  </w:r>
                </w:p>
              </w:tc>
            </w:tr>
          </w:tbl>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165.51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22.54</w:t>
      </w:r>
      <w:r>
        <w:rPr>
          <w:rFonts w:hint="eastAsia" w:ascii="Times New Roman" w:hAnsi="Times New Roman" w:eastAsia="仿宋_GB2312"/>
          <w:sz w:val="32"/>
          <w:szCs w:val="32"/>
        </w:rPr>
        <w:t>%，主要是</w:t>
      </w:r>
      <w:r>
        <w:rPr>
          <w:rFonts w:hint="eastAsia" w:ascii="Times New Roman" w:hAnsi="Times New Roman" w:eastAsia="仿宋_GB2312"/>
          <w:sz w:val="32"/>
          <w:szCs w:val="32"/>
          <w:lang w:eastAsia="zh-CN"/>
        </w:rPr>
        <w:t>信访案件化解到位，减少了信访维稳经费的支出。</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224.76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39.52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343.90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60.48</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165.51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22.54</w:t>
      </w:r>
      <w:r>
        <w:rPr>
          <w:rFonts w:hint="eastAsia" w:ascii="Times New Roman" w:hAnsi="Times New Roman" w:eastAsia="仿宋_GB2312"/>
          <w:sz w:val="32"/>
          <w:szCs w:val="32"/>
        </w:rPr>
        <w:t>%，主要是</w:t>
      </w:r>
      <w:r>
        <w:rPr>
          <w:rFonts w:hint="eastAsia" w:ascii="Times New Roman" w:hAnsi="Times New Roman" w:eastAsia="仿宋_GB2312"/>
          <w:sz w:val="32"/>
          <w:szCs w:val="32"/>
          <w:lang w:eastAsia="zh-CN"/>
        </w:rPr>
        <w:t>信访案件化解到位，减少了信访维稳经费的支出。</w:t>
      </w:r>
    </w:p>
    <w:p>
      <w:pPr>
        <w:pStyle w:val="12"/>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165.51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22.54</w:t>
      </w:r>
      <w:r>
        <w:rPr>
          <w:rFonts w:hint="eastAsia" w:ascii="Times New Roman" w:hAnsi="Times New Roman" w:eastAsia="仿宋_GB2312"/>
          <w:sz w:val="32"/>
          <w:szCs w:val="32"/>
        </w:rPr>
        <w:t>%，主要是</w:t>
      </w:r>
      <w:r>
        <w:rPr>
          <w:rFonts w:hint="eastAsia" w:ascii="Times New Roman" w:hAnsi="Times New Roman" w:eastAsia="仿宋_GB2312"/>
          <w:sz w:val="32"/>
          <w:szCs w:val="32"/>
          <w:lang w:eastAsia="zh-CN"/>
        </w:rPr>
        <w:t>信访案件化解到位，减少了信访维稳经费的支出。</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366.75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64.49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社会保障（类）</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19.94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3.51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公共安全（类）</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171.23万元，占30.11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卫生健康支出（类）支出10.74万元，占1.89%；</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568.66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eastAsia="zh-CN"/>
        </w:rPr>
        <w:t>政府办公厅及相关机构事务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22.85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22.85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于年初预算数</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w:t>
      </w:r>
      <w:r>
        <w:rPr>
          <w:rFonts w:hint="eastAsia" w:ascii="Times New Roman" w:hAnsi="Times New Roman" w:eastAsia="仿宋_GB2312"/>
          <w:sz w:val="32"/>
          <w:szCs w:val="32"/>
          <w:lang w:eastAsia="zh-CN"/>
        </w:rPr>
        <w:t>政府办公厅及</w:t>
      </w:r>
      <w:r>
        <w:rPr>
          <w:rFonts w:hint="eastAsia" w:ascii="Times New Roman" w:hAnsi="Times New Roman" w:eastAsia="仿宋_GB2312"/>
          <w:color w:val="auto"/>
          <w:sz w:val="32"/>
          <w:szCs w:val="32"/>
          <w:lang w:eastAsia="zh-CN"/>
        </w:rPr>
        <w:t>相关</w:t>
      </w:r>
      <w:r>
        <w:rPr>
          <w:rFonts w:hint="eastAsia" w:ascii="Times New Roman" w:hAnsi="Times New Roman" w:eastAsia="仿宋_GB2312"/>
          <w:sz w:val="32"/>
          <w:szCs w:val="32"/>
          <w:lang w:eastAsia="zh-CN"/>
        </w:rPr>
        <w:t>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信访业务</w:t>
      </w:r>
      <w:r>
        <w:rPr>
          <w:rFonts w:hint="eastAsia" w:ascii="Times New Roman" w:hAnsi="Times New Roman" w:eastAsia="仿宋_GB2312"/>
          <w:sz w:val="32"/>
          <w:szCs w:val="32"/>
        </w:rPr>
        <w:t>（项）。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55.00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55.00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政府办公厅及相关机构事务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其他信访事务支出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288.90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288.90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其他公共安全支出（项）</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171.23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171.23</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机关事业单位基本养老保险缴费支出</w:t>
      </w:r>
      <w:r>
        <w:rPr>
          <w:rFonts w:hint="eastAsia" w:ascii="Times New Roman" w:hAnsi="Times New Roman" w:eastAsia="仿宋_GB2312"/>
          <w:sz w:val="32"/>
          <w:szCs w:val="32"/>
          <w:lang w:eastAsia="zh-CN"/>
        </w:rPr>
        <w:t>（项）</w:t>
      </w:r>
    </w:p>
    <w:p>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19.94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19.94</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行政单位医疗（项）</w:t>
      </w:r>
    </w:p>
    <w:p>
      <w:pPr>
        <w:pStyle w:val="12"/>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10.74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10.74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223.17</w:t>
      </w:r>
      <w:r>
        <w:rPr>
          <w:rFonts w:hint="eastAsia" w:ascii="Times New Roman" w:hAnsi="Times New Roman" w:eastAsia="仿宋_GB2312"/>
          <w:sz w:val="32"/>
          <w:szCs w:val="32"/>
        </w:rPr>
        <w:t>万元，其中：</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200.32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89.76</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等。</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22.85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10.24</w:t>
      </w:r>
      <w:r>
        <w:rPr>
          <w:rFonts w:hint="eastAsia" w:ascii="Times New Roman" w:hAnsi="Times New Roman" w:eastAsia="仿宋_GB2312"/>
          <w:sz w:val="32"/>
          <w:szCs w:val="32"/>
        </w:rPr>
        <w:t>%，主要包括办公费、印刷费、咨询费、手续费</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“三公”经费财政拨款支出预算为</w:t>
      </w:r>
      <w:r>
        <w:rPr>
          <w:rFonts w:hint="eastAsia" w:ascii="Times New Roman" w:hAnsi="Times New Roman" w:eastAsia="仿宋_GB2312"/>
          <w:color w:val="auto"/>
          <w:sz w:val="32"/>
          <w:szCs w:val="32"/>
          <w:lang w:val="en-US" w:eastAsia="zh-CN"/>
        </w:rPr>
        <w:t>4.5</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万元，完成预算的</w:t>
      </w:r>
      <w:r>
        <w:rPr>
          <w:rFonts w:hint="eastAsia" w:ascii="Times New Roman" w:hAnsi="Times New Roman" w:eastAsia="仿宋_GB2312"/>
          <w:color w:val="auto"/>
          <w:sz w:val="32"/>
          <w:szCs w:val="32"/>
          <w:lang w:val="en-US" w:eastAsia="zh-CN"/>
        </w:rPr>
        <w:t>44.44</w:t>
      </w:r>
      <w:r>
        <w:rPr>
          <w:rFonts w:hint="eastAsia" w:ascii="Times New Roman" w:hAnsi="Times New Roman" w:eastAsia="仿宋_GB2312"/>
          <w:color w:val="auto"/>
          <w:sz w:val="32"/>
          <w:szCs w:val="32"/>
          <w:lang w:eastAsia="zh-CN"/>
        </w:rPr>
        <w:t>%，决算数与上年相比减少</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lang w:eastAsia="zh-CN"/>
        </w:rPr>
        <w:t>万元，减少</w:t>
      </w:r>
      <w:r>
        <w:rPr>
          <w:rFonts w:hint="eastAsia" w:ascii="Times New Roman" w:hAnsi="Times New Roman" w:eastAsia="仿宋_GB2312"/>
          <w:color w:val="auto"/>
          <w:sz w:val="32"/>
          <w:szCs w:val="32"/>
          <w:lang w:val="en-US" w:eastAsia="zh-CN"/>
        </w:rPr>
        <w:t>55.56</w:t>
      </w:r>
      <w:r>
        <w:rPr>
          <w:rFonts w:hint="eastAsia" w:ascii="Times New Roman" w:hAnsi="Times New Roman" w:eastAsia="仿宋_GB2312"/>
          <w:color w:val="auto"/>
          <w:sz w:val="32"/>
          <w:szCs w:val="32"/>
          <w:lang w:eastAsia="zh-CN"/>
        </w:rPr>
        <w:t>%,减少的主要原因是压缩了一些不必要的开支。其中：</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因公出国（境）费支出预算为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%，决算数等于预算数的主要原因是没有因公出国（境）费支出，与上年相比持平。</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公务接待费支出预算为</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%，决算数小于预算数的主要原因是压缩了一些不必要的开支，与上年相比减少</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lang w:eastAsia="zh-CN"/>
        </w:rPr>
        <w:t>万元，减少</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lang w:eastAsia="zh-CN"/>
        </w:rPr>
        <w:t>%,减少的主要原因是压缩了一些不必要的开支。</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公务用车购置费支出预算为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%，决算数等于预算数的主要原因是没有购置车辆，与上年相比持平的主要原因是近几年没有购置车辆。</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公务用车运行维护费支出预算为</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万元，完成预算的</w:t>
      </w:r>
      <w:r>
        <w:rPr>
          <w:rFonts w:hint="eastAsia" w:ascii="Times New Roman" w:hAnsi="Times New Roman" w:eastAsia="仿宋_GB2312"/>
          <w:color w:val="auto"/>
          <w:sz w:val="32"/>
          <w:szCs w:val="32"/>
          <w:lang w:val="en-US" w:eastAsia="zh-CN"/>
        </w:rPr>
        <w:t>100%。</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2025年度“三公”经费财政拨款支出决算中，公务接待费支出决算</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%,因公出国（境）费支出决算</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%,公务用车购置费及运行维护费支出决算</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万元，占</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lang w:eastAsia="zh-CN"/>
        </w:rPr>
        <w:t>%。其中：</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因公出国（境）费支出决算为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万元，全年安排因公出国（境）团组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个，累计</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人次,无开支内容。</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2、公务接待费支出决算为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万元，无开支内容。</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3、公务用车购置费及运行维护费支出决算为</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万元，其中：公务用车购置费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万元。公务用车运行维护费</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万元，主要是单位公务车加油和保养维修支出，截止2025年12月31日，我单位开支财政拨款的公务用车保有量为</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辆。</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2"/>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22.85</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eastAsia="zh-CN"/>
        </w:rPr>
        <w:t>持平。</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我单位本年没有开展相关活动。</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截至2025年12月31日，部门（单位）共有车辆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辆，其中，副部（省）级及以上领导用车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辆、主要负责人用车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辆、应急保障用车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辆，单位价值100万元以上设备（不含车辆）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台（套）。</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1.绩效管理工作中缺少短期规划，不利于整体目标的落实；绩效管理意识还不够强，绩效管理机制还不够完善。</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仿宋_GB2312" w:hAnsi="宋体" w:eastAsia="仿宋_GB2312" w:cs="仿宋_GB2312"/>
          <w:i w:val="0"/>
          <w:iCs w:val="0"/>
          <w:caps w:val="0"/>
          <w:color w:val="000000"/>
          <w:spacing w:val="0"/>
          <w:kern w:val="2"/>
          <w:sz w:val="32"/>
          <w:szCs w:val="32"/>
          <w:shd w:val="clear" w:color="auto" w:fill="FFFFFF"/>
          <w:lang w:val="en-US" w:eastAsia="zh-CN" w:bidi="ar-SA"/>
        </w:rPr>
      </w:pPr>
      <w:r>
        <w:rPr>
          <w:rFonts w:hint="eastAsia" w:ascii="Times New Roman" w:hAnsi="Times New Roman" w:eastAsia="仿宋_GB2312" w:cs="黑体"/>
          <w:color w:val="auto"/>
          <w:kern w:val="0"/>
          <w:sz w:val="32"/>
          <w:szCs w:val="32"/>
          <w:lang w:val="en-US" w:eastAsia="zh-CN" w:bidi="ar-SA"/>
        </w:rPr>
        <w:t>根据道办[2010]36号文件规定，本单位主要工作职责是：用群众工作统揽信访调纠工作的长效机制，构建“一站式接待、一条龙办理、一揽子解决”的工作模式。实现信息联通、工作联手、措施联动，提高处理问题、化解矛盾的效率和做好群众工作的水平，确保各类信访问题和矛盾纠纷隐患化解在基层、消除在萌芽状态，有效预防和化解群体性事件和非正常上访，维护社会和谐稳定。</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1.规范财务管理，提高财务管理水平。严格执行《会计法》、《事业单位财务规定》、《预算法》等规定执行财务核算，做好部门预算，严格按照年初资金的预算用途使用资金，做到决算与预算相衔接，提高财务信息质量。</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2.加强新政府事业单位会计制度、内控制度、固定资产管理制度等的学习培训，加强会计队伍建设，提高财务人员的业务水平。</w:t>
      </w:r>
    </w:p>
    <w:p>
      <w:pPr>
        <w:keepNext w:val="0"/>
        <w:keepLines w:val="0"/>
        <w:pageBreakBefore w:val="0"/>
        <w:widowControl w:val="0"/>
        <w:numPr>
          <w:ilvl w:val="0"/>
          <w:numId w:val="0"/>
        </w:numPr>
        <w:tabs>
          <w:tab w:val="left" w:pos="836"/>
        </w:tabs>
        <w:kinsoku/>
        <w:wordWrap/>
        <w:overflowPunct/>
        <w:topLinePunct w:val="0"/>
        <w:autoSpaceDE/>
        <w:autoSpaceDN/>
        <w:bidi w:val="0"/>
        <w:adjustRightInd/>
        <w:snapToGrid w:val="0"/>
        <w:spacing w:before="0" w:after="0" w:line="560" w:lineRule="exact"/>
        <w:ind w:right="0" w:firstLine="640" w:firstLineChars="200"/>
        <w:textAlignment w:val="auto"/>
        <w:outlineLvl w:val="9"/>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3.提高绩效管理意识，提高绩效监控工作质量，完善绩效管理制度。加强规划，优化目标设定，提高整体效益。</w:t>
      </w: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both"/>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一、财政拨款收入：指单位本年度从同级财政部门取得的各类财政拨款。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二、上级补助收入：指事业单位从主管部门和上级单位取得的非财政补助收入。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三、机关运行经费：指行政单位（含参照公务员法管理的事业单位）使用一般公共预算安排的基本支出中的公用经费支出，包括办公及印刷 费、邮电费、差旅费、会议费、福利费、日常维修费、专用材料及一般设备购置费、办公用房水电费、办公用房取暖费、办公用房物业管理费、公务用车运行维护费及其他费用。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四、“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五、对附属单位补助支出：指事业单位用财政拨款收入之外的收入对附属单位补助发生的支出。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六、经营支出：指事业单位在专业业务活动及其辅助活动之外开展非独立核算经营活动发生的支出。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七、上缴上级支出：指事业单位按照财政部门和主管部门的规定上缴上级单位的支出。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八、项目支出：指在为完成特定的工作任务和事业发展目标所发生的支出。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九、事业收入：指事业单位开展专业业务活动及其辅助活动取得的收入，事业单位收到的财政专户实际核拨的教育收费等资金在此反映。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十、经营收入：指事业单位在专业业务活动及其辅助活动之外开展非独立核算经营活动取得的收入。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十一、附属单位上缴收入：指事业单位附属独立核算单位按照有关规 定上缴的收入。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十二、其他收入：指单位取得的除上述“财政拨款收入”、“事业收入”、“经营收入”等以外的各项收入。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十三、使用非财政拨款结余：指事业单位使用非财政拨款结余（原事业基金）弥补当年收支差额的数额。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十四、年初结转和结余：指单位上年结转本年使用的基本支出结转、 项目支出结转和结余和经营结余。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十五、结余分配：指事业单位按规定对非财政拨款结余资金提取的专 用基金、缴纳的所得税和转入非财政拨款结余等。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十六、年末结转和结余资金：指本年度或以前年度预算安排、因客观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条件发生变化无法按原计划实施，需要延迟到以后年度按有关规定继续使用的资金。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十七、基本支出：指为保障机构正常运转、完成日常工作任务而发生的支出，包括人员经费和公用经费。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十八、公共安全支出（类）公安（款）行政运行（项）：反映行政单位（包括实行公务员管理的事业单位）的基本 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十九、公共安全支出（类）公安（款）一般行政管理事务（项）：反映行政单位（包括实行公务员管理的事业单位）未单独 设置项级科目的其他项目支出。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二十、公共安全支出（类）公安（款）执法办案（项）：反映公安机关从事行政执法、刑事司法及侦查办案等相关活 动的支出。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二十一、公共安全支出（类）公安（款）特别业务（项）：反映公安机关开展特别业务工作的相关支出。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二十二、公共安全支出（类）公安（款）其他公安支出（项）：反映除上述项目以外其他用于公安方面的支出。 </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二十三、社会保障和就业支出（类）行政事业单位养老支出（款）机关事业单位基本养老保险缴费支出（项）：反映机关事业单位实施养老保险制度由单位缴纳的基本养老保险费支出。 </w:t>
      </w:r>
    </w:p>
    <w:p>
      <w:pPr>
        <w:pStyle w:val="12"/>
        <w:jc w:val="both"/>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   二十四、卫生健康支出（类）行政事业单位医疗（款）行政单位医疗（项）： 反映财政部门安排的行政单位（包括实行公务员管理的事业 单位，下同） 基本医疗保险缴费经费，未参加医疗保险的行政 单位的公费医疗经费， 按国家规定享受离休人员、红军老战士 待遇人员的医疗经费。</w:t>
      </w: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rFonts w:hint="eastAsia" w:ascii="Times New Roman" w:hAnsi="Times New Roman" w:eastAsia="仿宋_GB2312" w:cs="黑体"/>
          <w:color w:val="auto"/>
          <w:kern w:val="0"/>
          <w:sz w:val="32"/>
          <w:szCs w:val="32"/>
          <w:lang w:val="en-US" w:eastAsia="zh-CN" w:bidi="ar-SA"/>
        </w:rPr>
      </w:pPr>
    </w:p>
    <w:p>
      <w:pPr>
        <w:pStyle w:val="12"/>
        <w:jc w:val="center"/>
        <w:rPr>
          <w:rFonts w:hint="eastAsia" w:ascii="Times New Roman" w:hAnsi="Times New Roman" w:eastAsia="仿宋_GB2312" w:cs="黑体"/>
          <w:color w:val="auto"/>
          <w:kern w:val="0"/>
          <w:sz w:val="32"/>
          <w:szCs w:val="32"/>
          <w:lang w:val="en-US" w:eastAsia="zh-CN" w:bidi="ar-SA"/>
        </w:rPr>
      </w:pPr>
    </w:p>
    <w:p>
      <w:pPr>
        <w:rPr>
          <w:sz w:val="72"/>
          <w:szCs w:val="72"/>
        </w:rPr>
      </w:pPr>
      <w:r>
        <w:rPr>
          <w:rFonts w:hint="eastAsia" w:ascii="Times New Roman" w:hAnsi="Times New Roman" w:eastAsia="仿宋_GB2312" w:cs="黑体"/>
          <w:color w:val="auto"/>
          <w:kern w:val="0"/>
          <w:sz w:val="32"/>
          <w:szCs w:val="32"/>
          <w:lang w:val="en-US" w:eastAsia="zh-CN" w:bidi="ar-SA"/>
        </w:rPr>
        <w:br w:type="page"/>
      </w: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p>
    <w:p>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2"/>
        <w:jc w:val="center"/>
        <w:rPr>
          <w:rFonts w:hint="eastAsia" w:ascii="方正小标宋_GBK" w:hAnsi="方正小标宋_GBK" w:eastAsia="方正小标宋_GBK" w:cs="方正小标宋_GBK"/>
          <w:sz w:val="70"/>
          <w:szCs w:val="70"/>
        </w:rPr>
      </w:pPr>
    </w:p>
    <w:p>
      <w:pPr>
        <w:pStyle w:val="12"/>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2"/>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2"/>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bookmarkStart w:id="3" w:name="_GoBack"/>
      <w:bookmarkEnd w:id="3"/>
    </w:p>
    <w:p>
      <w:pPr>
        <w:pStyle w:val="12"/>
        <w:jc w:val="center"/>
        <w:rPr>
          <w:sz w:val="72"/>
          <w:szCs w:val="72"/>
        </w:rPr>
      </w:pPr>
    </w:p>
    <w:p>
      <w:pPr>
        <w:pStyle w:val="12"/>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8E29B"/>
    <w:multiLevelType w:val="singleLevel"/>
    <w:tmpl w:val="A0B8E29B"/>
    <w:lvl w:ilvl="0" w:tentative="0">
      <w:start w:val="3"/>
      <w:numFmt w:val="decimal"/>
      <w:lvlText w:val="%1."/>
      <w:lvlJc w:val="left"/>
      <w:pPr>
        <w:tabs>
          <w:tab w:val="left" w:pos="312"/>
        </w:tabs>
      </w:p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lZGFlZmVlM2UxNTBiYzI3MDE3MTIzNjllYjVkNDkifQ=="/>
  </w:docVars>
  <w:rsids>
    <w:rsidRoot w:val="00172A27"/>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A22CFF"/>
    <w:rsid w:val="08EE597D"/>
    <w:rsid w:val="0C6A3B70"/>
    <w:rsid w:val="0EE62820"/>
    <w:rsid w:val="107908B6"/>
    <w:rsid w:val="1B2A3F4B"/>
    <w:rsid w:val="1D3E4355"/>
    <w:rsid w:val="1D97DEFF"/>
    <w:rsid w:val="1DFF72E5"/>
    <w:rsid w:val="1EFC6F07"/>
    <w:rsid w:val="26BE34E7"/>
    <w:rsid w:val="2EAE3F7F"/>
    <w:rsid w:val="2FDF85B8"/>
    <w:rsid w:val="2FFFEE04"/>
    <w:rsid w:val="34DF85B0"/>
    <w:rsid w:val="3B8F36BC"/>
    <w:rsid w:val="491FF225"/>
    <w:rsid w:val="4A0A510F"/>
    <w:rsid w:val="4FC4743C"/>
    <w:rsid w:val="4FFD214C"/>
    <w:rsid w:val="5777D4F5"/>
    <w:rsid w:val="59DD8326"/>
    <w:rsid w:val="5DEF592A"/>
    <w:rsid w:val="5FC6BB1E"/>
    <w:rsid w:val="5FF720F1"/>
    <w:rsid w:val="67FF5C0B"/>
    <w:rsid w:val="68120A4B"/>
    <w:rsid w:val="6EFC0924"/>
    <w:rsid w:val="6FB74722"/>
    <w:rsid w:val="6FEF8B7E"/>
    <w:rsid w:val="71A6591B"/>
    <w:rsid w:val="737D59BA"/>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7734</Words>
  <Characters>9354</Characters>
  <Lines>63</Lines>
  <Paragraphs>18</Paragraphs>
  <TotalTime>10</TotalTime>
  <ScaleCrop>false</ScaleCrop>
  <LinksUpToDate>false</LinksUpToDate>
  <CharactersWithSpaces>10297</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2025-08-27T08:48:00Z</cp:lastPrinted>
  <dcterms:modified xsi:type="dcterms:W3CDTF">2026-09-14T07:40:11Z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6AA17A084C5E4B6FB859206C641B8FA6_13</vt:lpwstr>
  </property>
</Properties>
</file>