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shape>
            </w:pict>
          </mc:Fallback>
        </mc:AlternateContent>
      </w:r>
    </w:p>
    <w:p>
      <w:pPr>
        <w:pStyle w:val="14"/>
        <w:jc w:val="center"/>
        <w:rPr>
          <w:sz w:val="56"/>
          <w:szCs w:val="56"/>
        </w:rPr>
      </w:pPr>
    </w:p>
    <w:p>
      <w:pPr>
        <w:pStyle w:val="14"/>
        <w:jc w:val="center"/>
        <w:rPr>
          <w:sz w:val="84"/>
          <w:szCs w:val="84"/>
        </w:rPr>
      </w:pPr>
    </w:p>
    <w:p>
      <w:pPr>
        <w:pStyle w:val="14"/>
        <w:jc w:val="center"/>
        <w:rPr>
          <w:sz w:val="84"/>
          <w:szCs w:val="84"/>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2025</w:t>
      </w:r>
      <w:r>
        <w:rPr>
          <w:rFonts w:hint="eastAsia" w:ascii="方正小标宋_GBK" w:hAnsi="方正小标宋_GBK" w:eastAsia="方正小标宋_GBK" w:cs="方正小标宋_GBK"/>
          <w:sz w:val="84"/>
          <w:szCs w:val="84"/>
        </w:rPr>
        <w:t>年度</w:t>
      </w:r>
    </w:p>
    <w:p>
      <w:pPr>
        <w:pStyle w:val="14"/>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rPr>
        <w:t>道县</w:t>
      </w:r>
      <w:r>
        <w:rPr>
          <w:rFonts w:hint="eastAsia" w:ascii="方正小标宋_GBK" w:hAnsi="方正小标宋_GBK" w:eastAsia="方正小标宋_GBK" w:cs="方正小标宋_GBK"/>
          <w:sz w:val="84"/>
          <w:szCs w:val="84"/>
          <w:lang w:val="en-US" w:eastAsia="zh-CN"/>
        </w:rPr>
        <w:t>乐福堂镇</w:t>
      </w:r>
      <w:r>
        <w:rPr>
          <w:rFonts w:hint="eastAsia" w:ascii="方正小标宋_GBK" w:hAnsi="方正小标宋_GBK" w:eastAsia="方正小标宋_GBK" w:cs="方正小标宋_GBK"/>
          <w:sz w:val="84"/>
          <w:szCs w:val="84"/>
          <w:lang w:eastAsia="zh-CN"/>
        </w:rPr>
        <w:t>人民政府</w:t>
      </w: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w:t>
      </w:r>
    </w:p>
    <w:p>
      <w:pPr>
        <w:pStyle w:val="14"/>
        <w:jc w:val="center"/>
        <w:rPr>
          <w:rFonts w:hint="eastAsia" w:ascii="方正小标宋_GBK" w:hAnsi="方正小标宋_GBK" w:eastAsia="方正小标宋_GBK" w:cs="方正小标宋_GBK"/>
          <w:sz w:val="56"/>
          <w:szCs w:val="56"/>
        </w:rPr>
      </w:pPr>
    </w:p>
    <w:p>
      <w:pPr>
        <w:pStyle w:val="14"/>
        <w:jc w:val="center"/>
        <w:rPr>
          <w:sz w:val="56"/>
          <w:szCs w:val="56"/>
        </w:rPr>
      </w:pPr>
    </w:p>
    <w:p>
      <w:pPr>
        <w:pStyle w:val="14"/>
        <w:jc w:val="center"/>
        <w:rPr>
          <w:sz w:val="56"/>
          <w:szCs w:val="56"/>
        </w:rPr>
      </w:pPr>
    </w:p>
    <w:p>
      <w:pPr>
        <w:pStyle w:val="14"/>
        <w:jc w:val="center"/>
        <w:rPr>
          <w:sz w:val="56"/>
          <w:szCs w:val="56"/>
        </w:rPr>
      </w:pPr>
    </w:p>
    <w:p>
      <w:pPr>
        <w:pStyle w:val="14"/>
        <w:jc w:val="center"/>
        <w:rPr>
          <w:sz w:val="32"/>
          <w:szCs w:val="32"/>
        </w:rPr>
      </w:pPr>
    </w:p>
    <w:p>
      <w:pPr>
        <w:pStyle w:val="14"/>
        <w:jc w:val="center"/>
        <w:rPr>
          <w:sz w:val="32"/>
          <w:szCs w:val="32"/>
        </w:rPr>
      </w:pPr>
    </w:p>
    <w:p>
      <w:pPr>
        <w:pStyle w:val="14"/>
        <w:spacing w:line="500" w:lineRule="exact"/>
        <w:jc w:val="both"/>
        <w:rPr>
          <w:b/>
          <w:sz w:val="36"/>
          <w:szCs w:val="28"/>
        </w:rPr>
      </w:pPr>
    </w:p>
    <w:p>
      <w:pPr>
        <w:pStyle w:val="14"/>
        <w:spacing w:line="500" w:lineRule="exact"/>
        <w:jc w:val="center"/>
        <w:rPr>
          <w:b/>
          <w:sz w:val="36"/>
          <w:szCs w:val="28"/>
        </w:rPr>
      </w:pPr>
      <w:r>
        <w:rPr>
          <w:rFonts w:hint="eastAsia"/>
          <w:b/>
          <w:sz w:val="36"/>
          <w:szCs w:val="28"/>
        </w:rPr>
        <w:t>目录</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lang w:eastAsia="zh-CN"/>
        </w:rPr>
        <w:t>部门</w:t>
      </w:r>
      <w:r>
        <w:rPr>
          <w:rFonts w:hint="eastAsia" w:ascii="黑体" w:hAnsi="黑体" w:eastAsia="黑体" w:cs="黑体"/>
          <w:b w:val="0"/>
          <w:bCs/>
          <w:sz w:val="28"/>
          <w:szCs w:val="28"/>
        </w:rPr>
        <w:t>概况</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eastAsia" w:ascii="Times New Roman" w:hAnsi="Times New Roman" w:eastAsia="仿宋_GB2312" w:cs="Times New Roman"/>
          <w:sz w:val="28"/>
          <w:szCs w:val="28"/>
          <w:lang w:eastAsia="zh-CN"/>
        </w:rPr>
        <w:t>2025</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pPr>
        <w:pStyle w:val="14"/>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pPr>
        <w:pStyle w:val="14"/>
        <w:spacing w:line="500" w:lineRule="exact"/>
        <w:rPr>
          <w:rFonts w:hint="eastAsia" w:ascii="黑体" w:hAnsi="黑体" w:eastAsia="黑体" w:cs="黑体"/>
          <w:b w:val="0"/>
          <w:bCs/>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4"/>
        <w:jc w:val="center"/>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rPr>
        <w:t>道县</w:t>
      </w:r>
      <w:r>
        <w:rPr>
          <w:rFonts w:hint="eastAsia" w:ascii="方正小标宋_GBK" w:hAnsi="方正小标宋_GBK" w:eastAsia="方正小标宋_GBK" w:cs="方正小标宋_GBK"/>
          <w:sz w:val="84"/>
          <w:szCs w:val="84"/>
          <w:lang w:eastAsia="zh-CN"/>
        </w:rPr>
        <w:t>乐福堂镇人民政府</w:t>
      </w: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单位</w:t>
      </w:r>
      <w:r>
        <w:rPr>
          <w:rFonts w:hint="eastAsia" w:ascii="方正小标宋_GBK" w:hAnsi="方正小标宋_GBK" w:eastAsia="方正小标宋_GBK" w:cs="方正小标宋_GBK"/>
          <w:sz w:val="84"/>
          <w:szCs w:val="84"/>
        </w:rPr>
        <w:t>概况</w:t>
      </w: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p>
    <w:p>
      <w:pPr>
        <w:pStyle w:val="14"/>
        <w:jc w:val="both"/>
        <w:rPr>
          <w:rFonts w:hint="eastAsia" w:hAnsi="黑体"/>
          <w:sz w:val="32"/>
          <w:szCs w:val="32"/>
        </w:rPr>
      </w:pPr>
    </w:p>
    <w:p>
      <w:pPr>
        <w:pStyle w:val="14"/>
        <w:jc w:val="both"/>
        <w:rPr>
          <w:rFonts w:hint="eastAsia" w:hAnsi="黑体"/>
          <w:sz w:val="32"/>
          <w:szCs w:val="32"/>
        </w:rPr>
      </w:pPr>
    </w:p>
    <w:p>
      <w:pPr>
        <w:pStyle w:val="2"/>
        <w:numPr>
          <w:ilvl w:val="0"/>
          <w:numId w:val="1"/>
        </w:numPr>
        <w:suppressAutoHyphens/>
        <w:spacing w:line="360" w:lineRule="auto"/>
        <w:ind w:left="420" w:leftChars="200" w:right="481" w:rightChars="229" w:firstLine="658"/>
        <w:rPr>
          <w:rFonts w:hint="eastAsia" w:ascii="仿宋" w:hAnsi="仿宋" w:eastAsia="仿宋" w:cs="仿宋"/>
          <w:b/>
          <w:bCs/>
          <w:kern w:val="0"/>
          <w:lang w:bidi="zh-CN"/>
        </w:rPr>
      </w:pPr>
      <w:r>
        <w:rPr>
          <w:rFonts w:hint="eastAsia" w:ascii="仿宋" w:hAnsi="仿宋" w:eastAsia="仿宋" w:cs="仿宋"/>
          <w:b/>
          <w:bCs/>
          <w:kern w:val="0"/>
          <w:lang w:bidi="zh-CN"/>
        </w:rPr>
        <w:t>部门职责</w:t>
      </w:r>
    </w:p>
    <w:p>
      <w:pPr>
        <w:spacing w:line="360" w:lineRule="auto"/>
        <w:ind w:firstLine="960" w:firstLineChars="300"/>
        <w:rPr>
          <w:rFonts w:hint="eastAsia" w:ascii="仿宋" w:hAnsi="仿宋" w:eastAsia="仿宋" w:cs="仿宋"/>
          <w:color w:val="000000"/>
          <w:sz w:val="32"/>
          <w:szCs w:val="32"/>
          <w:shd w:val="clear" w:color="auto" w:fill="FFFFFF"/>
        </w:rPr>
      </w:pPr>
      <w:bookmarkStart w:id="0" w:name="AGENCY_NAME_TITLE3"/>
      <w:r>
        <w:rPr>
          <w:rFonts w:hint="eastAsia" w:ascii="仿宋" w:hAnsi="仿宋" w:eastAsia="仿宋" w:cs="仿宋"/>
          <w:color w:val="000000"/>
          <w:sz w:val="32"/>
          <w:szCs w:val="32"/>
          <w:shd w:val="clear" w:color="auto" w:fill="FFFFFF"/>
        </w:rPr>
        <w:t>道县</w:t>
      </w:r>
      <w:bookmarkEnd w:id="0"/>
      <w:r>
        <w:rPr>
          <w:rFonts w:hint="eastAsia" w:ascii="仿宋" w:hAnsi="仿宋" w:eastAsia="仿宋" w:cs="仿宋"/>
          <w:color w:val="000000"/>
          <w:sz w:val="32"/>
          <w:szCs w:val="32"/>
          <w:shd w:val="clear" w:color="auto" w:fill="FFFFFF"/>
          <w:lang w:eastAsia="zh-CN"/>
        </w:rPr>
        <w:t>乐福堂镇人民政府</w:t>
      </w:r>
      <w:r>
        <w:rPr>
          <w:rFonts w:hint="eastAsia" w:ascii="仿宋" w:hAnsi="仿宋" w:eastAsia="仿宋" w:cs="仿宋"/>
          <w:color w:val="000000"/>
          <w:sz w:val="32"/>
          <w:szCs w:val="32"/>
          <w:shd w:val="clear" w:color="auto" w:fill="FFFFFF"/>
        </w:rPr>
        <w:t>的主要职责是：</w:t>
      </w:r>
    </w:p>
    <w:p>
      <w:pPr>
        <w:spacing w:line="360" w:lineRule="auto"/>
        <w:ind w:firstLine="960" w:firstLineChars="300"/>
        <w:rPr>
          <w:rFonts w:hint="eastAsia" w:ascii="仿宋" w:hAnsi="仿宋" w:eastAsia="仿宋" w:cs="仿宋"/>
          <w:color w:val="000000"/>
          <w:sz w:val="32"/>
          <w:szCs w:val="32"/>
          <w:shd w:val="clear" w:color="auto" w:fill="FFFFFF"/>
        </w:rPr>
      </w:pPr>
      <w:bookmarkStart w:id="1" w:name="FUNCRESP"/>
      <w:r>
        <w:rPr>
          <w:rFonts w:hint="eastAsia" w:ascii="仿宋" w:hAnsi="仿宋" w:eastAsia="仿宋" w:cs="仿宋"/>
          <w:color w:val="000000"/>
          <w:sz w:val="32"/>
          <w:szCs w:val="32"/>
          <w:shd w:val="clear" w:color="auto" w:fill="FFFFFF"/>
        </w:rPr>
        <w:t>（1）执行本级人民代表大会的决议和上级国家行政机关的决定和命令，发布决定和命令。</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（2）执行本行政区域内的经济和社会发展计划，加强公共设施的建设和管理，发展各项服务事业。</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（3）依法管理本级财政、执行本级预算。</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（4）为农民提供有效的科技、教育、文化、信息、卫生、体育、医疗、人才开发、劳动就业、安全生产等方面的服务。</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（5）保护国有资产和集体所有的财产，保护公民私人所有的合法财产、保障公民的人身权利、民主权利和其他权利，保护各种组织的合法权益。</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（6）开展社会主义民主与法制教育，加强社会治安综合治理，调解民事纠纷，维护社会秩序。</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（7）推行乡村振兴，推进新农村建设与美丽乡村建设。</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（8）负责民政工作，发展社会福利事业，做好社会保障工作，办理兵役事项。</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（9）承办上级人民政府交办的其他事项。</w:t>
      </w:r>
      <w:bookmarkEnd w:id="1"/>
    </w:p>
    <w:p>
      <w:pPr>
        <w:pStyle w:val="2"/>
        <w:suppressAutoHyphens/>
        <w:spacing w:line="360" w:lineRule="auto"/>
        <w:ind w:left="420" w:leftChars="200" w:right="481" w:rightChars="229" w:firstLine="658"/>
        <w:rPr>
          <w:rFonts w:hint="eastAsia" w:ascii="仿宋" w:hAnsi="仿宋" w:eastAsia="仿宋" w:cs="仿宋"/>
          <w:b/>
          <w:bCs/>
          <w:kern w:val="0"/>
          <w:lang w:val="zh-CN" w:bidi="zh-CN"/>
        </w:rPr>
      </w:pPr>
      <w:r>
        <w:rPr>
          <w:rFonts w:hint="eastAsia" w:ascii="仿宋" w:hAnsi="仿宋" w:eastAsia="仿宋" w:cs="仿宋"/>
          <w:b/>
          <w:bCs/>
          <w:kern w:val="0"/>
          <w:lang w:val="zh-CN" w:bidi="zh-CN"/>
        </w:rPr>
        <w:t>二、机构设置及决算单位构成</w:t>
      </w:r>
    </w:p>
    <w:p>
      <w:pPr>
        <w:pStyle w:val="2"/>
        <w:suppressAutoHyphens/>
        <w:spacing w:line="360" w:lineRule="auto"/>
        <w:ind w:left="420" w:leftChars="200" w:right="481" w:rightChars="229" w:firstLine="658"/>
        <w:rPr>
          <w:rFonts w:hint="eastAsia" w:ascii="仿宋" w:hAnsi="仿宋" w:eastAsia="仿宋" w:cs="仿宋"/>
          <w:kern w:val="0"/>
          <w:lang w:bidi="zh-CN"/>
        </w:rPr>
      </w:pPr>
      <w:r>
        <w:rPr>
          <w:rFonts w:hint="eastAsia" w:ascii="仿宋" w:hAnsi="仿宋" w:eastAsia="仿宋" w:cs="仿宋"/>
          <w:kern w:val="0"/>
          <w:lang w:bidi="zh-CN"/>
        </w:rPr>
        <w:t>（一）内设机构设置</w:t>
      </w:r>
    </w:p>
    <w:p>
      <w:pPr>
        <w:spacing w:line="360" w:lineRule="auto"/>
        <w:ind w:firstLine="960" w:firstLineChars="300"/>
        <w:rPr>
          <w:rFonts w:hint="eastAsia" w:ascii="仿宋" w:hAnsi="仿宋" w:eastAsia="仿宋" w:cs="仿宋"/>
          <w:kern w:val="0"/>
          <w:lang w:bidi="zh-CN"/>
        </w:rPr>
      </w:pPr>
      <w:bookmarkStart w:id="2" w:name="ORG_SET"/>
      <w:r>
        <w:rPr>
          <w:rFonts w:hint="eastAsia" w:ascii="仿宋" w:hAnsi="仿宋" w:eastAsia="仿宋" w:cs="仿宋"/>
          <w:color w:val="000000"/>
          <w:sz w:val="32"/>
          <w:szCs w:val="32"/>
          <w:shd w:val="clear" w:color="auto" w:fill="FFFFFF"/>
        </w:rPr>
        <w:t>道县</w:t>
      </w:r>
      <w:r>
        <w:rPr>
          <w:rFonts w:hint="eastAsia" w:ascii="仿宋" w:hAnsi="仿宋" w:eastAsia="仿宋" w:cs="仿宋"/>
          <w:color w:val="000000"/>
          <w:sz w:val="32"/>
          <w:szCs w:val="32"/>
          <w:shd w:val="clear" w:color="auto" w:fill="FFFFFF"/>
          <w:lang w:eastAsia="zh-CN"/>
        </w:rPr>
        <w:t>乐福堂镇</w:t>
      </w:r>
      <w:r>
        <w:rPr>
          <w:rFonts w:hint="eastAsia" w:ascii="仿宋" w:hAnsi="仿宋" w:eastAsia="仿宋" w:cs="仿宋"/>
          <w:color w:val="000000"/>
          <w:sz w:val="32"/>
          <w:szCs w:val="32"/>
          <w:shd w:val="clear" w:color="auto" w:fill="FFFFFF"/>
        </w:rPr>
        <w:t>人民政府单位内设机构包括：党政综合办公室、社会治安和应急管理办公室、社会事务办公室、基层党建办公室、自然资源和生态环境办公室、</w:t>
      </w:r>
      <w:r>
        <w:rPr>
          <w:rFonts w:hint="eastAsia" w:ascii="仿宋" w:hAnsi="仿宋" w:eastAsia="仿宋" w:cs="仿宋"/>
          <w:color w:val="000000"/>
          <w:sz w:val="32"/>
          <w:szCs w:val="32"/>
          <w:shd w:val="clear" w:color="auto" w:fill="FFFFFF"/>
          <w:lang w:val="en-US" w:eastAsia="zh-CN"/>
        </w:rPr>
        <w:t>镇</w:t>
      </w:r>
      <w:r>
        <w:rPr>
          <w:rFonts w:hint="eastAsia" w:ascii="仿宋" w:hAnsi="仿宋" w:eastAsia="仿宋" w:cs="仿宋"/>
          <w:color w:val="000000"/>
          <w:sz w:val="32"/>
          <w:szCs w:val="32"/>
          <w:shd w:val="clear" w:color="auto" w:fill="FFFFFF"/>
        </w:rPr>
        <w:t>财政所、退役军人服务站、综合行政执法大队、社会事业综合服务中心、农业综合服务中心、政务（便民）服务中心。现编人数行政</w:t>
      </w:r>
      <w:r>
        <w:rPr>
          <w:rFonts w:hint="eastAsia" w:ascii="仿宋" w:hAnsi="仿宋" w:eastAsia="仿宋" w:cs="仿宋"/>
          <w:color w:val="000000"/>
          <w:sz w:val="32"/>
          <w:szCs w:val="32"/>
          <w:shd w:val="clear" w:color="auto" w:fill="FFFFFF"/>
          <w:lang w:val="en-US" w:eastAsia="zh-CN"/>
        </w:rPr>
        <w:t>25</w:t>
      </w:r>
      <w:r>
        <w:rPr>
          <w:rFonts w:hint="eastAsia" w:ascii="仿宋" w:hAnsi="仿宋" w:eastAsia="仿宋" w:cs="仿宋"/>
          <w:color w:val="000000"/>
          <w:sz w:val="32"/>
          <w:szCs w:val="32"/>
          <w:shd w:val="clear" w:color="auto" w:fill="FFFFFF"/>
        </w:rPr>
        <w:t>人，</w:t>
      </w:r>
      <w:r>
        <w:rPr>
          <w:rFonts w:hint="eastAsia" w:ascii="仿宋" w:hAnsi="仿宋" w:eastAsia="仿宋" w:cs="仿宋"/>
          <w:color w:val="000000"/>
          <w:sz w:val="32"/>
          <w:szCs w:val="32"/>
          <w:shd w:val="clear" w:color="auto" w:fill="FFFFFF"/>
          <w:lang w:val="en-US" w:eastAsia="zh-CN"/>
        </w:rPr>
        <w:t>工勤2人，</w:t>
      </w:r>
      <w:r>
        <w:rPr>
          <w:rFonts w:hint="eastAsia" w:ascii="仿宋" w:hAnsi="仿宋" w:eastAsia="仿宋" w:cs="仿宋"/>
          <w:color w:val="000000"/>
          <w:sz w:val="32"/>
          <w:szCs w:val="32"/>
          <w:shd w:val="clear" w:color="auto" w:fill="FFFFFF"/>
        </w:rPr>
        <w:t>事业</w:t>
      </w:r>
      <w:r>
        <w:rPr>
          <w:rFonts w:hint="eastAsia" w:ascii="仿宋" w:hAnsi="仿宋" w:eastAsia="仿宋" w:cs="仿宋"/>
          <w:color w:val="000000"/>
          <w:sz w:val="32"/>
          <w:szCs w:val="32"/>
          <w:shd w:val="clear" w:color="auto" w:fill="FFFFFF"/>
          <w:lang w:val="en-US" w:eastAsia="zh-CN"/>
        </w:rPr>
        <w:t>23</w:t>
      </w:r>
      <w:r>
        <w:rPr>
          <w:rFonts w:hint="eastAsia" w:ascii="仿宋" w:hAnsi="仿宋" w:eastAsia="仿宋" w:cs="仿宋"/>
          <w:color w:val="000000"/>
          <w:sz w:val="32"/>
          <w:szCs w:val="32"/>
          <w:shd w:val="clear" w:color="auto" w:fill="FFFFFF"/>
        </w:rPr>
        <w:t>人</w:t>
      </w:r>
      <w:r>
        <w:rPr>
          <w:rFonts w:hint="eastAsia" w:ascii="仿宋" w:hAnsi="仿宋" w:eastAsia="仿宋" w:cs="仿宋"/>
          <w:color w:val="000000"/>
          <w:sz w:val="32"/>
          <w:szCs w:val="32"/>
          <w:shd w:val="clear" w:color="auto" w:fill="FFFFFF"/>
          <w:lang w:eastAsia="zh-CN"/>
        </w:rPr>
        <w:t>。</w:t>
      </w:r>
      <w:r>
        <w:rPr>
          <w:rFonts w:hint="eastAsia" w:ascii="仿宋" w:hAnsi="仿宋" w:eastAsia="仿宋" w:cs="仿宋"/>
          <w:color w:val="000000"/>
          <w:sz w:val="32"/>
          <w:szCs w:val="32"/>
          <w:shd w:val="clear" w:color="auto" w:fill="FFFFFF"/>
        </w:rPr>
        <w:t>配有小车1辆。</w:t>
      </w:r>
      <w:bookmarkEnd w:id="2"/>
    </w:p>
    <w:p>
      <w:pPr>
        <w:pStyle w:val="2"/>
        <w:numPr>
          <w:ilvl w:val="0"/>
          <w:numId w:val="2"/>
        </w:numPr>
        <w:suppressAutoHyphens/>
        <w:spacing w:line="360" w:lineRule="auto"/>
        <w:ind w:left="420" w:leftChars="200" w:right="481" w:rightChars="229" w:firstLine="658"/>
        <w:rPr>
          <w:rFonts w:hint="eastAsia" w:ascii="仿宋" w:hAnsi="仿宋" w:eastAsia="仿宋" w:cs="仿宋"/>
          <w:kern w:val="0"/>
          <w:lang w:bidi="zh-CN"/>
        </w:rPr>
      </w:pPr>
      <w:r>
        <w:rPr>
          <w:rFonts w:hint="eastAsia" w:ascii="仿宋" w:hAnsi="仿宋" w:eastAsia="仿宋" w:cs="仿宋"/>
          <w:kern w:val="0"/>
          <w:lang w:bidi="zh-CN"/>
        </w:rPr>
        <w:t>决算单位构成</w:t>
      </w:r>
    </w:p>
    <w:p>
      <w:pPr>
        <w:spacing w:line="360" w:lineRule="auto"/>
        <w:ind w:left="420" w:leftChars="200" w:right="384" w:rightChars="183"/>
        <w:rPr>
          <w:rFonts w:hint="eastAsia" w:ascii="仿宋" w:hAnsi="仿宋" w:eastAsia="仿宋" w:cs="仿宋"/>
          <w:sz w:val="32"/>
          <w:szCs w:val="32"/>
          <w:lang w:eastAsia="zh-CN"/>
        </w:rPr>
        <w:sectPr>
          <w:pgSz w:w="11906" w:h="16838"/>
          <w:pgMar w:top="720" w:right="720" w:bottom="720" w:left="720" w:header="851" w:footer="992" w:gutter="0"/>
          <w:pgNumType w:fmt="numberInDash"/>
          <w:cols w:space="720" w:num="1"/>
          <w:docGrid w:type="lines" w:linePitch="319" w:charSpace="0"/>
        </w:sectPr>
      </w:pPr>
      <w:r>
        <w:rPr>
          <w:rFonts w:hint="eastAsia" w:ascii="仿宋" w:hAnsi="仿宋" w:eastAsia="仿宋" w:cs="仿宋"/>
          <w:sz w:val="32"/>
          <w:szCs w:val="32"/>
        </w:rPr>
        <w:t xml:space="preserve">   </w:t>
      </w:r>
      <w:bookmarkStart w:id="3" w:name="DEPT_COMPOSE"/>
      <w:r>
        <w:rPr>
          <w:rFonts w:hint="eastAsia" w:ascii="仿宋" w:hAnsi="仿宋" w:eastAsia="仿宋" w:cs="仿宋"/>
          <w:sz w:val="32"/>
          <w:szCs w:val="32"/>
        </w:rPr>
        <w:t>道县</w:t>
      </w:r>
      <w:r>
        <w:rPr>
          <w:rFonts w:hint="eastAsia" w:ascii="仿宋" w:hAnsi="仿宋" w:eastAsia="仿宋" w:cs="仿宋"/>
          <w:sz w:val="32"/>
          <w:szCs w:val="32"/>
          <w:lang w:eastAsia="zh-CN"/>
        </w:rPr>
        <w:t>乐福堂镇人民政府2025</w:t>
      </w:r>
      <w:r>
        <w:rPr>
          <w:rFonts w:hint="eastAsia" w:ascii="仿宋" w:hAnsi="仿宋" w:eastAsia="仿宋" w:cs="仿宋"/>
          <w:sz w:val="32"/>
          <w:szCs w:val="32"/>
        </w:rPr>
        <w:t>年部门决算汇总公开单位构成包括：道县</w:t>
      </w:r>
      <w:r>
        <w:rPr>
          <w:rFonts w:hint="eastAsia" w:ascii="仿宋" w:hAnsi="仿宋" w:eastAsia="仿宋" w:cs="仿宋"/>
          <w:sz w:val="32"/>
          <w:szCs w:val="32"/>
          <w:lang w:eastAsia="zh-CN"/>
        </w:rPr>
        <w:t>乐福堂镇人民政府</w:t>
      </w:r>
      <w:r>
        <w:rPr>
          <w:rFonts w:hint="eastAsia" w:ascii="仿宋" w:hAnsi="仿宋" w:eastAsia="仿宋" w:cs="仿宋"/>
          <w:sz w:val="32"/>
          <w:szCs w:val="32"/>
        </w:rPr>
        <w:t>本级</w:t>
      </w:r>
      <w:bookmarkEnd w:id="3"/>
      <w:r>
        <w:rPr>
          <w:rFonts w:hint="eastAsia" w:ascii="仿宋" w:hAnsi="仿宋" w:eastAsia="仿宋" w:cs="仿宋"/>
          <w:sz w:val="32"/>
          <w:szCs w:val="32"/>
          <w:lang w:eastAsia="zh-CN"/>
        </w:rPr>
        <w:t>。</w:t>
      </w:r>
    </w:p>
    <w:p>
      <w:pPr>
        <w:jc w:val="left"/>
        <w:rPr>
          <w:rFonts w:ascii="仿宋_GB2312" w:eastAsia="仿宋_GB2312" w:hAnsiTheme="minorEastAsia"/>
          <w:sz w:val="28"/>
          <w:szCs w:val="32"/>
        </w:rPr>
      </w:pPr>
    </w:p>
    <w:p>
      <w:pPr>
        <w:jc w:val="center"/>
        <w:rPr>
          <w:rFonts w:ascii="黑体" w:hAnsi="黑体" w:eastAsia="黑体"/>
          <w:sz w:val="28"/>
          <w:szCs w:val="28"/>
        </w:rPr>
      </w:pPr>
    </w:p>
    <w:p>
      <w:pPr>
        <w:jc w:val="both"/>
        <w:rPr>
          <w:sz w:val="72"/>
          <w:szCs w:val="72"/>
        </w:rPr>
      </w:pPr>
    </w:p>
    <w:p>
      <w:pPr>
        <w:jc w:val="center"/>
        <w:rPr>
          <w:sz w:val="72"/>
          <w:szCs w:val="72"/>
        </w:rPr>
      </w:pPr>
    </w:p>
    <w:p>
      <w:pPr>
        <w:jc w:val="center"/>
        <w:rPr>
          <w:sz w:val="72"/>
          <w:szCs w:val="72"/>
        </w:rPr>
      </w:pPr>
    </w:p>
    <w:p>
      <w:pPr>
        <w:pStyle w:val="14"/>
        <w:jc w:val="center"/>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4"/>
        <w:jc w:val="center"/>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10"/>
        <w:tblW w:w="15380" w:type="dxa"/>
        <w:tblInd w:w="0" w:type="dxa"/>
        <w:tblLayout w:type="fixed"/>
        <w:tblCellMar>
          <w:top w:w="0" w:type="dxa"/>
          <w:left w:w="0" w:type="dxa"/>
          <w:bottom w:w="0" w:type="dxa"/>
          <w:right w:w="0" w:type="dxa"/>
        </w:tblCellMar>
      </w:tblPr>
      <w:tblGrid>
        <w:gridCol w:w="216"/>
        <w:gridCol w:w="817"/>
        <w:gridCol w:w="1800"/>
        <w:gridCol w:w="1750"/>
        <w:gridCol w:w="1675"/>
        <w:gridCol w:w="1475"/>
        <w:gridCol w:w="1441"/>
        <w:gridCol w:w="1814"/>
        <w:gridCol w:w="1814"/>
        <w:gridCol w:w="2578"/>
      </w:tblGrid>
      <w:tr>
        <w:tblPrEx>
          <w:tblCellMar>
            <w:top w:w="0" w:type="dxa"/>
            <w:left w:w="0" w:type="dxa"/>
            <w:bottom w:w="0" w:type="dxa"/>
            <w:right w:w="0" w:type="dxa"/>
          </w:tblCellMar>
        </w:tblPrEx>
        <w:trPr>
          <w:trHeight w:val="90" w:hRule="atLeast"/>
        </w:trPr>
        <w:tc>
          <w:tcPr>
            <w:tcW w:w="15380"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10"/>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13"/>
              <w:gridCol w:w="613"/>
              <w:gridCol w:w="1409"/>
              <w:gridCol w:w="5038"/>
              <w:gridCol w:w="1177"/>
              <w:gridCol w:w="460"/>
              <w:gridCol w:w="1114"/>
              <w:gridCol w:w="11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413" w:type="dxa"/>
                  <w:tcBorders>
                    <w:top w:val="nil"/>
                    <w:left w:val="nil"/>
                    <w:bottom w:val="nil"/>
                    <w:right w:val="nil"/>
                  </w:tcBorders>
                  <w:shd w:val="clear" w:color="auto" w:fill="auto"/>
                  <w:noWrap/>
                  <w:vAlign w:val="center"/>
                </w:tcPr>
                <w:p>
                  <w:pPr>
                    <w:jc w:val="left"/>
                    <w:rPr>
                      <w:rFonts w:hint="eastAsia" w:ascii="黑体" w:hAnsi="宋体" w:eastAsia="黑体" w:cs="黑体"/>
                      <w:i w:val="0"/>
                      <w:color w:val="000000"/>
                      <w:sz w:val="24"/>
                      <w:szCs w:val="24"/>
                      <w:u w:val="none"/>
                    </w:rPr>
                  </w:pPr>
                </w:p>
              </w:tc>
              <w:tc>
                <w:tcPr>
                  <w:tcW w:w="613"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409"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5038"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637" w:type="dxa"/>
                  <w:gridSpan w:val="2"/>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2288" w:type="dxa"/>
                  <w:gridSpan w:val="2"/>
                  <w:tcBorders>
                    <w:top w:val="nil"/>
                    <w:left w:val="nil"/>
                    <w:bottom w:val="nil"/>
                    <w:right w:val="nil"/>
                  </w:tcBorders>
                  <w:shd w:val="clear" w:color="auto" w:fill="auto"/>
                  <w:noWrap/>
                  <w:vAlign w:val="center"/>
                </w:tcPr>
                <w:p>
                  <w:pPr>
                    <w:jc w:val="right"/>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413"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613"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409"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5038"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637"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288"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413"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部门：道县乐福堂镇人民政府</w:t>
                  </w:r>
                </w:p>
              </w:tc>
              <w:tc>
                <w:tcPr>
                  <w:tcW w:w="613"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409"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5038"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637"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288"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174" w:type="dxa"/>
                <w:trHeight w:val="448" w:hRule="atLeast"/>
              </w:trPr>
              <w:tc>
                <w:tcPr>
                  <w:tcW w:w="6435"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789"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174" w:type="dxa"/>
                <w:trHeight w:val="628" w:hRule="atLeast"/>
              </w:trPr>
              <w:tc>
                <w:tcPr>
                  <w:tcW w:w="44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6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4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50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174" w:type="dxa"/>
                <w:trHeight w:val="448" w:hRule="atLeast"/>
              </w:trPr>
              <w:tc>
                <w:tcPr>
                  <w:tcW w:w="44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6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14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50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174" w:type="dxa"/>
                <w:trHeight w:val="448" w:hRule="atLeast"/>
              </w:trPr>
              <w:tc>
                <w:tcPr>
                  <w:tcW w:w="4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6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1132.99</w:t>
                  </w:r>
                </w:p>
              </w:tc>
              <w:tc>
                <w:tcPr>
                  <w:tcW w:w="50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14</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801.64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174" w:type="dxa"/>
                <w:trHeight w:val="448" w:hRule="atLeast"/>
              </w:trPr>
              <w:tc>
                <w:tcPr>
                  <w:tcW w:w="44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6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17.28</w:t>
                  </w:r>
                </w:p>
              </w:tc>
              <w:tc>
                <w:tcPr>
                  <w:tcW w:w="50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二、社会保障和就业支出</w:t>
                  </w: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15</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49.85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174" w:type="dxa"/>
                <w:trHeight w:val="448" w:hRule="atLeast"/>
              </w:trPr>
              <w:tc>
                <w:tcPr>
                  <w:tcW w:w="4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6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三、城乡社区支出</w:t>
                  </w: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2"/>
                      <w:sz w:val="22"/>
                      <w:szCs w:val="22"/>
                      <w:u w:val="none"/>
                      <w:lang w:val="en-US" w:eastAsia="zh-CN" w:bidi="ar-SA"/>
                    </w:rPr>
                    <w:t>16</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17.28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174" w:type="dxa"/>
                <w:trHeight w:val="448" w:hRule="atLeast"/>
              </w:trPr>
              <w:tc>
                <w:tcPr>
                  <w:tcW w:w="44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6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四、农林水支出</w:t>
                  </w: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2"/>
                      <w:sz w:val="22"/>
                      <w:szCs w:val="22"/>
                      <w:u w:val="none"/>
                      <w:lang w:val="en-US" w:eastAsia="zh-CN" w:bidi="ar-SA"/>
                    </w:rPr>
                    <w:t>17</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250.03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174" w:type="dxa"/>
                <w:trHeight w:val="448" w:hRule="atLeast"/>
              </w:trPr>
              <w:tc>
                <w:tcPr>
                  <w:tcW w:w="44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6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五、教育支出</w:t>
                  </w: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2"/>
                      <w:sz w:val="22"/>
                      <w:szCs w:val="22"/>
                      <w:u w:val="none"/>
                      <w:lang w:val="en-US" w:eastAsia="zh-CN" w:bidi="ar-SA"/>
                    </w:rPr>
                    <w:t>18</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5.28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174" w:type="dxa"/>
                <w:trHeight w:val="448" w:hRule="atLeast"/>
              </w:trPr>
              <w:tc>
                <w:tcPr>
                  <w:tcW w:w="44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6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2"/>
                      <w:sz w:val="22"/>
                      <w:szCs w:val="22"/>
                      <w:u w:val="none"/>
                      <w:lang w:val="en-US" w:eastAsia="zh-CN" w:bidi="ar-SA"/>
                    </w:rPr>
                    <w:t>六、卫生健康支出</w:t>
                  </w: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19</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26.19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174" w:type="dxa"/>
                <w:trHeight w:val="448" w:hRule="atLeast"/>
              </w:trPr>
              <w:tc>
                <w:tcPr>
                  <w:tcW w:w="44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6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174" w:type="dxa"/>
                <w:trHeight w:val="448" w:hRule="atLeast"/>
              </w:trPr>
              <w:tc>
                <w:tcPr>
                  <w:tcW w:w="44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6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5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174" w:type="dxa"/>
                <w:trHeight w:val="448" w:hRule="atLeast"/>
              </w:trPr>
              <w:tc>
                <w:tcPr>
                  <w:tcW w:w="4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6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174" w:type="dxa"/>
                <w:trHeight w:val="448" w:hRule="atLeast"/>
              </w:trPr>
              <w:tc>
                <w:tcPr>
                  <w:tcW w:w="4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6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1150.27</w:t>
                  </w:r>
                </w:p>
              </w:tc>
              <w:tc>
                <w:tcPr>
                  <w:tcW w:w="5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1150.27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174" w:type="dxa"/>
                <w:trHeight w:val="448" w:hRule="atLeast"/>
              </w:trPr>
              <w:tc>
                <w:tcPr>
                  <w:tcW w:w="4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6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74" w:type="dxa"/>
                <w:trHeight w:val="628" w:hRule="atLeast"/>
              </w:trPr>
              <w:tc>
                <w:tcPr>
                  <w:tcW w:w="4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6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74" w:type="dxa"/>
                <w:trHeight w:val="448" w:hRule="atLeast"/>
              </w:trPr>
              <w:tc>
                <w:tcPr>
                  <w:tcW w:w="44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6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1150.27</w:t>
                  </w:r>
                </w:p>
              </w:tc>
              <w:tc>
                <w:tcPr>
                  <w:tcW w:w="50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b/>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1150.27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trHeight w:val="90" w:hRule="atLeast"/>
        </w:trPr>
        <w:tc>
          <w:tcPr>
            <w:tcW w:w="21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817"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5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7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1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1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78"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trHeight w:val="90" w:hRule="atLeast"/>
        </w:trPr>
        <w:tc>
          <w:tcPr>
            <w:tcW w:w="2833" w:type="dxa"/>
            <w:gridSpan w:val="3"/>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color w:val="000000"/>
                <w:sz w:val="20"/>
                <w:szCs w:val="20"/>
              </w:rPr>
              <w:t>部门：</w:t>
            </w:r>
            <w:r>
              <w:rPr>
                <w:rFonts w:hint="eastAsia" w:ascii="宋体" w:hAnsi="宋体" w:eastAsia="宋体" w:cs="宋体"/>
                <w:i w:val="0"/>
                <w:color w:val="000000"/>
                <w:kern w:val="0"/>
                <w:sz w:val="20"/>
                <w:szCs w:val="20"/>
                <w:u w:val="none"/>
                <w:lang w:val="en-US" w:eastAsia="zh-CN" w:bidi="ar"/>
              </w:rPr>
              <w:t>道县乐福堂镇人民政府</w:t>
            </w:r>
            <w:r>
              <w:rPr>
                <w:rFonts w:hint="eastAsia"/>
              </w:rPr>
              <w:t>　</w:t>
            </w:r>
          </w:p>
        </w:tc>
        <w:tc>
          <w:tcPr>
            <w:tcW w:w="175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75" w:type="dxa"/>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44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1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1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78"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w:t>
            </w:r>
            <w:r>
              <w:rPr>
                <w:rFonts w:hint="eastAsia"/>
                <w:color w:val="000000"/>
                <w:sz w:val="20"/>
                <w:szCs w:val="20"/>
                <w:lang w:val="en-US" w:eastAsia="zh-CN"/>
              </w:rPr>
              <w:t>万</w:t>
            </w:r>
            <w:r>
              <w:rPr>
                <w:rFonts w:hint="eastAsia"/>
                <w:color w:val="000000"/>
                <w:sz w:val="20"/>
                <w:szCs w:val="20"/>
              </w:rPr>
              <w:t>元</w:t>
            </w:r>
          </w:p>
        </w:tc>
      </w:tr>
      <w:tr>
        <w:tblPrEx>
          <w:tblCellMar>
            <w:top w:w="0" w:type="dxa"/>
            <w:left w:w="0" w:type="dxa"/>
            <w:bottom w:w="0" w:type="dxa"/>
            <w:right w:w="0" w:type="dxa"/>
          </w:tblCellMar>
        </w:tblPrEx>
        <w:trPr>
          <w:trHeight w:val="90" w:hRule="atLeast"/>
        </w:trPr>
        <w:tc>
          <w:tcPr>
            <w:tcW w:w="2833"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75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67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47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44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81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81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257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trHeight w:val="312" w:hRule="atLeast"/>
        </w:trPr>
        <w:tc>
          <w:tcPr>
            <w:tcW w:w="1033"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18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75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7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4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1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1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57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312" w:hRule="atLeast"/>
        </w:trPr>
        <w:tc>
          <w:tcPr>
            <w:tcW w:w="1033"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0"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5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7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4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1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1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57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90" w:hRule="atLeast"/>
        </w:trPr>
        <w:tc>
          <w:tcPr>
            <w:tcW w:w="2833"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1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167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147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144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181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181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257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CellMar>
            <w:top w:w="0" w:type="dxa"/>
            <w:left w:w="0" w:type="dxa"/>
            <w:bottom w:w="0" w:type="dxa"/>
            <w:right w:w="0" w:type="dxa"/>
          </w:tblCellMar>
        </w:tblPrEx>
        <w:trPr>
          <w:trHeight w:val="90" w:hRule="atLeast"/>
        </w:trPr>
        <w:tc>
          <w:tcPr>
            <w:tcW w:w="2833"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合计</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i w:val="0"/>
                <w:color w:val="000000"/>
                <w:sz w:val="22"/>
                <w:szCs w:val="22"/>
                <w:u w:val="none"/>
                <w:lang w:val="en-US" w:eastAsia="zh-CN"/>
              </w:rPr>
              <w:t>1150.27</w:t>
            </w: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i w:val="0"/>
                <w:color w:val="000000"/>
                <w:sz w:val="22"/>
                <w:szCs w:val="22"/>
                <w:u w:val="none"/>
                <w:lang w:val="en-US" w:eastAsia="zh-CN"/>
              </w:rPr>
              <w:t>1150.27</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90" w:hRule="atLeast"/>
        </w:trPr>
        <w:tc>
          <w:tcPr>
            <w:tcW w:w="10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2010108</w:t>
            </w: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代表工作</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2.58 </w:t>
            </w: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color w:val="000000"/>
                <w:kern w:val="0"/>
                <w:sz w:val="22"/>
                <w:szCs w:val="22"/>
                <w:u w:val="none"/>
                <w:lang w:val="en-US" w:eastAsia="zh-CN" w:bidi="ar"/>
              </w:rPr>
              <w:t xml:space="preserve">2.58 </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90" w:hRule="atLeast"/>
        </w:trPr>
        <w:tc>
          <w:tcPr>
            <w:tcW w:w="10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2010301</w:t>
            </w: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行政运行</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宋体"/>
                <w:sz w:val="24"/>
                <w:szCs w:val="24"/>
              </w:rPr>
            </w:pPr>
            <w:r>
              <w:rPr>
                <w:rFonts w:hint="eastAsia" w:ascii="宋体" w:hAnsi="宋体" w:eastAsia="宋体" w:cs="宋体"/>
                <w:i w:val="0"/>
                <w:color w:val="000000"/>
                <w:kern w:val="0"/>
                <w:sz w:val="22"/>
                <w:szCs w:val="22"/>
                <w:u w:val="none"/>
                <w:lang w:val="en-US" w:eastAsia="zh-CN" w:bidi="ar"/>
              </w:rPr>
              <w:t xml:space="preserve">524.46 </w:t>
            </w: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宋体"/>
                <w:kern w:val="2"/>
                <w:sz w:val="24"/>
                <w:szCs w:val="24"/>
                <w:lang w:val="en-US" w:eastAsia="zh-CN" w:bidi="ar-SA"/>
              </w:rPr>
            </w:pPr>
            <w:r>
              <w:rPr>
                <w:rFonts w:hint="eastAsia" w:ascii="宋体" w:hAnsi="宋体" w:eastAsia="宋体" w:cs="宋体"/>
                <w:i w:val="0"/>
                <w:color w:val="000000"/>
                <w:kern w:val="0"/>
                <w:sz w:val="22"/>
                <w:szCs w:val="22"/>
                <w:u w:val="none"/>
                <w:lang w:val="en-US" w:eastAsia="zh-CN" w:bidi="ar"/>
              </w:rPr>
              <w:t xml:space="preserve">524.46 </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90" w:hRule="atLeast"/>
        </w:trPr>
        <w:tc>
          <w:tcPr>
            <w:tcW w:w="10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color w:val="000000"/>
                <w:kern w:val="0"/>
                <w:sz w:val="22"/>
                <w:szCs w:val="22"/>
                <w:u w:val="none"/>
                <w:lang w:val="en-US" w:eastAsia="zh-CN" w:bidi="ar"/>
              </w:rPr>
              <w:t>2010399</w:t>
            </w: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color w:val="000000"/>
                <w:kern w:val="0"/>
                <w:sz w:val="22"/>
                <w:szCs w:val="22"/>
                <w:u w:val="none"/>
                <w:lang w:val="en-US" w:eastAsia="zh-CN" w:bidi="ar"/>
              </w:rPr>
              <w:t>其他政府办公厅（室）及相关机构事务支出</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华文中宋" w:hAnsi="华文中宋" w:eastAsia="华文中宋"/>
                <w:lang w:val="en-US"/>
              </w:rPr>
            </w:pPr>
            <w:r>
              <w:rPr>
                <w:rFonts w:hint="eastAsia" w:ascii="宋体" w:hAnsi="宋体" w:eastAsia="宋体" w:cs="宋体"/>
                <w:i w:val="0"/>
                <w:color w:val="000000"/>
                <w:kern w:val="0"/>
                <w:sz w:val="22"/>
                <w:szCs w:val="22"/>
                <w:u w:val="none"/>
                <w:lang w:val="en-US" w:eastAsia="zh-CN" w:bidi="ar"/>
              </w:rPr>
              <w:t xml:space="preserve">268.06 </w:t>
            </w: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华文中宋" w:hAnsi="华文中宋" w:eastAsia="华文中宋" w:cstheme="minorBidi"/>
                <w:kern w:val="2"/>
                <w:sz w:val="21"/>
                <w:szCs w:val="22"/>
                <w:lang w:val="en-US" w:eastAsia="zh-CN" w:bidi="ar-SA"/>
              </w:rPr>
            </w:pPr>
            <w:r>
              <w:rPr>
                <w:rFonts w:hint="eastAsia" w:ascii="宋体" w:hAnsi="宋体" w:eastAsia="宋体" w:cs="宋体"/>
                <w:i w:val="0"/>
                <w:color w:val="000000"/>
                <w:kern w:val="0"/>
                <w:sz w:val="22"/>
                <w:szCs w:val="22"/>
                <w:u w:val="none"/>
                <w:lang w:val="en-US" w:eastAsia="zh-CN" w:bidi="ar"/>
              </w:rPr>
              <w:t xml:space="preserve">268.06 </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90" w:hRule="atLeast"/>
        </w:trPr>
        <w:tc>
          <w:tcPr>
            <w:tcW w:w="10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color w:val="000000"/>
                <w:kern w:val="0"/>
                <w:sz w:val="22"/>
                <w:szCs w:val="22"/>
                <w:u w:val="none"/>
                <w:lang w:val="en-US" w:eastAsia="zh-CN" w:bidi="ar"/>
              </w:rPr>
              <w:t>2011199</w:t>
            </w: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color w:val="000000"/>
                <w:kern w:val="0"/>
                <w:sz w:val="22"/>
                <w:szCs w:val="22"/>
                <w:u w:val="none"/>
                <w:lang w:val="en-US" w:eastAsia="zh-CN" w:bidi="ar"/>
              </w:rPr>
              <w:t>其他纪检监察事务支出</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color w:val="000000"/>
                <w:kern w:val="0"/>
                <w:sz w:val="22"/>
                <w:szCs w:val="22"/>
                <w:u w:val="none"/>
                <w:lang w:val="en-US" w:eastAsia="zh-CN" w:bidi="ar"/>
              </w:rPr>
              <w:t xml:space="preserve">6.3 </w:t>
            </w: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华文中宋" w:hAnsi="华文中宋" w:eastAsia="华文中宋" w:cstheme="minorBidi"/>
                <w:kern w:val="2"/>
                <w:sz w:val="21"/>
                <w:szCs w:val="22"/>
                <w:lang w:val="en-US" w:eastAsia="zh-CN" w:bidi="ar-SA"/>
              </w:rPr>
            </w:pPr>
            <w:r>
              <w:rPr>
                <w:rFonts w:hint="eastAsia" w:ascii="宋体" w:hAnsi="宋体" w:eastAsia="宋体" w:cs="宋体"/>
                <w:i w:val="0"/>
                <w:color w:val="000000"/>
                <w:kern w:val="0"/>
                <w:sz w:val="22"/>
                <w:szCs w:val="22"/>
                <w:u w:val="none"/>
                <w:lang w:val="en-US" w:eastAsia="zh-CN" w:bidi="ar"/>
              </w:rPr>
              <w:t xml:space="preserve">6.3 </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90" w:hRule="atLeast"/>
        </w:trPr>
        <w:tc>
          <w:tcPr>
            <w:tcW w:w="10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color w:val="000000"/>
                <w:kern w:val="0"/>
                <w:sz w:val="22"/>
                <w:szCs w:val="22"/>
                <w:u w:val="none"/>
                <w:lang w:val="en-US" w:eastAsia="zh-CN" w:bidi="ar"/>
              </w:rPr>
              <w:t>2013999</w:t>
            </w: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color w:val="000000"/>
                <w:kern w:val="0"/>
                <w:sz w:val="22"/>
                <w:szCs w:val="22"/>
                <w:u w:val="none"/>
                <w:lang w:val="en-US" w:eastAsia="zh-CN" w:bidi="ar"/>
              </w:rPr>
              <w:t>其他社会工作事务支出</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color w:val="000000"/>
                <w:kern w:val="0"/>
                <w:sz w:val="22"/>
                <w:szCs w:val="22"/>
                <w:u w:val="none"/>
                <w:lang w:val="en-US" w:eastAsia="zh-CN" w:bidi="ar"/>
              </w:rPr>
              <w:t xml:space="preserve">0.24 </w:t>
            </w: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华文中宋" w:hAnsi="华文中宋" w:eastAsia="华文中宋" w:cstheme="minorBidi"/>
                <w:kern w:val="2"/>
                <w:sz w:val="21"/>
                <w:szCs w:val="22"/>
                <w:lang w:val="en-US" w:eastAsia="zh-CN" w:bidi="ar-SA"/>
              </w:rPr>
            </w:pPr>
            <w:r>
              <w:rPr>
                <w:rFonts w:hint="eastAsia" w:ascii="宋体" w:hAnsi="宋体" w:eastAsia="宋体" w:cs="宋体"/>
                <w:i w:val="0"/>
                <w:color w:val="000000"/>
                <w:kern w:val="0"/>
                <w:sz w:val="22"/>
                <w:szCs w:val="22"/>
                <w:u w:val="none"/>
                <w:lang w:val="en-US" w:eastAsia="zh-CN" w:bidi="ar"/>
              </w:rPr>
              <w:t xml:space="preserve">0.24 </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90" w:hRule="atLeast"/>
        </w:trPr>
        <w:tc>
          <w:tcPr>
            <w:tcW w:w="10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color w:val="000000"/>
                <w:kern w:val="0"/>
                <w:sz w:val="22"/>
                <w:szCs w:val="22"/>
                <w:u w:val="none"/>
                <w:lang w:val="en-US" w:eastAsia="zh-CN" w:bidi="ar"/>
              </w:rPr>
              <w:t>2050101</w:t>
            </w: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color w:val="000000"/>
                <w:kern w:val="0"/>
                <w:sz w:val="22"/>
                <w:szCs w:val="22"/>
                <w:u w:val="none"/>
                <w:lang w:val="en-US" w:eastAsia="zh-CN" w:bidi="ar"/>
              </w:rPr>
              <w:t>行政运行</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color w:val="000000"/>
                <w:kern w:val="0"/>
                <w:sz w:val="22"/>
                <w:szCs w:val="22"/>
                <w:u w:val="none"/>
                <w:lang w:val="en-US" w:eastAsia="zh-CN" w:bidi="ar"/>
              </w:rPr>
              <w:t xml:space="preserve">5.25 </w:t>
            </w: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华文中宋" w:hAnsi="华文中宋" w:eastAsia="华文中宋" w:cstheme="minorBidi"/>
                <w:kern w:val="2"/>
                <w:sz w:val="21"/>
                <w:szCs w:val="22"/>
                <w:lang w:val="en-US" w:eastAsia="zh-CN" w:bidi="ar-SA"/>
              </w:rPr>
            </w:pPr>
            <w:r>
              <w:rPr>
                <w:rFonts w:hint="eastAsia" w:ascii="宋体" w:hAnsi="宋体" w:eastAsia="宋体" w:cs="宋体"/>
                <w:i w:val="0"/>
                <w:color w:val="000000"/>
                <w:kern w:val="0"/>
                <w:sz w:val="22"/>
                <w:szCs w:val="22"/>
                <w:u w:val="none"/>
                <w:lang w:val="en-US" w:eastAsia="zh-CN" w:bidi="ar"/>
              </w:rPr>
              <w:t xml:space="preserve">5.25 </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90" w:hRule="atLeast"/>
        </w:trPr>
        <w:tc>
          <w:tcPr>
            <w:tcW w:w="10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color w:val="000000"/>
                <w:kern w:val="0"/>
                <w:sz w:val="22"/>
                <w:szCs w:val="22"/>
                <w:u w:val="none"/>
                <w:lang w:val="en-US" w:eastAsia="zh-CN" w:bidi="ar"/>
              </w:rPr>
              <w:t>2080505</w:t>
            </w: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color w:val="000000"/>
                <w:kern w:val="0"/>
                <w:sz w:val="22"/>
                <w:szCs w:val="22"/>
                <w:u w:val="none"/>
                <w:lang w:val="en-US" w:eastAsia="zh-CN" w:bidi="ar"/>
              </w:rPr>
              <w:t>机关事业单位基本养老保险缴费支出</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color w:val="000000"/>
                <w:kern w:val="0"/>
                <w:sz w:val="22"/>
                <w:szCs w:val="22"/>
                <w:u w:val="none"/>
                <w:lang w:val="en-US" w:eastAsia="zh-CN" w:bidi="ar"/>
              </w:rPr>
              <w:t xml:space="preserve">46.37 </w:t>
            </w: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华文中宋" w:hAnsi="华文中宋" w:eastAsia="华文中宋" w:cstheme="minorBidi"/>
                <w:kern w:val="2"/>
                <w:sz w:val="21"/>
                <w:szCs w:val="22"/>
                <w:lang w:val="en-US" w:eastAsia="zh-CN" w:bidi="ar-SA"/>
              </w:rPr>
            </w:pPr>
            <w:r>
              <w:rPr>
                <w:rFonts w:hint="eastAsia" w:ascii="宋体" w:hAnsi="宋体" w:eastAsia="宋体" w:cs="宋体"/>
                <w:i w:val="0"/>
                <w:color w:val="000000"/>
                <w:kern w:val="0"/>
                <w:sz w:val="22"/>
                <w:szCs w:val="22"/>
                <w:u w:val="none"/>
                <w:lang w:val="en-US" w:eastAsia="zh-CN" w:bidi="ar"/>
              </w:rPr>
              <w:t xml:space="preserve">46.37 </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90" w:hRule="atLeast"/>
        </w:trPr>
        <w:tc>
          <w:tcPr>
            <w:tcW w:w="10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color w:val="000000"/>
                <w:kern w:val="0"/>
                <w:sz w:val="22"/>
                <w:szCs w:val="22"/>
                <w:u w:val="none"/>
                <w:lang w:val="en-US" w:eastAsia="zh-CN" w:bidi="ar"/>
              </w:rPr>
              <w:t>2080801</w:t>
            </w: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color w:val="000000"/>
                <w:kern w:val="0"/>
                <w:sz w:val="22"/>
                <w:szCs w:val="22"/>
                <w:u w:val="none"/>
                <w:lang w:val="en-US" w:eastAsia="zh-CN" w:bidi="ar"/>
              </w:rPr>
              <w:t>死亡抚恤</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color w:val="000000"/>
                <w:kern w:val="0"/>
                <w:sz w:val="22"/>
                <w:szCs w:val="22"/>
                <w:u w:val="none"/>
                <w:lang w:val="en-US" w:eastAsia="zh-CN" w:bidi="ar"/>
              </w:rPr>
              <w:t xml:space="preserve">3.48 </w:t>
            </w: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华文中宋" w:hAnsi="华文中宋" w:eastAsia="华文中宋" w:cstheme="minorBidi"/>
                <w:kern w:val="2"/>
                <w:sz w:val="21"/>
                <w:szCs w:val="22"/>
                <w:lang w:val="en-US" w:eastAsia="zh-CN" w:bidi="ar-SA"/>
              </w:rPr>
            </w:pPr>
            <w:r>
              <w:rPr>
                <w:rFonts w:hint="eastAsia" w:ascii="宋体" w:hAnsi="宋体" w:eastAsia="宋体" w:cs="宋体"/>
                <w:i w:val="0"/>
                <w:color w:val="000000"/>
                <w:kern w:val="0"/>
                <w:sz w:val="22"/>
                <w:szCs w:val="22"/>
                <w:u w:val="none"/>
                <w:lang w:val="en-US" w:eastAsia="zh-CN" w:bidi="ar"/>
              </w:rPr>
              <w:t xml:space="preserve">3.48 </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90" w:hRule="atLeast"/>
        </w:trPr>
        <w:tc>
          <w:tcPr>
            <w:tcW w:w="10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2101101</w:t>
            </w: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行政单位医疗</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 xml:space="preserve">25.09 </w:t>
            </w: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宋体" w:hAnsi="宋体" w:eastAsia="宋体" w:cs="宋体"/>
                <w:i w:val="0"/>
                <w:color w:val="000000"/>
                <w:kern w:val="0"/>
                <w:sz w:val="22"/>
                <w:szCs w:val="22"/>
                <w:u w:val="none"/>
                <w:lang w:val="en-US" w:eastAsia="zh-CN" w:bidi="ar"/>
              </w:rPr>
              <w:t xml:space="preserve">25.09 </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90" w:hRule="atLeast"/>
        </w:trPr>
        <w:tc>
          <w:tcPr>
            <w:tcW w:w="10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color w:val="000000"/>
                <w:kern w:val="0"/>
                <w:sz w:val="22"/>
                <w:szCs w:val="22"/>
                <w:u w:val="none"/>
                <w:lang w:val="en-US" w:eastAsia="zh-CN" w:bidi="ar"/>
              </w:rPr>
              <w:t>2101399</w:t>
            </w: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color w:val="000000"/>
                <w:kern w:val="0"/>
                <w:sz w:val="22"/>
                <w:szCs w:val="22"/>
                <w:u w:val="none"/>
                <w:lang w:val="en-US" w:eastAsia="zh-CN" w:bidi="ar"/>
              </w:rPr>
              <w:t>其他医疗救助支出</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color w:val="000000"/>
                <w:kern w:val="0"/>
                <w:sz w:val="22"/>
                <w:szCs w:val="22"/>
                <w:u w:val="none"/>
                <w:lang w:val="en-US" w:eastAsia="zh-CN" w:bidi="ar"/>
              </w:rPr>
              <w:t xml:space="preserve">1.1 </w:t>
            </w: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color w:val="000000"/>
                <w:kern w:val="0"/>
                <w:sz w:val="22"/>
                <w:szCs w:val="22"/>
                <w:u w:val="none"/>
                <w:lang w:val="en-US" w:eastAsia="zh-CN" w:bidi="ar"/>
              </w:rPr>
              <w:t xml:space="preserve">1.1 </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90" w:hRule="atLeast"/>
        </w:trPr>
        <w:tc>
          <w:tcPr>
            <w:tcW w:w="10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2120899</w:t>
            </w: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其他国有土地使用权出让收入安排的支出</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 xml:space="preserve">17.28 </w:t>
            </w: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宋体" w:hAnsi="宋体" w:eastAsia="宋体" w:cs="宋体"/>
                <w:i w:val="0"/>
                <w:color w:val="000000"/>
                <w:kern w:val="0"/>
                <w:sz w:val="22"/>
                <w:szCs w:val="22"/>
                <w:u w:val="none"/>
                <w:lang w:val="en-US" w:eastAsia="zh-CN" w:bidi="ar"/>
              </w:rPr>
              <w:t xml:space="preserve">17.28 </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90" w:hRule="atLeast"/>
        </w:trPr>
        <w:tc>
          <w:tcPr>
            <w:tcW w:w="10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2130126</w:t>
            </w: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农村社会事业</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 xml:space="preserve">1.23 </w:t>
            </w: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宋体" w:hAnsi="宋体" w:eastAsia="宋体" w:cs="宋体"/>
                <w:i w:val="0"/>
                <w:color w:val="000000"/>
                <w:kern w:val="0"/>
                <w:sz w:val="22"/>
                <w:szCs w:val="22"/>
                <w:u w:val="none"/>
                <w:lang w:val="en-US" w:eastAsia="zh-CN" w:bidi="ar"/>
              </w:rPr>
              <w:t xml:space="preserve">1.23 </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90" w:hRule="atLeast"/>
        </w:trPr>
        <w:tc>
          <w:tcPr>
            <w:tcW w:w="10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color w:val="000000"/>
                <w:kern w:val="0"/>
                <w:sz w:val="22"/>
                <w:szCs w:val="22"/>
                <w:u w:val="none"/>
                <w:lang w:val="en-US" w:eastAsia="zh-CN" w:bidi="ar"/>
              </w:rPr>
              <w:t>2130199</w:t>
            </w: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color w:val="000000"/>
                <w:kern w:val="0"/>
                <w:sz w:val="22"/>
                <w:szCs w:val="22"/>
                <w:u w:val="none"/>
                <w:lang w:val="en-US" w:eastAsia="zh-CN" w:bidi="ar"/>
              </w:rPr>
              <w:t>其他农业农村支出</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color w:val="000000"/>
                <w:kern w:val="0"/>
                <w:sz w:val="22"/>
                <w:szCs w:val="22"/>
                <w:u w:val="none"/>
                <w:lang w:val="en-US" w:eastAsia="zh-CN" w:bidi="ar"/>
              </w:rPr>
              <w:t xml:space="preserve">20.84 </w:t>
            </w: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color w:val="000000"/>
                <w:kern w:val="0"/>
                <w:sz w:val="22"/>
                <w:szCs w:val="22"/>
                <w:u w:val="none"/>
                <w:lang w:val="en-US" w:eastAsia="zh-CN" w:bidi="ar"/>
              </w:rPr>
              <w:t xml:space="preserve">20.84 </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90" w:hRule="atLeast"/>
        </w:trPr>
        <w:tc>
          <w:tcPr>
            <w:tcW w:w="10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color w:val="000000"/>
                <w:kern w:val="0"/>
                <w:sz w:val="22"/>
                <w:szCs w:val="22"/>
                <w:u w:val="none"/>
                <w:lang w:val="en-US" w:eastAsia="zh-CN" w:bidi="ar"/>
              </w:rPr>
              <w:t>2130599</w:t>
            </w: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color w:val="000000"/>
                <w:kern w:val="0"/>
                <w:sz w:val="22"/>
                <w:szCs w:val="22"/>
                <w:u w:val="none"/>
                <w:lang w:val="en-US" w:eastAsia="zh-CN" w:bidi="ar"/>
              </w:rPr>
              <w:t>其他巩固脱贫攻坚成果衔接乡村振兴支出</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color w:val="000000"/>
                <w:kern w:val="0"/>
                <w:sz w:val="22"/>
                <w:szCs w:val="22"/>
                <w:u w:val="none"/>
                <w:lang w:val="en-US" w:eastAsia="zh-CN" w:bidi="ar"/>
              </w:rPr>
              <w:t xml:space="preserve">2.96 </w:t>
            </w: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color w:val="000000"/>
                <w:kern w:val="0"/>
                <w:sz w:val="22"/>
                <w:szCs w:val="22"/>
                <w:u w:val="none"/>
                <w:lang w:val="en-US" w:eastAsia="zh-CN" w:bidi="ar"/>
              </w:rPr>
              <w:t xml:space="preserve">2.96 </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90" w:hRule="atLeast"/>
        </w:trPr>
        <w:tc>
          <w:tcPr>
            <w:tcW w:w="10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2130701</w:t>
            </w: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对村级公益事业建设的补助</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59 </w:t>
            </w: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59 </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90" w:hRule="atLeast"/>
        </w:trPr>
        <w:tc>
          <w:tcPr>
            <w:tcW w:w="10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2130705</w:t>
            </w: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对村民委员会和村党支部的补助</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47</w:t>
            </w: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47</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90" w:hRule="atLeast"/>
        </w:trPr>
        <w:tc>
          <w:tcPr>
            <w:tcW w:w="10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2139999</w:t>
            </w: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其他农林水支出</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119</w:t>
            </w: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119</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90" w:hRule="atLeast"/>
        </w:trPr>
        <w:tc>
          <w:tcPr>
            <w:tcW w:w="10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90" w:hRule="atLeast"/>
        </w:trPr>
        <w:tc>
          <w:tcPr>
            <w:tcW w:w="15380" w:type="dxa"/>
            <w:gridSpan w:val="10"/>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r>
        <w:tblPrEx>
          <w:tblCellMar>
            <w:top w:w="0" w:type="dxa"/>
            <w:left w:w="0" w:type="dxa"/>
            <w:bottom w:w="0" w:type="dxa"/>
            <w:right w:w="0" w:type="dxa"/>
          </w:tblCellMar>
        </w:tblPrEx>
        <w:trPr>
          <w:trHeight w:val="90" w:hRule="atLeast"/>
        </w:trPr>
        <w:tc>
          <w:tcPr>
            <w:tcW w:w="15380" w:type="dxa"/>
            <w:gridSpan w:val="10"/>
            <w:tcBorders>
              <w:top w:val="nil"/>
              <w:left w:val="nil"/>
              <w:bottom w:val="nil"/>
              <w:right w:val="nil"/>
            </w:tcBorders>
            <w:shd w:val="clear" w:color="auto" w:fill="auto"/>
            <w:tcMar>
              <w:top w:w="15" w:type="dxa"/>
              <w:left w:w="15" w:type="dxa"/>
              <w:bottom w:w="0" w:type="dxa"/>
              <w:right w:w="15" w:type="dxa"/>
            </w:tcMar>
            <w:vAlign w:val="center"/>
          </w:tcPr>
          <w:p>
            <w:pPr>
              <w:rPr>
                <w:rFonts w:hint="eastAsia"/>
              </w:rPr>
            </w:pPr>
          </w:p>
        </w:tc>
      </w:tr>
      <w:tr>
        <w:tblPrEx>
          <w:tblCellMar>
            <w:top w:w="0" w:type="dxa"/>
            <w:left w:w="0" w:type="dxa"/>
            <w:bottom w:w="0" w:type="dxa"/>
            <w:right w:w="0" w:type="dxa"/>
          </w:tblCellMar>
        </w:tblPrEx>
        <w:trPr>
          <w:trHeight w:val="90" w:hRule="atLeast"/>
        </w:trPr>
        <w:tc>
          <w:tcPr>
            <w:tcW w:w="15380" w:type="dxa"/>
            <w:gridSpan w:val="10"/>
            <w:tcBorders>
              <w:top w:val="nil"/>
              <w:left w:val="nil"/>
              <w:bottom w:val="nil"/>
              <w:right w:val="nil"/>
            </w:tcBorders>
            <w:shd w:val="clear" w:color="auto" w:fill="auto"/>
            <w:tcMar>
              <w:top w:w="15" w:type="dxa"/>
              <w:left w:w="15" w:type="dxa"/>
              <w:bottom w:w="0" w:type="dxa"/>
              <w:right w:w="15" w:type="dxa"/>
            </w:tcMar>
            <w:vAlign w:val="center"/>
          </w:tcPr>
          <w:p>
            <w:pPr>
              <w:rPr>
                <w:rFonts w:hint="eastAsia"/>
              </w:rPr>
            </w:pP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p>
    <w:p>
      <w:pPr>
        <w:widowControl/>
        <w:jc w:val="left"/>
        <w:rPr>
          <w:rFonts w:ascii="Times New Roman" w:hAnsi="Times New Roman" w:eastAsia="黑体" w:cs="Times New Roman"/>
          <w:bCs/>
          <w:kern w:val="0"/>
          <w:sz w:val="32"/>
          <w:szCs w:val="32"/>
        </w:rPr>
      </w:pPr>
    </w:p>
    <w:p>
      <w:pPr>
        <w:widowControl/>
        <w:jc w:val="left"/>
        <w:rPr>
          <w:rFonts w:ascii="Times New Roman" w:hAnsi="Times New Roman" w:eastAsia="黑体" w:cs="Times New Roman"/>
          <w:bCs/>
          <w:kern w:val="0"/>
          <w:sz w:val="32"/>
          <w:szCs w:val="32"/>
        </w:rPr>
      </w:pPr>
    </w:p>
    <w:p>
      <w:pPr>
        <w:widowControl/>
        <w:jc w:val="left"/>
        <w:rPr>
          <w:rFonts w:ascii="Times New Roman" w:hAnsi="Times New Roman" w:eastAsia="黑体" w:cs="Times New Roman"/>
          <w:bCs/>
          <w:kern w:val="0"/>
          <w:sz w:val="32"/>
          <w:szCs w:val="32"/>
        </w:rPr>
      </w:pPr>
    </w:p>
    <w:p>
      <w:pPr>
        <w:widowControl/>
        <w:jc w:val="left"/>
        <w:rPr>
          <w:rFonts w:ascii="Times New Roman" w:hAnsi="Times New Roman" w:eastAsia="黑体" w:cs="Times New Roman"/>
          <w:bCs/>
          <w:kern w:val="0"/>
          <w:sz w:val="32"/>
          <w:szCs w:val="32"/>
        </w:rPr>
      </w:pPr>
    </w:p>
    <w:p>
      <w:pPr>
        <w:widowControl/>
        <w:jc w:val="left"/>
        <w:rPr>
          <w:rFonts w:ascii="Times New Roman" w:hAnsi="Times New Roman" w:eastAsia="黑体" w:cs="Times New Roman"/>
          <w:bCs/>
          <w:kern w:val="0"/>
          <w:sz w:val="32"/>
          <w:szCs w:val="32"/>
        </w:rPr>
      </w:pPr>
    </w:p>
    <w:p>
      <w:pPr>
        <w:widowControl/>
        <w:jc w:val="left"/>
        <w:rPr>
          <w:rFonts w:ascii="Times New Roman" w:hAnsi="Times New Roman" w:eastAsia="黑体" w:cs="Times New Roman"/>
          <w:bCs/>
          <w:kern w:val="0"/>
          <w:sz w:val="32"/>
          <w:szCs w:val="32"/>
        </w:rPr>
      </w:pPr>
    </w:p>
    <w:p>
      <w:pPr>
        <w:widowControl/>
        <w:jc w:val="left"/>
        <w:rPr>
          <w:rFonts w:ascii="Times New Roman" w:hAnsi="Times New Roman" w:eastAsia="黑体" w:cs="Times New Roman"/>
          <w:bCs/>
          <w:kern w:val="0"/>
          <w:sz w:val="32"/>
          <w:szCs w:val="32"/>
        </w:rPr>
      </w:pPr>
    </w:p>
    <w:p>
      <w:pPr>
        <w:widowControl/>
        <w:rPr>
          <w:rFonts w:ascii="Times New Roman" w:hAnsi="Times New Roman" w:eastAsia="方正小标宋_GBK" w:cs="Times New Roman"/>
          <w:color w:val="000000"/>
          <w:kern w:val="0"/>
          <w:sz w:val="36"/>
          <w:szCs w:val="36"/>
        </w:rPr>
      </w:pPr>
    </w:p>
    <w:tbl>
      <w:tblPr>
        <w:tblStyle w:val="10"/>
        <w:tblW w:w="15640" w:type="dxa"/>
        <w:tblInd w:w="93" w:type="dxa"/>
        <w:tblLayout w:type="fixed"/>
        <w:tblCellMar>
          <w:top w:w="0" w:type="dxa"/>
          <w:left w:w="108" w:type="dxa"/>
          <w:bottom w:w="0" w:type="dxa"/>
          <w:right w:w="108" w:type="dxa"/>
        </w:tblCellMar>
      </w:tblPr>
      <w:tblGrid>
        <w:gridCol w:w="1220"/>
        <w:gridCol w:w="240"/>
        <w:gridCol w:w="1773"/>
        <w:gridCol w:w="1699"/>
        <w:gridCol w:w="1991"/>
        <w:gridCol w:w="1991"/>
        <w:gridCol w:w="1991"/>
        <w:gridCol w:w="1991"/>
        <w:gridCol w:w="2744"/>
      </w:tblGrid>
      <w:tr>
        <w:tblPrEx>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trHeight w:val="403" w:hRule="atLeast"/>
        </w:trPr>
        <w:tc>
          <w:tcPr>
            <w:tcW w:w="122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9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403" w:hRule="atLeast"/>
        </w:trPr>
        <w:tc>
          <w:tcPr>
            <w:tcW w:w="3233" w:type="dxa"/>
            <w:gridSpan w:val="3"/>
            <w:tcBorders>
              <w:top w:val="nil"/>
              <w:left w:val="nil"/>
              <w:bottom w:val="nil"/>
              <w:right w:val="nil"/>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部门：</w:t>
            </w:r>
            <w:r>
              <w:rPr>
                <w:rFonts w:hint="eastAsia" w:ascii="宋体" w:hAnsi="宋体" w:eastAsia="宋体" w:cs="宋体"/>
                <w:i w:val="0"/>
                <w:color w:val="000000"/>
                <w:kern w:val="0"/>
                <w:sz w:val="20"/>
                <w:szCs w:val="20"/>
                <w:u w:val="none"/>
                <w:lang w:val="en-US" w:eastAsia="zh-CN" w:bidi="ar"/>
              </w:rPr>
              <w:t>道县乐福堂镇人民政府</w:t>
            </w:r>
            <w:r>
              <w:rPr>
                <w:rFonts w:hint="eastAsia" w:ascii="宋体" w:hAnsi="宋体" w:eastAsia="宋体" w:cs="宋体"/>
                <w:kern w:val="0"/>
                <w:sz w:val="24"/>
                <w:szCs w:val="24"/>
              </w:rPr>
              <w:t>　　</w:t>
            </w:r>
          </w:p>
        </w:tc>
        <w:tc>
          <w:tcPr>
            <w:tcW w:w="169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w:t>
            </w:r>
            <w:r>
              <w:rPr>
                <w:rFonts w:hint="eastAsia" w:ascii="宋体" w:hAnsi="宋体" w:eastAsia="宋体" w:cs="宋体"/>
                <w:color w:val="000000"/>
                <w:kern w:val="0"/>
                <w:sz w:val="20"/>
                <w:szCs w:val="20"/>
                <w:lang w:val="en-US" w:eastAsia="zh-CN"/>
              </w:rPr>
              <w:t>万</w:t>
            </w:r>
            <w:r>
              <w:rPr>
                <w:rFonts w:hint="eastAsia" w:ascii="宋体" w:hAnsi="宋体" w:eastAsia="宋体" w:cs="宋体"/>
                <w:color w:val="000000"/>
                <w:kern w:val="0"/>
                <w:sz w:val="20"/>
                <w:szCs w:val="20"/>
              </w:rPr>
              <w:t>元</w:t>
            </w:r>
          </w:p>
        </w:tc>
      </w:tr>
      <w:tr>
        <w:tblPrEx>
          <w:tblCellMar>
            <w:top w:w="0" w:type="dxa"/>
            <w:left w:w="108" w:type="dxa"/>
            <w:bottom w:w="0" w:type="dxa"/>
            <w:right w:w="108" w:type="dxa"/>
          </w:tblCellMar>
        </w:tblPrEx>
        <w:trPr>
          <w:trHeight w:val="595" w:hRule="atLeast"/>
        </w:trPr>
        <w:tc>
          <w:tcPr>
            <w:tcW w:w="3233"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69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trHeight w:val="595" w:hRule="atLeast"/>
        </w:trPr>
        <w:tc>
          <w:tcPr>
            <w:tcW w:w="1460"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773"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69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6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77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9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3233"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69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CellMar>
            <w:top w:w="0" w:type="dxa"/>
            <w:left w:w="108" w:type="dxa"/>
            <w:bottom w:w="0" w:type="dxa"/>
            <w:right w:w="108" w:type="dxa"/>
          </w:tblCellMar>
        </w:tblPrEx>
        <w:trPr>
          <w:trHeight w:val="595" w:hRule="atLeast"/>
        </w:trPr>
        <w:tc>
          <w:tcPr>
            <w:tcW w:w="3233"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6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1150.27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701.46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 xml:space="preserve">448.81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2010108</w:t>
            </w:r>
          </w:p>
        </w:tc>
        <w:tc>
          <w:tcPr>
            <w:tcW w:w="1773"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代表工作</w:t>
            </w:r>
          </w:p>
        </w:tc>
        <w:tc>
          <w:tcPr>
            <w:tcW w:w="16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 xml:space="preserve">2.58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 xml:space="preserve">2.58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2010301</w:t>
            </w:r>
          </w:p>
        </w:tc>
        <w:tc>
          <w:tcPr>
            <w:tcW w:w="1773"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行政运行</w:t>
            </w:r>
          </w:p>
        </w:tc>
        <w:tc>
          <w:tcPr>
            <w:tcW w:w="16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 xml:space="preserve">524.46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 xml:space="preserve">524.46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2010399</w:t>
            </w:r>
          </w:p>
        </w:tc>
        <w:tc>
          <w:tcPr>
            <w:tcW w:w="1773"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其他政府办公厅（室）及相关机构事务支出</w:t>
            </w:r>
          </w:p>
        </w:tc>
        <w:tc>
          <w:tcPr>
            <w:tcW w:w="16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 xml:space="preserve">268.06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100.30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 xml:space="preserve">167.80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2011199</w:t>
            </w:r>
          </w:p>
        </w:tc>
        <w:tc>
          <w:tcPr>
            <w:tcW w:w="1773"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其他纪检监察事务支出</w:t>
            </w:r>
          </w:p>
        </w:tc>
        <w:tc>
          <w:tcPr>
            <w:tcW w:w="16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 xml:space="preserve">6.3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6.30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2013999</w:t>
            </w:r>
          </w:p>
        </w:tc>
        <w:tc>
          <w:tcPr>
            <w:tcW w:w="1773"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其他社会工作事务支出</w:t>
            </w:r>
          </w:p>
        </w:tc>
        <w:tc>
          <w:tcPr>
            <w:tcW w:w="16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 xml:space="preserve">0.24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0.24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2050101</w:t>
            </w:r>
          </w:p>
        </w:tc>
        <w:tc>
          <w:tcPr>
            <w:tcW w:w="1773"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行政运行</w:t>
            </w:r>
          </w:p>
        </w:tc>
        <w:tc>
          <w:tcPr>
            <w:tcW w:w="16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 xml:space="preserve">5.28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5.28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color w:val="000000"/>
                <w:kern w:val="0"/>
                <w:sz w:val="22"/>
                <w:szCs w:val="22"/>
                <w:u w:val="none"/>
                <w:lang w:val="en-US" w:eastAsia="zh-CN" w:bidi="ar"/>
              </w:rPr>
              <w:t>0.00</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2080505</w:t>
            </w:r>
          </w:p>
        </w:tc>
        <w:tc>
          <w:tcPr>
            <w:tcW w:w="1773"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机关事业单位基本养老保险缴费支出</w:t>
            </w:r>
          </w:p>
        </w:tc>
        <w:tc>
          <w:tcPr>
            <w:tcW w:w="16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 xml:space="preserve">46.37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46.37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2080801</w:t>
            </w:r>
          </w:p>
        </w:tc>
        <w:tc>
          <w:tcPr>
            <w:tcW w:w="1773"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死亡抚恤</w:t>
            </w:r>
          </w:p>
        </w:tc>
        <w:tc>
          <w:tcPr>
            <w:tcW w:w="16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 xml:space="preserve">3.48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3.48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2101101</w:t>
            </w:r>
          </w:p>
        </w:tc>
        <w:tc>
          <w:tcPr>
            <w:tcW w:w="1773"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行政单位医疗</w:t>
            </w:r>
          </w:p>
        </w:tc>
        <w:tc>
          <w:tcPr>
            <w:tcW w:w="16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 xml:space="preserve">25.09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25.09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2101399</w:t>
            </w:r>
          </w:p>
        </w:tc>
        <w:tc>
          <w:tcPr>
            <w:tcW w:w="1773"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其他医疗救助支出</w:t>
            </w:r>
          </w:p>
        </w:tc>
        <w:tc>
          <w:tcPr>
            <w:tcW w:w="16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 xml:space="preserve">1.1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1.1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2120899</w:t>
            </w:r>
          </w:p>
        </w:tc>
        <w:tc>
          <w:tcPr>
            <w:tcW w:w="1773"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其他国有土地使用权出让收入安排的支出</w:t>
            </w:r>
          </w:p>
        </w:tc>
        <w:tc>
          <w:tcPr>
            <w:tcW w:w="16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 xml:space="preserve">17.28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17.28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2130126</w:t>
            </w:r>
          </w:p>
        </w:tc>
        <w:tc>
          <w:tcPr>
            <w:tcW w:w="1773"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农村社会事业</w:t>
            </w:r>
          </w:p>
        </w:tc>
        <w:tc>
          <w:tcPr>
            <w:tcW w:w="16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 xml:space="preserve">1.23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 xml:space="preserve">1.23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2130199</w:t>
            </w:r>
          </w:p>
        </w:tc>
        <w:tc>
          <w:tcPr>
            <w:tcW w:w="1773"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其他农业农村支出</w:t>
            </w:r>
          </w:p>
        </w:tc>
        <w:tc>
          <w:tcPr>
            <w:tcW w:w="16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 xml:space="preserve">20.84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 xml:space="preserve">20.84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2130599</w:t>
            </w:r>
          </w:p>
        </w:tc>
        <w:tc>
          <w:tcPr>
            <w:tcW w:w="1773"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其他巩固脱贫攻坚成果衔接乡村振兴支出</w:t>
            </w:r>
          </w:p>
        </w:tc>
        <w:tc>
          <w:tcPr>
            <w:tcW w:w="16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 xml:space="preserve">2.96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bidi="ar-SA"/>
              </w:rPr>
            </w:pPr>
            <w:r>
              <w:rPr>
                <w:rFonts w:hint="eastAsia" w:ascii="宋体" w:hAnsi="宋体" w:eastAsia="宋体" w:cs="宋体"/>
                <w:i w:val="0"/>
                <w:color w:val="000000"/>
                <w:kern w:val="0"/>
                <w:sz w:val="22"/>
                <w:szCs w:val="22"/>
                <w:u w:val="none"/>
                <w:lang w:val="en-US" w:eastAsia="zh-CN" w:bidi="ar"/>
              </w:rPr>
              <w:t xml:space="preserve">2.96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2130701</w:t>
            </w:r>
          </w:p>
        </w:tc>
        <w:tc>
          <w:tcPr>
            <w:tcW w:w="1773"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对村级公益事业建设的补助</w:t>
            </w:r>
          </w:p>
        </w:tc>
        <w:tc>
          <w:tcPr>
            <w:tcW w:w="16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 xml:space="preserve">59.00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lang w:val="en-US" w:eastAsia="zh-CN" w:bidi="ar-SA"/>
              </w:rPr>
            </w:pPr>
            <w:r>
              <w:rPr>
                <w:rFonts w:hint="eastAsia" w:ascii="宋体" w:hAnsi="宋体" w:eastAsia="宋体" w:cs="宋体"/>
                <w:i w:val="0"/>
                <w:color w:val="000000"/>
                <w:kern w:val="0"/>
                <w:sz w:val="22"/>
                <w:szCs w:val="22"/>
                <w:u w:val="none"/>
                <w:lang w:val="en-US" w:eastAsia="zh-CN" w:bidi="ar"/>
              </w:rPr>
              <w:t xml:space="preserve">59.00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2130705</w:t>
            </w:r>
          </w:p>
        </w:tc>
        <w:tc>
          <w:tcPr>
            <w:tcW w:w="1773"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对村民委员会和村党支部的补助</w:t>
            </w:r>
          </w:p>
        </w:tc>
        <w:tc>
          <w:tcPr>
            <w:tcW w:w="16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color w:val="000000"/>
                <w:kern w:val="0"/>
                <w:sz w:val="22"/>
                <w:szCs w:val="22"/>
                <w:u w:val="none"/>
                <w:lang w:val="en-US" w:eastAsia="zh-CN" w:bidi="ar"/>
              </w:rPr>
              <w:t>47.00</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lang w:val="en-US" w:eastAsia="zh-CN" w:bidi="ar-SA"/>
              </w:rPr>
            </w:pPr>
            <w:r>
              <w:rPr>
                <w:rFonts w:hint="eastAsia" w:ascii="宋体" w:hAnsi="宋体" w:eastAsia="宋体" w:cs="宋体"/>
                <w:i w:val="0"/>
                <w:color w:val="000000"/>
                <w:kern w:val="0"/>
                <w:sz w:val="22"/>
                <w:szCs w:val="22"/>
                <w:u w:val="none"/>
                <w:lang w:val="en-US" w:eastAsia="zh-CN" w:bidi="ar"/>
              </w:rPr>
              <w:t>47.00</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2139999</w:t>
            </w:r>
          </w:p>
        </w:tc>
        <w:tc>
          <w:tcPr>
            <w:tcW w:w="1773"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其他农林水支出</w:t>
            </w:r>
          </w:p>
        </w:tc>
        <w:tc>
          <w:tcPr>
            <w:tcW w:w="16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color w:val="000000"/>
                <w:kern w:val="0"/>
                <w:sz w:val="22"/>
                <w:szCs w:val="22"/>
                <w:u w:val="none"/>
                <w:lang w:val="en-US" w:eastAsia="zh-CN" w:bidi="ar"/>
              </w:rPr>
              <w:t>119.00</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bidi="ar-SA"/>
              </w:rPr>
            </w:pPr>
            <w:r>
              <w:rPr>
                <w:rFonts w:hint="eastAsia" w:ascii="宋体" w:hAnsi="宋体" w:eastAsia="宋体" w:cs="宋体"/>
                <w:i w:val="0"/>
                <w:color w:val="000000"/>
                <w:kern w:val="0"/>
                <w:sz w:val="22"/>
                <w:szCs w:val="22"/>
                <w:u w:val="none"/>
                <w:lang w:val="en-US" w:eastAsia="zh-CN" w:bidi="ar"/>
              </w:rPr>
              <w:t>119.00</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p>
        </w:tc>
        <w:tc>
          <w:tcPr>
            <w:tcW w:w="1773"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p>
        </w:tc>
        <w:tc>
          <w:tcPr>
            <w:tcW w:w="16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bidi="ar-SA"/>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pPr>
        <w:widowControl/>
        <w:jc w:val="both"/>
        <w:rPr>
          <w:rFonts w:ascii="Times New Roman" w:hAnsi="Times New Roman" w:eastAsia="方正小标宋_GBK" w:cs="Times New Roman"/>
          <w:color w:val="000000"/>
          <w:kern w:val="0"/>
          <w:sz w:val="36"/>
          <w:szCs w:val="21"/>
        </w:rPr>
      </w:pPr>
    </w:p>
    <w:p>
      <w:pPr>
        <w:widowControl/>
        <w:jc w:val="both"/>
        <w:rPr>
          <w:rFonts w:ascii="Times New Roman" w:hAnsi="Times New Roman" w:eastAsia="方正小标宋_GBK" w:cs="Times New Roman"/>
          <w:color w:val="000000"/>
          <w:kern w:val="0"/>
          <w:sz w:val="36"/>
          <w:szCs w:val="21"/>
        </w:rPr>
      </w:pPr>
    </w:p>
    <w:p>
      <w:pPr>
        <w:pStyle w:val="2"/>
        <w:rPr>
          <w:rFonts w:ascii="Times New Roman" w:hAnsi="Times New Roman" w:eastAsia="方正小标宋_GBK" w:cs="Times New Roman"/>
          <w:color w:val="000000"/>
          <w:kern w:val="0"/>
          <w:sz w:val="36"/>
          <w:szCs w:val="21"/>
        </w:rPr>
      </w:pPr>
    </w:p>
    <w:p>
      <w:pPr>
        <w:rPr>
          <w:rFonts w:ascii="Times New Roman" w:hAnsi="Times New Roman" w:eastAsia="方正小标宋_GBK" w:cs="Times New Roman"/>
          <w:color w:val="000000"/>
          <w:kern w:val="0"/>
          <w:sz w:val="36"/>
          <w:szCs w:val="21"/>
        </w:rPr>
      </w:pPr>
    </w:p>
    <w:p>
      <w:pPr>
        <w:pStyle w:val="2"/>
      </w:pPr>
    </w:p>
    <w:p>
      <w:pPr>
        <w:widowControl/>
        <w:jc w:val="both"/>
        <w:rPr>
          <w:rFonts w:ascii="Times New Roman" w:hAnsi="Times New Roman" w:eastAsia="方正小标宋_GBK" w:cs="Times New Roman"/>
          <w:color w:val="000000"/>
          <w:kern w:val="0"/>
          <w:sz w:val="36"/>
          <w:szCs w:val="21"/>
        </w:rPr>
      </w:pPr>
    </w:p>
    <w:tbl>
      <w:tblPr>
        <w:tblStyle w:val="10"/>
        <w:tblW w:w="15521" w:type="dxa"/>
        <w:tblInd w:w="93" w:type="dxa"/>
        <w:tblLayout w:type="autofit"/>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pPr>
              <w:widowControl/>
              <w:jc w:val="left"/>
              <w:rPr>
                <w:rFonts w:ascii="黑体" w:hAnsi="黑体" w:eastAsia="黑体" w:cs="宋体"/>
                <w:kern w:val="0"/>
                <w:sz w:val="24"/>
                <w:szCs w:val="24"/>
              </w:rPr>
            </w:pPr>
            <w:bookmarkStart w:id="4" w:name="RANGE!A1:I22"/>
            <w:bookmarkEnd w:id="4"/>
            <w:bookmarkStart w:id="5" w:name="RANGE!A1:F16"/>
          </w:p>
        </w:tc>
        <w:tc>
          <w:tcPr>
            <w:tcW w:w="436"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pPr>
              <w:widowControl/>
              <w:jc w:val="left"/>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val="en-US" w:eastAsia="zh-CN"/>
              </w:rPr>
              <w:t>道县乐福堂镇人民政府</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w:t>
            </w:r>
            <w:r>
              <w:rPr>
                <w:rFonts w:hint="eastAsia" w:ascii="宋体" w:hAnsi="宋体" w:eastAsia="宋体" w:cs="宋体"/>
                <w:color w:val="000000"/>
                <w:kern w:val="0"/>
                <w:sz w:val="20"/>
                <w:szCs w:val="20"/>
                <w:lang w:eastAsia="zh-CN"/>
              </w:rPr>
              <w:t>万</w:t>
            </w:r>
            <w:r>
              <w:rPr>
                <w:rFonts w:hint="eastAsia" w:ascii="宋体" w:hAnsi="宋体" w:eastAsia="宋体" w:cs="宋体"/>
                <w:color w:val="000000"/>
                <w:kern w:val="0"/>
                <w:sz w:val="20"/>
                <w:szCs w:val="20"/>
              </w:rPr>
              <w:t>元</w:t>
            </w:r>
          </w:p>
        </w:tc>
      </w:tr>
      <w:tr>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1132.99</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22"/>
                <w:lang w:val="en-US"/>
              </w:rPr>
            </w:pPr>
            <w:r>
              <w:rPr>
                <w:rFonts w:hint="eastAsia" w:ascii="宋体" w:hAnsi="宋体" w:eastAsia="宋体" w:cs="宋体"/>
                <w:i w:val="0"/>
                <w:color w:val="000000"/>
                <w:sz w:val="22"/>
                <w:szCs w:val="22"/>
                <w:u w:val="none"/>
                <w:lang w:val="en-US" w:eastAsia="zh-CN"/>
              </w:rPr>
              <w:t>15</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lang w:val="en-US"/>
              </w:rPr>
            </w:pPr>
            <w:r>
              <w:rPr>
                <w:rFonts w:hint="eastAsia" w:ascii="宋体" w:hAnsi="宋体" w:eastAsia="宋体" w:cs="宋体"/>
                <w:i w:val="0"/>
                <w:color w:val="000000"/>
                <w:sz w:val="22"/>
                <w:szCs w:val="22"/>
                <w:u w:val="none"/>
                <w:lang w:val="en-US" w:eastAsia="zh-CN"/>
              </w:rPr>
              <w:t>801.64</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szCs w:val="22"/>
                <w:lang w:val="en-US" w:eastAsia="zh-CN" w:bidi="ar-SA"/>
              </w:rPr>
            </w:pPr>
            <w:r>
              <w:rPr>
                <w:rFonts w:hint="eastAsia" w:ascii="宋体" w:hAnsi="宋体" w:eastAsia="宋体" w:cs="宋体"/>
                <w:i w:val="0"/>
                <w:color w:val="000000"/>
                <w:sz w:val="22"/>
                <w:szCs w:val="22"/>
                <w:u w:val="none"/>
                <w:lang w:val="en-US" w:eastAsia="zh-CN"/>
              </w:rPr>
              <w:t>801.64</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17.28</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二、社会保障和就业支出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22"/>
                <w:lang w:val="en-US"/>
              </w:rPr>
            </w:pPr>
            <w:r>
              <w:rPr>
                <w:rFonts w:hint="eastAsia" w:ascii="宋体" w:hAnsi="宋体" w:eastAsia="宋体" w:cs="宋体"/>
                <w:i w:val="0"/>
                <w:color w:val="000000"/>
                <w:sz w:val="22"/>
                <w:szCs w:val="22"/>
                <w:u w:val="none"/>
                <w:lang w:val="en-US" w:eastAsia="zh-CN"/>
              </w:rPr>
              <w:t>16</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lang w:val="en-US"/>
              </w:rPr>
            </w:pPr>
            <w:r>
              <w:rPr>
                <w:rFonts w:hint="eastAsia" w:ascii="宋体" w:hAnsi="宋体" w:eastAsia="宋体" w:cs="宋体"/>
                <w:i w:val="0"/>
                <w:color w:val="000000"/>
                <w:sz w:val="22"/>
                <w:szCs w:val="22"/>
                <w:u w:val="none"/>
                <w:lang w:val="en-US" w:eastAsia="zh-CN"/>
              </w:rPr>
              <w:t>49.85</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szCs w:val="22"/>
                <w:lang w:val="en-US" w:eastAsia="zh-CN" w:bidi="ar-SA"/>
              </w:rPr>
            </w:pPr>
            <w:r>
              <w:rPr>
                <w:rFonts w:hint="eastAsia" w:ascii="宋体" w:hAnsi="宋体" w:eastAsia="宋体" w:cs="宋体"/>
                <w:i w:val="0"/>
                <w:color w:val="000000"/>
                <w:sz w:val="22"/>
                <w:szCs w:val="22"/>
                <w:u w:val="none"/>
                <w:lang w:val="en-US" w:eastAsia="zh-CN"/>
              </w:rPr>
              <w:t>49.85</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三、城乡社区支出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22"/>
                <w:lang w:val="en-US"/>
              </w:rPr>
            </w:pPr>
            <w:r>
              <w:rPr>
                <w:rFonts w:hint="eastAsia" w:ascii="宋体" w:hAnsi="宋体" w:eastAsia="宋体" w:cs="宋体"/>
                <w:i w:val="0"/>
                <w:color w:val="000000"/>
                <w:kern w:val="2"/>
                <w:sz w:val="22"/>
                <w:szCs w:val="22"/>
                <w:u w:val="none"/>
                <w:lang w:val="en-US" w:eastAsia="zh-CN" w:bidi="ar-SA"/>
              </w:rPr>
              <w:t>17</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lang w:val="en-US"/>
              </w:rPr>
            </w:pPr>
            <w:r>
              <w:rPr>
                <w:rFonts w:hint="eastAsia" w:ascii="宋体" w:hAnsi="宋体" w:eastAsia="宋体" w:cs="宋体"/>
                <w:i w:val="0"/>
                <w:color w:val="000000"/>
                <w:sz w:val="22"/>
                <w:szCs w:val="22"/>
                <w:u w:val="none"/>
                <w:lang w:val="en-US" w:eastAsia="zh-CN"/>
              </w:rPr>
              <w:t>17.28</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17.28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四、农林水支出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kern w:val="2"/>
                <w:sz w:val="22"/>
                <w:szCs w:val="22"/>
                <w:u w:val="none"/>
                <w:lang w:val="en-US" w:eastAsia="zh-CN" w:bidi="ar-SA"/>
              </w:rPr>
              <w:t>18</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lang w:val="en-US"/>
              </w:rPr>
            </w:pPr>
            <w:r>
              <w:rPr>
                <w:rFonts w:hint="eastAsia" w:ascii="宋体" w:hAnsi="宋体" w:eastAsia="宋体" w:cs="宋体"/>
                <w:i w:val="0"/>
                <w:color w:val="000000"/>
                <w:sz w:val="22"/>
                <w:szCs w:val="22"/>
                <w:u w:val="none"/>
                <w:lang w:val="en-US" w:eastAsia="zh-CN"/>
              </w:rPr>
              <w:t>250.03</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szCs w:val="22"/>
                <w:lang w:val="en-US" w:eastAsia="zh-CN" w:bidi="ar-SA"/>
              </w:rPr>
            </w:pPr>
            <w:r>
              <w:rPr>
                <w:rFonts w:hint="eastAsia" w:ascii="宋体" w:hAnsi="宋体" w:eastAsia="宋体" w:cs="宋体"/>
                <w:i w:val="0"/>
                <w:color w:val="000000"/>
                <w:sz w:val="22"/>
                <w:szCs w:val="22"/>
                <w:u w:val="none"/>
                <w:lang w:val="en-US" w:eastAsia="zh-CN"/>
              </w:rPr>
              <w:t>250.03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5</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22"/>
                <w:lang w:val="en-US"/>
              </w:rPr>
            </w:pPr>
            <w:r>
              <w:rPr>
                <w:rFonts w:hint="eastAsia" w:ascii="宋体" w:hAnsi="宋体" w:eastAsia="宋体" w:cs="宋体"/>
                <w:i w:val="0"/>
                <w:color w:val="000000"/>
                <w:kern w:val="2"/>
                <w:sz w:val="22"/>
                <w:szCs w:val="22"/>
                <w:u w:val="none"/>
                <w:lang w:val="en-US" w:eastAsia="zh-CN" w:bidi="ar-SA"/>
              </w:rPr>
              <w:t>19</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lang w:val="en-US"/>
              </w:rPr>
            </w:pPr>
            <w:r>
              <w:rPr>
                <w:rFonts w:hint="eastAsia" w:ascii="宋体" w:hAnsi="宋体" w:eastAsia="宋体" w:cs="宋体"/>
                <w:i w:val="0"/>
                <w:color w:val="000000"/>
                <w:sz w:val="22"/>
                <w:szCs w:val="22"/>
                <w:u w:val="none"/>
                <w:lang w:val="en-US" w:eastAsia="zh-CN"/>
              </w:rPr>
              <w:t>5.28</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szCs w:val="22"/>
                <w:lang w:val="en-US" w:eastAsia="zh-CN" w:bidi="ar-SA"/>
              </w:rPr>
            </w:pPr>
            <w:r>
              <w:rPr>
                <w:rFonts w:hint="eastAsia" w:ascii="宋体" w:hAnsi="宋体" w:eastAsia="宋体" w:cs="宋体"/>
                <w:i w:val="0"/>
                <w:color w:val="000000"/>
                <w:sz w:val="22"/>
                <w:szCs w:val="22"/>
                <w:u w:val="none"/>
                <w:lang w:val="en-US" w:eastAsia="zh-CN"/>
              </w:rPr>
              <w:t>5.28</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6</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2"/>
                <w:sz w:val="22"/>
                <w:szCs w:val="22"/>
                <w:u w:val="none"/>
                <w:lang w:val="en-US" w:eastAsia="zh-CN" w:bidi="ar-SA"/>
              </w:rPr>
              <w:t>六、卫生健康支出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22"/>
                <w:lang w:val="en-US"/>
              </w:rPr>
            </w:pPr>
            <w:r>
              <w:rPr>
                <w:rFonts w:hint="eastAsia" w:ascii="宋体" w:hAnsi="宋体" w:eastAsia="宋体" w:cs="宋体"/>
                <w:i w:val="0"/>
                <w:color w:val="000000"/>
                <w:sz w:val="22"/>
                <w:szCs w:val="22"/>
                <w:u w:val="none"/>
                <w:lang w:val="en-US" w:eastAsia="zh-CN"/>
              </w:rPr>
              <w:t>20</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26.19</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26.19</w:t>
            </w:r>
          </w:p>
        </w:tc>
        <w:tc>
          <w:tcPr>
            <w:tcW w:w="1394"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宋体" w:hAnsi="宋体" w:eastAsia="宋体" w:cs="宋体"/>
                <w:kern w:val="0"/>
                <w:sz w:val="22"/>
                <w:lang w:val="en-US" w:eastAsia="zh-CN"/>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7</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kern w:val="0"/>
                <w:sz w:val="24"/>
                <w:szCs w:val="24"/>
                <w:lang w:val="en-US" w:eastAsia="zh-CN"/>
              </w:rPr>
            </w:pP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21</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lang w:val="en-US" w:eastAsia="zh-CN"/>
              </w:rPr>
            </w:pP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8</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9</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1150.27</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23</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rPr>
            </w:pPr>
            <w:r>
              <w:rPr>
                <w:rFonts w:hint="eastAsia" w:ascii="宋体" w:hAnsi="宋体" w:eastAsia="宋体" w:cs="宋体"/>
                <w:kern w:val="0"/>
                <w:sz w:val="22"/>
                <w:lang w:val="en-US" w:eastAsia="zh-CN"/>
              </w:rPr>
              <w:t>1150.27</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lang w:val="en-US" w:eastAsia="zh-CN"/>
              </w:rPr>
              <w:t>1132.99</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17.28</w:t>
            </w: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10</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25</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1150.27</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28</w:t>
            </w:r>
          </w:p>
        </w:tc>
        <w:tc>
          <w:tcPr>
            <w:tcW w:w="1573"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1150.27</w:t>
            </w:r>
          </w:p>
        </w:tc>
        <w:tc>
          <w:tcPr>
            <w:tcW w:w="139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lang w:val="en-US" w:eastAsia="zh-CN"/>
              </w:rPr>
              <w:t>1132.99</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i w:val="0"/>
                <w:color w:val="000000"/>
                <w:sz w:val="22"/>
                <w:szCs w:val="22"/>
                <w:u w:val="none"/>
                <w:lang w:val="en-US" w:eastAsia="zh-CN"/>
              </w:rPr>
              <w:t>17.28</w:t>
            </w: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both"/>
        <w:rPr>
          <w:rFonts w:hint="eastAsia" w:ascii="Times New Roman" w:hAnsi="Times New Roman" w:eastAsia="方正小标宋_GBK" w:cs="Times New Roman"/>
          <w:kern w:val="0"/>
          <w:sz w:val="36"/>
          <w:szCs w:val="36"/>
          <w:lang w:eastAsia="zh-CN"/>
        </w:rPr>
      </w:pPr>
    </w:p>
    <w:p>
      <w:pPr>
        <w:rPr>
          <w:rFonts w:hint="eastAsia"/>
          <w:lang w:eastAsia="zh-CN"/>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5"/>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val="en-US" w:eastAsia="zh-CN"/>
        </w:rPr>
        <w:t>道县乐福堂镇人民政府</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w:t>
      </w:r>
      <w:r>
        <w:rPr>
          <w:rFonts w:hint="eastAsia" w:ascii="Times New Roman" w:hAnsi="Times New Roman" w:eastAsia="仿宋_GB2312" w:cs="Times New Roman"/>
          <w:color w:val="000000"/>
          <w:kern w:val="0"/>
          <w:szCs w:val="21"/>
          <w:lang w:val="en-US" w:eastAsia="zh-CN"/>
        </w:rPr>
        <w:t>万</w:t>
      </w:r>
      <w:r>
        <w:rPr>
          <w:rFonts w:ascii="Times New Roman" w:hAnsi="Times New Roman" w:eastAsia="仿宋_GB2312" w:cs="Times New Roman"/>
          <w:color w:val="000000"/>
          <w:kern w:val="0"/>
          <w:szCs w:val="21"/>
        </w:rPr>
        <w:t>元</w:t>
      </w:r>
    </w:p>
    <w:tbl>
      <w:tblPr>
        <w:tblStyle w:val="10"/>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1150.27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701.46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448.81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2010108</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代表工作</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2.58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0.00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2.58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2010301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524.46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524.46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0.00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2010399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其他政府办公厅（室）及相关机构事务支出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268.06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100.30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167.80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2011199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其他纪检监察事务支出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6.3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0.00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6.30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2013999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其他社会工作事务支出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0.24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0.00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0.24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2050101</w:t>
            </w: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行政运行</w:t>
            </w:r>
          </w:p>
        </w:tc>
        <w:tc>
          <w:tcPr>
            <w:tcW w:w="300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5.28 </w:t>
            </w:r>
          </w:p>
        </w:tc>
        <w:tc>
          <w:tcPr>
            <w:tcW w:w="349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5.28  </w:t>
            </w: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2080505</w:t>
            </w: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机关事业单位基本养老保险缴费支出</w:t>
            </w:r>
          </w:p>
        </w:tc>
        <w:tc>
          <w:tcPr>
            <w:tcW w:w="300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46.37 </w:t>
            </w:r>
          </w:p>
        </w:tc>
        <w:tc>
          <w:tcPr>
            <w:tcW w:w="349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46.37 </w:t>
            </w: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0.00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2080801</w:t>
            </w: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死亡抚恤</w:t>
            </w:r>
          </w:p>
        </w:tc>
        <w:tc>
          <w:tcPr>
            <w:tcW w:w="300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3.48 </w:t>
            </w:r>
          </w:p>
        </w:tc>
        <w:tc>
          <w:tcPr>
            <w:tcW w:w="349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0.00 </w:t>
            </w: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3.48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2101101</w:t>
            </w: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行政单位医疗</w:t>
            </w:r>
          </w:p>
        </w:tc>
        <w:tc>
          <w:tcPr>
            <w:tcW w:w="300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25.09 </w:t>
            </w:r>
          </w:p>
        </w:tc>
        <w:tc>
          <w:tcPr>
            <w:tcW w:w="349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25.09 </w:t>
            </w: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0.00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2101399</w:t>
            </w: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其他医疗救助支出</w:t>
            </w:r>
          </w:p>
        </w:tc>
        <w:tc>
          <w:tcPr>
            <w:tcW w:w="300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1.1 </w:t>
            </w:r>
          </w:p>
        </w:tc>
        <w:tc>
          <w:tcPr>
            <w:tcW w:w="349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0.00 </w:t>
            </w: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1.1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2120899</w:t>
            </w: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其他国有土地使用权出让收入安排的支出</w:t>
            </w:r>
          </w:p>
        </w:tc>
        <w:tc>
          <w:tcPr>
            <w:tcW w:w="300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17.28 </w:t>
            </w:r>
          </w:p>
        </w:tc>
        <w:tc>
          <w:tcPr>
            <w:tcW w:w="349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0.00 </w:t>
            </w: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17.28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2130126</w:t>
            </w: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农村社会事业</w:t>
            </w:r>
          </w:p>
        </w:tc>
        <w:tc>
          <w:tcPr>
            <w:tcW w:w="300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1.23 </w:t>
            </w:r>
          </w:p>
        </w:tc>
        <w:tc>
          <w:tcPr>
            <w:tcW w:w="349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0.00 </w:t>
            </w: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1.23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2130199</w:t>
            </w: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其他农业农村支出</w:t>
            </w:r>
          </w:p>
        </w:tc>
        <w:tc>
          <w:tcPr>
            <w:tcW w:w="300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20.84 </w:t>
            </w:r>
          </w:p>
        </w:tc>
        <w:tc>
          <w:tcPr>
            <w:tcW w:w="349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0.00 </w:t>
            </w: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20.84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2130599</w:t>
            </w: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其他巩固脱贫攻坚成果衔接乡村振兴支出</w:t>
            </w:r>
          </w:p>
        </w:tc>
        <w:tc>
          <w:tcPr>
            <w:tcW w:w="300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2.96 </w:t>
            </w:r>
          </w:p>
        </w:tc>
        <w:tc>
          <w:tcPr>
            <w:tcW w:w="349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0.00 </w:t>
            </w: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2.96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2130701</w:t>
            </w: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对村级公益事业建设的补助</w:t>
            </w:r>
          </w:p>
        </w:tc>
        <w:tc>
          <w:tcPr>
            <w:tcW w:w="300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59.00 </w:t>
            </w:r>
          </w:p>
        </w:tc>
        <w:tc>
          <w:tcPr>
            <w:tcW w:w="349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0.00 </w:t>
            </w: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59.00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2130705</w:t>
            </w: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对村民委员会和村党支部的补助</w:t>
            </w:r>
          </w:p>
        </w:tc>
        <w:tc>
          <w:tcPr>
            <w:tcW w:w="300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47.00</w:t>
            </w:r>
          </w:p>
        </w:tc>
        <w:tc>
          <w:tcPr>
            <w:tcW w:w="349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0.00</w:t>
            </w: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47.00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2139999</w:t>
            </w: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其他农林水支出</w:t>
            </w:r>
          </w:p>
        </w:tc>
        <w:tc>
          <w:tcPr>
            <w:tcW w:w="300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119.00</w:t>
            </w:r>
          </w:p>
        </w:tc>
        <w:tc>
          <w:tcPr>
            <w:tcW w:w="349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0.00</w:t>
            </w: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bidi="ar"/>
              </w:rPr>
              <w:t>119.00</w:t>
            </w:r>
          </w:p>
        </w:tc>
      </w:tr>
      <w:tr>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10"/>
        <w:tblW w:w="0" w:type="auto"/>
        <w:tblInd w:w="0" w:type="dxa"/>
        <w:tblLayout w:type="fixed"/>
        <w:tblCellMar>
          <w:top w:w="0" w:type="dxa"/>
          <w:left w:w="108" w:type="dxa"/>
          <w:bottom w:w="0" w:type="dxa"/>
          <w:right w:w="108" w:type="dxa"/>
        </w:tblCellMar>
      </w:tblPr>
      <w:tblGrid>
        <w:gridCol w:w="909"/>
        <w:gridCol w:w="237"/>
        <w:gridCol w:w="85"/>
        <w:gridCol w:w="1176"/>
        <w:gridCol w:w="1836"/>
        <w:gridCol w:w="128"/>
        <w:gridCol w:w="1251"/>
        <w:gridCol w:w="1102"/>
        <w:gridCol w:w="276"/>
        <w:gridCol w:w="1789"/>
        <w:gridCol w:w="241"/>
        <w:gridCol w:w="1138"/>
        <w:gridCol w:w="1103"/>
        <w:gridCol w:w="318"/>
        <w:gridCol w:w="1892"/>
        <w:gridCol w:w="506"/>
        <w:gridCol w:w="1391"/>
        <w:gridCol w:w="236"/>
      </w:tblGrid>
      <w:tr>
        <w:tblPrEx>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6" w:name="RANGE!A1:I34"/>
            <w:r>
              <w:rPr>
                <w:rFonts w:hint="eastAsia" w:ascii="华文中宋" w:hAnsi="华文中宋" w:eastAsia="华文中宋" w:cs="宋体"/>
                <w:color w:val="000000"/>
                <w:kern w:val="0"/>
                <w:szCs w:val="32"/>
              </w:rPr>
              <w:t>一般公共预算财政拨款基本支出决算明细表</w:t>
            </w:r>
            <w:bookmarkEnd w:id="6"/>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val="en-US" w:eastAsia="zh-CN"/>
              </w:rPr>
              <w:t xml:space="preserve">道县乐福堂镇人民政府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w:t>
            </w:r>
            <w:r>
              <w:rPr>
                <w:rFonts w:hint="eastAsia" w:ascii="Times New Roman" w:hAnsi="Times New Roman" w:eastAsia="仿宋_GB2312" w:cs="Times New Roman"/>
                <w:color w:val="000000"/>
                <w:kern w:val="0"/>
                <w:szCs w:val="21"/>
                <w:lang w:val="en-US" w:eastAsia="zh-CN"/>
              </w:rPr>
              <w:t>万</w:t>
            </w:r>
            <w:r>
              <w:rPr>
                <w:rFonts w:hint="eastAsia" w:ascii="Times New Roman" w:hAnsi="Times New Roman" w:eastAsia="仿宋_GB2312" w:cs="Times New Roman"/>
                <w:color w:val="000000"/>
                <w:kern w:val="0"/>
                <w:szCs w:val="21"/>
              </w:rPr>
              <w:t>元</w:t>
            </w:r>
          </w:p>
        </w:tc>
      </w:tr>
      <w:tr>
        <w:tblPrEx>
          <w:tblCellMar>
            <w:top w:w="0" w:type="dxa"/>
            <w:left w:w="108" w:type="dxa"/>
            <w:bottom w:w="0" w:type="dxa"/>
            <w:right w:w="108" w:type="dxa"/>
          </w:tblCellMar>
        </w:tblPrEx>
        <w:trPr>
          <w:trHeight w:val="113" w:hRule="atLeast"/>
        </w:trPr>
        <w:tc>
          <w:tcPr>
            <w:tcW w:w="123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012"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37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0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065"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37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0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716"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627"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0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626.93 </w:t>
            </w:r>
          </w:p>
        </w:tc>
        <w:tc>
          <w:tcPr>
            <w:tcW w:w="110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06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73.33 </w:t>
            </w:r>
          </w:p>
        </w:tc>
        <w:tc>
          <w:tcPr>
            <w:tcW w:w="110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271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162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0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307.37 </w:t>
            </w:r>
          </w:p>
        </w:tc>
        <w:tc>
          <w:tcPr>
            <w:tcW w:w="110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06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3.69 </w:t>
            </w:r>
          </w:p>
        </w:tc>
        <w:tc>
          <w:tcPr>
            <w:tcW w:w="110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271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162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0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123.68 </w:t>
            </w:r>
          </w:p>
        </w:tc>
        <w:tc>
          <w:tcPr>
            <w:tcW w:w="110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06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5.34 </w:t>
            </w:r>
          </w:p>
        </w:tc>
        <w:tc>
          <w:tcPr>
            <w:tcW w:w="110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271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162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0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99.43 </w:t>
            </w:r>
          </w:p>
        </w:tc>
        <w:tc>
          <w:tcPr>
            <w:tcW w:w="110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06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0.00 </w:t>
            </w:r>
          </w:p>
        </w:tc>
        <w:tc>
          <w:tcPr>
            <w:tcW w:w="110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271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162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0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0.00 </w:t>
            </w:r>
          </w:p>
        </w:tc>
        <w:tc>
          <w:tcPr>
            <w:tcW w:w="110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06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0.00 </w:t>
            </w:r>
          </w:p>
        </w:tc>
        <w:tc>
          <w:tcPr>
            <w:tcW w:w="110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271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162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0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15.27 </w:t>
            </w:r>
          </w:p>
        </w:tc>
        <w:tc>
          <w:tcPr>
            <w:tcW w:w="110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06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0.00 </w:t>
            </w:r>
          </w:p>
        </w:tc>
        <w:tc>
          <w:tcPr>
            <w:tcW w:w="110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271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162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0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49.09 </w:t>
            </w:r>
          </w:p>
        </w:tc>
        <w:tc>
          <w:tcPr>
            <w:tcW w:w="110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06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3.61 </w:t>
            </w:r>
          </w:p>
        </w:tc>
        <w:tc>
          <w:tcPr>
            <w:tcW w:w="110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271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162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0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0.17 </w:t>
            </w:r>
          </w:p>
        </w:tc>
        <w:tc>
          <w:tcPr>
            <w:tcW w:w="110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06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1.29 </w:t>
            </w:r>
          </w:p>
        </w:tc>
        <w:tc>
          <w:tcPr>
            <w:tcW w:w="110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271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162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0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27.15 </w:t>
            </w:r>
          </w:p>
        </w:tc>
        <w:tc>
          <w:tcPr>
            <w:tcW w:w="110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06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0.00 </w:t>
            </w:r>
          </w:p>
        </w:tc>
        <w:tc>
          <w:tcPr>
            <w:tcW w:w="110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271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162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0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0.90 </w:t>
            </w:r>
          </w:p>
        </w:tc>
        <w:tc>
          <w:tcPr>
            <w:tcW w:w="110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06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0.00 </w:t>
            </w:r>
          </w:p>
        </w:tc>
        <w:tc>
          <w:tcPr>
            <w:tcW w:w="110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271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162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0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1.65 </w:t>
            </w:r>
          </w:p>
        </w:tc>
        <w:tc>
          <w:tcPr>
            <w:tcW w:w="110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06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0.02 </w:t>
            </w:r>
          </w:p>
        </w:tc>
        <w:tc>
          <w:tcPr>
            <w:tcW w:w="110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271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162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0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2.23 </w:t>
            </w:r>
          </w:p>
        </w:tc>
        <w:tc>
          <w:tcPr>
            <w:tcW w:w="110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06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0.00 </w:t>
            </w:r>
          </w:p>
        </w:tc>
        <w:tc>
          <w:tcPr>
            <w:tcW w:w="110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271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162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0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0.00 </w:t>
            </w:r>
          </w:p>
        </w:tc>
        <w:tc>
          <w:tcPr>
            <w:tcW w:w="110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06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3.61 </w:t>
            </w:r>
          </w:p>
        </w:tc>
        <w:tc>
          <w:tcPr>
            <w:tcW w:w="110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271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162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0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0.01 </w:t>
            </w:r>
          </w:p>
        </w:tc>
        <w:tc>
          <w:tcPr>
            <w:tcW w:w="110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06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0.00 </w:t>
            </w:r>
          </w:p>
        </w:tc>
        <w:tc>
          <w:tcPr>
            <w:tcW w:w="110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271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162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0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1.19 </w:t>
            </w:r>
          </w:p>
        </w:tc>
        <w:tc>
          <w:tcPr>
            <w:tcW w:w="110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06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0.00 </w:t>
            </w:r>
          </w:p>
        </w:tc>
        <w:tc>
          <w:tcPr>
            <w:tcW w:w="110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271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162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0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0.00 </w:t>
            </w:r>
          </w:p>
        </w:tc>
        <w:tc>
          <w:tcPr>
            <w:tcW w:w="110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06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0.64 </w:t>
            </w:r>
          </w:p>
        </w:tc>
        <w:tc>
          <w:tcPr>
            <w:tcW w:w="110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271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162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0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0.00 </w:t>
            </w:r>
          </w:p>
        </w:tc>
        <w:tc>
          <w:tcPr>
            <w:tcW w:w="110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06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0.00 </w:t>
            </w:r>
          </w:p>
        </w:tc>
        <w:tc>
          <w:tcPr>
            <w:tcW w:w="110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271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162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0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0.00 </w:t>
            </w:r>
          </w:p>
        </w:tc>
        <w:tc>
          <w:tcPr>
            <w:tcW w:w="110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06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3.02 </w:t>
            </w:r>
          </w:p>
        </w:tc>
        <w:tc>
          <w:tcPr>
            <w:tcW w:w="110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271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162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0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0.00 </w:t>
            </w:r>
          </w:p>
        </w:tc>
        <w:tc>
          <w:tcPr>
            <w:tcW w:w="110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06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0.00 </w:t>
            </w:r>
          </w:p>
        </w:tc>
        <w:tc>
          <w:tcPr>
            <w:tcW w:w="110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271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162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0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1.08 </w:t>
            </w:r>
          </w:p>
        </w:tc>
        <w:tc>
          <w:tcPr>
            <w:tcW w:w="110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06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0.00 </w:t>
            </w:r>
          </w:p>
        </w:tc>
        <w:tc>
          <w:tcPr>
            <w:tcW w:w="110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271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162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0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0.00 </w:t>
            </w:r>
          </w:p>
        </w:tc>
        <w:tc>
          <w:tcPr>
            <w:tcW w:w="110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06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3.66 </w:t>
            </w:r>
          </w:p>
        </w:tc>
        <w:tc>
          <w:tcPr>
            <w:tcW w:w="110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271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162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0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0.00 </w:t>
            </w:r>
          </w:p>
        </w:tc>
        <w:tc>
          <w:tcPr>
            <w:tcW w:w="110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06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0.00 </w:t>
            </w:r>
          </w:p>
        </w:tc>
        <w:tc>
          <w:tcPr>
            <w:tcW w:w="110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271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162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0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0.00 </w:t>
            </w:r>
          </w:p>
        </w:tc>
        <w:tc>
          <w:tcPr>
            <w:tcW w:w="110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06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14.5 </w:t>
            </w:r>
          </w:p>
        </w:tc>
        <w:tc>
          <w:tcPr>
            <w:tcW w:w="110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271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162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0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0.06 </w:t>
            </w:r>
          </w:p>
        </w:tc>
        <w:tc>
          <w:tcPr>
            <w:tcW w:w="110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06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13.29 </w:t>
            </w:r>
          </w:p>
        </w:tc>
        <w:tc>
          <w:tcPr>
            <w:tcW w:w="110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2716"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jc w:val="left"/>
              <w:rPr>
                <w:rFonts w:hint="eastAsia" w:ascii="宋体" w:hAnsi="宋体" w:eastAsia="宋体" w:cs="宋体"/>
                <w:color w:val="000000"/>
                <w:kern w:val="0"/>
                <w:szCs w:val="20"/>
              </w:rPr>
            </w:pPr>
          </w:p>
          <w:tbl>
            <w:tblPr>
              <w:tblStyle w:val="10"/>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2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hint="eastAsia" w:ascii="宋体" w:hAnsi="宋体" w:eastAsia="宋体" w:cs="宋体"/>
                <w:color w:val="000000"/>
                <w:kern w:val="0"/>
                <w:szCs w:val="20"/>
              </w:rPr>
            </w:pPr>
          </w:p>
          <w:tbl>
            <w:tblPr>
              <w:tblStyle w:val="10"/>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2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ascii="宋体" w:hAnsi="宋体" w:eastAsia="宋体" w:cs="宋体"/>
                <w:color w:val="000000"/>
                <w:kern w:val="0"/>
                <w:szCs w:val="20"/>
              </w:rPr>
            </w:pPr>
          </w:p>
        </w:tc>
        <w:tc>
          <w:tcPr>
            <w:tcW w:w="162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0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0.00 </w:t>
            </w:r>
          </w:p>
        </w:tc>
        <w:tc>
          <w:tcPr>
            <w:tcW w:w="110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06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3.5 </w:t>
            </w:r>
          </w:p>
        </w:tc>
        <w:tc>
          <w:tcPr>
            <w:tcW w:w="110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2716"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162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0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0.00 </w:t>
            </w:r>
          </w:p>
        </w:tc>
        <w:tc>
          <w:tcPr>
            <w:tcW w:w="110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06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16.67</w:t>
            </w:r>
          </w:p>
        </w:tc>
        <w:tc>
          <w:tcPr>
            <w:tcW w:w="110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271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162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0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0.11 </w:t>
            </w:r>
          </w:p>
        </w:tc>
        <w:tc>
          <w:tcPr>
            <w:tcW w:w="110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06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10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271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62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0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37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0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06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0.49</w:t>
            </w:r>
          </w:p>
        </w:tc>
        <w:tc>
          <w:tcPr>
            <w:tcW w:w="110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271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62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4243"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3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color w:val="000000"/>
                <w:kern w:val="0"/>
                <w:szCs w:val="20"/>
              </w:rPr>
              <w:t>　</w:t>
            </w:r>
            <w:r>
              <w:rPr>
                <w:rFonts w:hint="eastAsia" w:ascii="宋体" w:hAnsi="宋体" w:eastAsia="宋体" w:cs="宋体"/>
                <w:i w:val="0"/>
                <w:iCs w:val="0"/>
                <w:color w:val="000000"/>
                <w:kern w:val="0"/>
                <w:sz w:val="22"/>
                <w:szCs w:val="22"/>
                <w:u w:val="none"/>
                <w:lang w:val="en-US" w:eastAsia="zh-CN" w:bidi="ar"/>
              </w:rPr>
              <w:t>464.55</w:t>
            </w:r>
          </w:p>
          <w:p>
            <w:pPr>
              <w:widowControl/>
              <w:jc w:val="left"/>
              <w:rPr>
                <w:rFonts w:ascii="宋体" w:hAnsi="宋体" w:eastAsia="宋体" w:cs="宋体"/>
                <w:color w:val="000000"/>
                <w:kern w:val="0"/>
                <w:szCs w:val="20"/>
              </w:rPr>
            </w:pPr>
          </w:p>
        </w:tc>
        <w:tc>
          <w:tcPr>
            <w:tcW w:w="8365" w:type="dxa"/>
            <w:gridSpan w:val="9"/>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1627" w:type="dxa"/>
            <w:gridSpan w:val="2"/>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73.33</w:t>
            </w:r>
          </w:p>
        </w:tc>
      </w:tr>
      <w:tr>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6" w:type="dxa"/>
          <w:trHeight w:val="690" w:hRule="atLeast"/>
        </w:trPr>
        <w:tc>
          <w:tcPr>
            <w:tcW w:w="15378" w:type="dxa"/>
            <w:gridSpan w:val="17"/>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6" w:type="dxa"/>
          <w:trHeight w:val="345" w:hRule="atLeast"/>
        </w:trPr>
        <w:tc>
          <w:tcPr>
            <w:tcW w:w="909"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37"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261"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964"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62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30"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55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892"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897"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6" w:type="dxa"/>
          <w:trHeight w:val="690" w:hRule="atLeast"/>
        </w:trPr>
        <w:tc>
          <w:tcPr>
            <w:tcW w:w="4371" w:type="dxa"/>
            <w:gridSpan w:val="6"/>
            <w:tcBorders>
              <w:top w:val="nil"/>
              <w:left w:val="nil"/>
              <w:bottom w:val="nil"/>
              <w:right w:val="nil"/>
            </w:tcBorders>
            <w:shd w:val="clear" w:color="auto" w:fill="FFFFFF"/>
            <w:noWrap/>
            <w:vAlign w:val="center"/>
          </w:tcPr>
          <w:p>
            <w:pP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部门：道县乐福堂镇人民政府</w:t>
            </w:r>
          </w:p>
        </w:tc>
        <w:tc>
          <w:tcPr>
            <w:tcW w:w="262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30"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55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892"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897"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6" w:type="dxa"/>
          <w:trHeight w:val="459" w:hRule="atLeast"/>
        </w:trPr>
        <w:tc>
          <w:tcPr>
            <w:tcW w:w="240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7"/>
                <w:lang w:val="en-US" w:eastAsia="zh-CN" w:bidi="ar"/>
              </w:rPr>
              <w:t xml:space="preserve">   </w:t>
            </w:r>
            <w:r>
              <w:rPr>
                <w:rStyle w:val="18"/>
                <w:lang w:val="en-US" w:eastAsia="zh-CN" w:bidi="ar"/>
              </w:rPr>
              <w:t>目</w:t>
            </w:r>
          </w:p>
        </w:tc>
        <w:tc>
          <w:tcPr>
            <w:tcW w:w="196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62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48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189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6" w:type="dxa"/>
          <w:trHeight w:val="609" w:hRule="atLeast"/>
        </w:trPr>
        <w:tc>
          <w:tcPr>
            <w:tcW w:w="114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26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196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62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55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18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189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6" w:type="dxa"/>
          <w:trHeight w:val="409" w:hRule="atLeast"/>
        </w:trPr>
        <w:tc>
          <w:tcPr>
            <w:tcW w:w="11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6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96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62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55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8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89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6" w:type="dxa"/>
          <w:trHeight w:val="509" w:hRule="atLeast"/>
        </w:trPr>
        <w:tc>
          <w:tcPr>
            <w:tcW w:w="11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6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96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62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55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8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89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6" w:type="dxa"/>
          <w:trHeight w:val="509" w:hRule="atLeast"/>
        </w:trPr>
        <w:tc>
          <w:tcPr>
            <w:tcW w:w="240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19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6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0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5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18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6" w:type="dxa"/>
          <w:trHeight w:val="509" w:hRule="atLeast"/>
        </w:trPr>
        <w:tc>
          <w:tcPr>
            <w:tcW w:w="240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19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6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17.28</w:t>
            </w:r>
          </w:p>
        </w:tc>
        <w:tc>
          <w:tcPr>
            <w:tcW w:w="20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17.28</w:t>
            </w:r>
          </w:p>
        </w:tc>
        <w:tc>
          <w:tcPr>
            <w:tcW w:w="25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8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17.28</w:t>
            </w:r>
          </w:p>
        </w:tc>
        <w:tc>
          <w:tcPr>
            <w:tcW w:w="18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6" w:type="dxa"/>
          <w:trHeight w:val="509" w:hRule="atLeast"/>
        </w:trPr>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2"/>
                <w:szCs w:val="22"/>
                <w:u w:val="none"/>
                <w:lang w:val="en-US" w:eastAsia="zh-CN" w:bidi="ar"/>
              </w:rPr>
              <w:t>2120899</w:t>
            </w:r>
          </w:p>
        </w:tc>
        <w:tc>
          <w:tcPr>
            <w:tcW w:w="12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2"/>
                <w:szCs w:val="22"/>
                <w:u w:val="none"/>
                <w:lang w:val="en-US" w:eastAsia="zh-CN" w:bidi="ar"/>
              </w:rPr>
              <w:t>其他国有土地使用权出让收入安排的支出</w:t>
            </w:r>
          </w:p>
        </w:tc>
        <w:tc>
          <w:tcPr>
            <w:tcW w:w="19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6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17.28</w:t>
            </w:r>
          </w:p>
        </w:tc>
        <w:tc>
          <w:tcPr>
            <w:tcW w:w="20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17.28</w:t>
            </w:r>
          </w:p>
        </w:tc>
        <w:tc>
          <w:tcPr>
            <w:tcW w:w="25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kern w:val="2"/>
                <w:sz w:val="24"/>
                <w:szCs w:val="24"/>
                <w:u w:val="none"/>
                <w:lang w:val="en-US" w:eastAsia="zh-CN" w:bidi="ar-SA"/>
              </w:rPr>
            </w:pPr>
          </w:p>
        </w:tc>
        <w:tc>
          <w:tcPr>
            <w:tcW w:w="18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17.28</w:t>
            </w:r>
          </w:p>
        </w:tc>
        <w:tc>
          <w:tcPr>
            <w:tcW w:w="18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6" w:type="dxa"/>
          <w:trHeight w:val="509" w:hRule="atLeast"/>
        </w:trPr>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19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6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5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8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8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6" w:type="dxa"/>
          <w:trHeight w:val="509" w:hRule="atLeast"/>
        </w:trPr>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9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6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5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8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8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6" w:type="dxa"/>
          <w:trHeight w:val="725" w:hRule="atLeast"/>
        </w:trPr>
        <w:tc>
          <w:tcPr>
            <w:tcW w:w="15378" w:type="dxa"/>
            <w:gridSpan w:val="17"/>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tc>
      </w:tr>
    </w:tbl>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tbl>
      <w:tblPr>
        <w:tblStyle w:val="10"/>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16"/>
        <w:gridCol w:w="636"/>
        <w:gridCol w:w="2043"/>
        <w:gridCol w:w="2927"/>
        <w:gridCol w:w="2927"/>
        <w:gridCol w:w="37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281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63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043"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927"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927"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部门：道县乐福堂镇人民政府</w:t>
            </w:r>
          </w:p>
        </w:tc>
        <w:tc>
          <w:tcPr>
            <w:tcW w:w="63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043"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927"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927"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54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19"/>
                <w:lang w:val="en-US" w:eastAsia="zh-CN" w:bidi="ar"/>
              </w:rPr>
              <w:t>目</w:t>
            </w:r>
          </w:p>
        </w:tc>
        <w:tc>
          <w:tcPr>
            <w:tcW w:w="96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345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0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29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29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37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34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7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34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7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54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2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3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54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292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92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7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34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92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92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7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34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92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92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7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34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92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92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7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34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92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92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7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w:t>
            </w:r>
          </w:p>
        </w:tc>
      </w:tr>
    </w:tbl>
    <w:p>
      <w:pPr>
        <w:widowControl/>
        <w:jc w:val="center"/>
        <w:rPr>
          <w:rFonts w:hint="eastAsia" w:ascii="Times New Roman" w:hAnsi="Times New Roman" w:eastAsia="方正小标宋_GBK" w:cs="Times New Roman"/>
          <w:color w:val="000000"/>
          <w:kern w:val="0"/>
          <w:sz w:val="36"/>
          <w:szCs w:val="36"/>
        </w:rPr>
      </w:pPr>
    </w:p>
    <w:tbl>
      <w:tblPr>
        <w:tblStyle w:val="10"/>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16"/>
        <w:gridCol w:w="1154"/>
        <w:gridCol w:w="1095"/>
        <w:gridCol w:w="1095"/>
        <w:gridCol w:w="1095"/>
        <w:gridCol w:w="1095"/>
        <w:gridCol w:w="1095"/>
        <w:gridCol w:w="1155"/>
        <w:gridCol w:w="1095"/>
        <w:gridCol w:w="1095"/>
        <w:gridCol w:w="1095"/>
        <w:gridCol w:w="12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部门：道县乐福堂镇人民政府</w:t>
            </w: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 xml:space="preserve">3.50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0.00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 xml:space="preserve">3.50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0.00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 xml:space="preserve">3.50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 xml:space="preserve">0.00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 xml:space="preserve">3.50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0.00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 xml:space="preserve">3.50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0.00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 xml:space="preserve">3.50 </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pPr>
        <w:pStyle w:val="14"/>
        <w:rPr>
          <w:sz w:val="72"/>
          <w:szCs w:val="72"/>
        </w:rPr>
      </w:pPr>
    </w:p>
    <w:p>
      <w:pPr>
        <w:pStyle w:val="14"/>
        <w:rPr>
          <w:sz w:val="72"/>
          <w:szCs w:val="72"/>
        </w:rPr>
      </w:pPr>
    </w:p>
    <w:p>
      <w:pPr>
        <w:pStyle w:val="14"/>
        <w:rPr>
          <w:sz w:val="72"/>
          <w:szCs w:val="72"/>
        </w:rPr>
      </w:pPr>
    </w:p>
    <w:p>
      <w:pPr>
        <w:pStyle w:val="14"/>
        <w:rPr>
          <w:sz w:val="72"/>
          <w:szCs w:val="72"/>
        </w:rPr>
      </w:pPr>
    </w:p>
    <w:p>
      <w:pPr>
        <w:pStyle w:val="14"/>
        <w:jc w:val="center"/>
        <w:rPr>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4"/>
        <w:jc w:val="center"/>
        <w:rPr>
          <w:rFonts w:hint="eastAsia" w:ascii="方正小标宋_GBK" w:hAnsi="方正小标宋_GBK" w:eastAsia="方正小标宋_GBK" w:cs="方正小标宋_GBK"/>
          <w:sz w:val="70"/>
          <w:szCs w:val="70"/>
        </w:rPr>
      </w:pPr>
    </w:p>
    <w:p>
      <w:pPr>
        <w:pStyle w:val="14"/>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w:t>
      </w:r>
      <w:r>
        <w:rPr>
          <w:rFonts w:hint="eastAsia" w:ascii="方正小标宋_GBK" w:hAnsi="方正小标宋_GBK" w:eastAsia="方正小标宋_GBK" w:cs="方正小标宋_GBK"/>
          <w:sz w:val="70"/>
          <w:szCs w:val="70"/>
        </w:rPr>
        <w:t>年度部门决算情况说明</w:t>
      </w:r>
    </w:p>
    <w:p>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年度收入总计</w:t>
      </w:r>
      <w:r>
        <w:rPr>
          <w:rFonts w:hint="eastAsia" w:ascii="Times New Roman" w:hAnsi="Times New Roman" w:eastAsia="仿宋_GB2312"/>
          <w:sz w:val="32"/>
          <w:szCs w:val="32"/>
          <w:lang w:val="en-US" w:eastAsia="zh-CN"/>
        </w:rPr>
        <w:t>1150.27</w:t>
      </w:r>
      <w:r>
        <w:rPr>
          <w:rFonts w:hint="eastAsia" w:ascii="Times New Roman" w:hAnsi="Times New Roman" w:eastAsia="仿宋_GB2312"/>
          <w:sz w:val="32"/>
          <w:szCs w:val="32"/>
        </w:rPr>
        <w:t>万元，</w:t>
      </w:r>
      <w:bookmarkStart w:id="7" w:name="START_IS_ZERO_04_1"/>
      <w:bookmarkEnd w:id="7"/>
      <w:bookmarkStart w:id="8" w:name="IS_ZERO_04"/>
      <w:bookmarkEnd w:id="8"/>
      <w:bookmarkStart w:id="9" w:name="START_INCOME_PAY_AMT"/>
      <w:bookmarkEnd w:id="9"/>
      <w:bookmarkStart w:id="10" w:name="DIS_MARK_INCOME_PAY_AMT"/>
      <w:bookmarkStart w:id="11" w:name="DIS_MARK_IS_ZERO_04_1"/>
      <w:r>
        <w:rPr>
          <w:rFonts w:hint="eastAsia" w:ascii="Times New Roman" w:hAnsi="Times New Roman" w:eastAsia="仿宋_GB2312"/>
          <w:sz w:val="32"/>
          <w:szCs w:val="32"/>
        </w:rPr>
        <w:t>与上年相比</w:t>
      </w:r>
      <w:r>
        <w:rPr>
          <w:rFonts w:hint="eastAsia" w:ascii="Times New Roman" w:hAnsi="Times New Roman" w:eastAsia="仿宋_GB2312"/>
          <w:sz w:val="32"/>
          <w:szCs w:val="32"/>
          <w:lang w:val="en-US" w:eastAsia="zh-CN"/>
        </w:rPr>
        <w:t>增加86.21</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增加8.10</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本年</w:t>
      </w:r>
      <w:r>
        <w:rPr>
          <w:rFonts w:hint="eastAsia" w:ascii="Times New Roman" w:hAnsi="Times New Roman" w:eastAsia="仿宋_GB2312"/>
          <w:sz w:val="32"/>
          <w:szCs w:val="32"/>
          <w:lang w:val="en-US" w:eastAsia="zh-CN"/>
        </w:rPr>
        <w:t>人员增加，</w:t>
      </w:r>
      <w:r>
        <w:rPr>
          <w:rFonts w:hint="eastAsia" w:ascii="Times New Roman" w:hAnsi="Times New Roman" w:eastAsia="仿宋_GB2312"/>
          <w:sz w:val="32"/>
          <w:szCs w:val="32"/>
          <w:lang w:eastAsia="zh-CN"/>
        </w:rPr>
        <w:t>业务活动开支</w:t>
      </w:r>
      <w:r>
        <w:rPr>
          <w:rFonts w:hint="eastAsia" w:ascii="Times New Roman" w:hAnsi="Times New Roman" w:eastAsia="仿宋_GB2312"/>
          <w:sz w:val="32"/>
          <w:szCs w:val="32"/>
          <w:lang w:val="en-US" w:eastAsia="zh-CN"/>
        </w:rPr>
        <w:t>增多</w:t>
      </w:r>
      <w:r>
        <w:rPr>
          <w:rFonts w:hint="eastAsia" w:ascii="Times New Roman" w:hAnsi="Times New Roman" w:eastAsia="仿宋_GB2312"/>
          <w:sz w:val="32"/>
          <w:szCs w:val="32"/>
          <w:lang w:eastAsia="zh-CN"/>
        </w:rPr>
        <w:t>，导致费用</w:t>
      </w:r>
      <w:r>
        <w:rPr>
          <w:rFonts w:hint="eastAsia" w:ascii="Times New Roman" w:hAnsi="Times New Roman" w:eastAsia="仿宋_GB2312"/>
          <w:sz w:val="32"/>
          <w:szCs w:val="32"/>
          <w:lang w:val="en-US" w:eastAsia="zh-CN"/>
        </w:rPr>
        <w:t>增加</w:t>
      </w:r>
      <w:r>
        <w:rPr>
          <w:rFonts w:hint="eastAsia" w:ascii="Times New Roman" w:hAnsi="Times New Roman" w:eastAsia="仿宋_GB2312"/>
          <w:sz w:val="32"/>
          <w:szCs w:val="32"/>
        </w:rPr>
        <w:t>。</w:t>
      </w:r>
      <w:bookmarkEnd w:id="10"/>
      <w:bookmarkEnd w:id="11"/>
      <w:bookmarkStart w:id="12" w:name="END_IS_ZERO_04_2"/>
      <w:bookmarkEnd w:id="12"/>
      <w:bookmarkStart w:id="13" w:name="END_INCOME_PAY_AMT"/>
      <w:bookmarkEnd w:id="13"/>
      <w:bookmarkStart w:id="14" w:name="DIS_MARK_IS_ZERO_04_2"/>
      <w:bookmarkEnd w:id="14"/>
      <w:bookmarkStart w:id="15" w:name="END_IS_ZERO_04_1"/>
      <w:bookmarkEnd w:id="15"/>
      <w:bookmarkStart w:id="16" w:name="START_IS_ZERO_04_2"/>
      <w:bookmarkEnd w:id="16"/>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w:t>
      </w:r>
      <w:r>
        <w:rPr>
          <w:rFonts w:hint="eastAsia" w:ascii="Times New Roman" w:hAnsi="Times New Roman" w:eastAsia="仿宋_GB2312"/>
          <w:sz w:val="32"/>
          <w:szCs w:val="32"/>
          <w:lang w:val="en-US" w:eastAsia="zh-CN"/>
        </w:rPr>
        <w:t>支出</w:t>
      </w:r>
      <w:r>
        <w:rPr>
          <w:rFonts w:hint="eastAsia" w:ascii="Times New Roman" w:hAnsi="Times New Roman" w:eastAsia="仿宋_GB2312"/>
          <w:sz w:val="32"/>
          <w:szCs w:val="32"/>
        </w:rPr>
        <w:t>总计</w:t>
      </w:r>
      <w:r>
        <w:rPr>
          <w:rFonts w:hint="eastAsia" w:ascii="Times New Roman" w:hAnsi="Times New Roman" w:eastAsia="仿宋_GB2312"/>
          <w:sz w:val="32"/>
          <w:szCs w:val="32"/>
          <w:lang w:val="en-US" w:eastAsia="zh-CN"/>
        </w:rPr>
        <w:t>1150.27</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增加86.21</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增加8.10</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本年</w:t>
      </w:r>
      <w:r>
        <w:rPr>
          <w:rFonts w:hint="eastAsia" w:ascii="Times New Roman" w:hAnsi="Times New Roman" w:eastAsia="仿宋_GB2312"/>
          <w:sz w:val="32"/>
          <w:szCs w:val="32"/>
          <w:lang w:val="en-US" w:eastAsia="zh-CN"/>
        </w:rPr>
        <w:t>人员增加，</w:t>
      </w:r>
      <w:r>
        <w:rPr>
          <w:rFonts w:hint="eastAsia" w:ascii="Times New Roman" w:hAnsi="Times New Roman" w:eastAsia="仿宋_GB2312"/>
          <w:sz w:val="32"/>
          <w:szCs w:val="32"/>
          <w:lang w:eastAsia="zh-CN"/>
        </w:rPr>
        <w:t>业务活动开支</w:t>
      </w:r>
      <w:r>
        <w:rPr>
          <w:rFonts w:hint="eastAsia" w:ascii="Times New Roman" w:hAnsi="Times New Roman" w:eastAsia="仿宋_GB2312"/>
          <w:sz w:val="32"/>
          <w:szCs w:val="32"/>
          <w:lang w:val="en-US" w:eastAsia="zh-CN"/>
        </w:rPr>
        <w:t>增多</w:t>
      </w:r>
      <w:r>
        <w:rPr>
          <w:rFonts w:hint="eastAsia" w:ascii="Times New Roman" w:hAnsi="Times New Roman" w:eastAsia="仿宋_GB2312"/>
          <w:sz w:val="32"/>
          <w:szCs w:val="32"/>
          <w:lang w:eastAsia="zh-CN"/>
        </w:rPr>
        <w:t>，导致费用</w:t>
      </w:r>
      <w:r>
        <w:rPr>
          <w:rFonts w:hint="eastAsia" w:ascii="Times New Roman" w:hAnsi="Times New Roman" w:eastAsia="仿宋_GB2312"/>
          <w:sz w:val="32"/>
          <w:szCs w:val="32"/>
          <w:lang w:val="en-US" w:eastAsia="zh-CN"/>
        </w:rPr>
        <w:t>增加</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2"/>
        <w:tabs>
          <w:tab w:val="left" w:pos="3864"/>
          <w:tab w:val="left" w:pos="6248"/>
          <w:tab w:val="left" w:pos="7386"/>
        </w:tabs>
        <w:overflowPunct w:val="0"/>
        <w:spacing w:before="1" w:line="360" w:lineRule="auto"/>
        <w:ind w:right="420" w:firstLine="640" w:firstLineChars="200"/>
        <w:rPr>
          <w:rFonts w:hint="default"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2025年度收入合计</w:t>
      </w:r>
      <w:r>
        <w:rPr>
          <w:rFonts w:hint="eastAsia" w:ascii="Times New Roman" w:hAnsi="Times New Roman" w:eastAsia="仿宋_GB2312"/>
          <w:sz w:val="32"/>
          <w:szCs w:val="32"/>
          <w:lang w:val="en-US" w:eastAsia="zh-CN"/>
        </w:rPr>
        <w:t>1150.27</w:t>
      </w:r>
      <w:r>
        <w:rPr>
          <w:rFonts w:hint="eastAsia" w:ascii="Times New Roman" w:hAnsi="Times New Roman" w:eastAsia="仿宋_GB2312" w:cs="黑体"/>
          <w:color w:val="000000"/>
          <w:kern w:val="0"/>
          <w:sz w:val="32"/>
          <w:szCs w:val="32"/>
          <w:lang w:val="en-US" w:eastAsia="zh-CN" w:bidi="ar-SA"/>
        </w:rPr>
        <w:t>万元，</w:t>
      </w:r>
      <w:bookmarkStart w:id="17" w:name="START_INCOME_SRHJ_AMT"/>
      <w:bookmarkEnd w:id="17"/>
      <w:bookmarkStart w:id="18" w:name="DIS_MARK_INCOME_SRHJ_AMT"/>
      <w:r>
        <w:rPr>
          <w:rFonts w:hint="eastAsia" w:ascii="Times New Roman" w:hAnsi="Times New Roman" w:eastAsia="仿宋_GB2312" w:cs="黑体"/>
          <w:color w:val="000000"/>
          <w:kern w:val="0"/>
          <w:sz w:val="32"/>
          <w:szCs w:val="32"/>
          <w:lang w:val="en-US" w:eastAsia="zh-CN" w:bidi="ar-SA"/>
        </w:rPr>
        <w:t>其中：</w:t>
      </w:r>
      <w:bookmarkStart w:id="19" w:name="START_INCOME_CZBKSR_AMT"/>
      <w:bookmarkEnd w:id="19"/>
      <w:bookmarkStart w:id="20" w:name="DIS_MARK_INCOME_CZBKSR_AMT"/>
      <w:r>
        <w:rPr>
          <w:rFonts w:hint="eastAsia" w:ascii="Times New Roman" w:hAnsi="Times New Roman" w:eastAsia="仿宋_GB2312" w:cs="黑体"/>
          <w:color w:val="000000"/>
          <w:kern w:val="0"/>
          <w:sz w:val="32"/>
          <w:szCs w:val="32"/>
          <w:lang w:val="en-US" w:eastAsia="zh-CN" w:bidi="ar-SA"/>
        </w:rPr>
        <w:t>财政拨款收入1132.99万元，占98.50%</w:t>
      </w:r>
      <w:bookmarkEnd w:id="18"/>
      <w:bookmarkEnd w:id="20"/>
      <w:bookmarkStart w:id="21" w:name="DIS_MARK_INCOME_SJBZSR_AMT"/>
      <w:bookmarkEnd w:id="21"/>
      <w:bookmarkStart w:id="22" w:name="START_INCOME_SYSR_AMT"/>
      <w:bookmarkEnd w:id="22"/>
      <w:bookmarkStart w:id="23" w:name="DIS_MARK_INCOME_FSDWSJSR_AMT"/>
      <w:bookmarkEnd w:id="23"/>
      <w:bookmarkStart w:id="24" w:name="END_INCOME_CZBKSR_AMT"/>
      <w:bookmarkEnd w:id="24"/>
      <w:bookmarkStart w:id="25" w:name="END_INCOME_JYSR_AMT"/>
      <w:bookmarkEnd w:id="25"/>
      <w:bookmarkStart w:id="26" w:name="END_INCOME_SJBZSR_AMT"/>
      <w:bookmarkEnd w:id="26"/>
      <w:bookmarkStart w:id="27" w:name="START_INCOME_SJBZSR_AMT"/>
      <w:bookmarkEnd w:id="27"/>
      <w:bookmarkStart w:id="28" w:name="START_INCOME_FSDWSJSR_AMT"/>
      <w:bookmarkEnd w:id="28"/>
      <w:bookmarkStart w:id="29" w:name="START_INCOME_QTSR_AMT"/>
      <w:bookmarkEnd w:id="29"/>
      <w:bookmarkStart w:id="30" w:name="END_INCOME_SRHJ_AMT"/>
      <w:bookmarkEnd w:id="30"/>
      <w:bookmarkStart w:id="31" w:name="END_INCOME_FSDWSJSR_AMT"/>
      <w:bookmarkEnd w:id="31"/>
      <w:bookmarkStart w:id="32" w:name="START_INCOME_JYSR_AMT"/>
      <w:bookmarkEnd w:id="32"/>
      <w:bookmarkStart w:id="33" w:name="DIS_MARK_INCOME_QTSR_AMT"/>
      <w:bookmarkEnd w:id="33"/>
      <w:bookmarkStart w:id="34" w:name="END_INCOME_SYSR_AMT"/>
      <w:bookmarkEnd w:id="34"/>
      <w:bookmarkStart w:id="35" w:name="END_INCOME_QTSR_AMT"/>
      <w:bookmarkEnd w:id="35"/>
      <w:bookmarkStart w:id="36" w:name="DIS_MARK_INCOME_SYSR_AMT"/>
      <w:bookmarkEnd w:id="36"/>
      <w:bookmarkStart w:id="37" w:name="DIS_MARK_INCOME_JYSR_AMT"/>
      <w:bookmarkEnd w:id="37"/>
      <w:r>
        <w:rPr>
          <w:rFonts w:hint="eastAsia" w:ascii="Times New Roman" w:hAnsi="Times New Roman" w:eastAsia="仿宋_GB2312" w:cs="黑体"/>
          <w:color w:val="000000"/>
          <w:kern w:val="0"/>
          <w:sz w:val="32"/>
          <w:szCs w:val="32"/>
          <w:lang w:val="en-US" w:eastAsia="zh-CN" w:bidi="ar-SA"/>
        </w:rPr>
        <w:t>；政府性基金预算财政拨款收入17.28万元，占比1.50%。</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1150.27</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701.46</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60.98</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项目支出448.81万元，</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39.02</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年度收入总计</w:t>
      </w:r>
      <w:r>
        <w:rPr>
          <w:rFonts w:hint="eastAsia" w:ascii="Times New Roman" w:hAnsi="Times New Roman" w:eastAsia="仿宋_GB2312"/>
          <w:sz w:val="32"/>
          <w:szCs w:val="32"/>
          <w:lang w:val="en-US" w:eastAsia="zh-CN"/>
        </w:rPr>
        <w:t>1150.27</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增加86.21</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增加8.10</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本年</w:t>
      </w:r>
      <w:r>
        <w:rPr>
          <w:rFonts w:hint="eastAsia" w:ascii="Times New Roman" w:hAnsi="Times New Roman" w:eastAsia="仿宋_GB2312"/>
          <w:sz w:val="32"/>
          <w:szCs w:val="32"/>
          <w:lang w:val="en-US" w:eastAsia="zh-CN"/>
        </w:rPr>
        <w:t>人员增加，</w:t>
      </w:r>
      <w:r>
        <w:rPr>
          <w:rFonts w:hint="eastAsia" w:ascii="Times New Roman" w:hAnsi="Times New Roman" w:eastAsia="仿宋_GB2312"/>
          <w:sz w:val="32"/>
          <w:szCs w:val="32"/>
          <w:lang w:eastAsia="zh-CN"/>
        </w:rPr>
        <w:t>业务活动开支</w:t>
      </w:r>
      <w:r>
        <w:rPr>
          <w:rFonts w:hint="eastAsia" w:ascii="Times New Roman" w:hAnsi="Times New Roman" w:eastAsia="仿宋_GB2312"/>
          <w:sz w:val="32"/>
          <w:szCs w:val="32"/>
          <w:lang w:val="en-US" w:eastAsia="zh-CN"/>
        </w:rPr>
        <w:t>增多</w:t>
      </w:r>
      <w:r>
        <w:rPr>
          <w:rFonts w:hint="eastAsia" w:ascii="Times New Roman" w:hAnsi="Times New Roman" w:eastAsia="仿宋_GB2312"/>
          <w:sz w:val="32"/>
          <w:szCs w:val="32"/>
          <w:lang w:eastAsia="zh-CN"/>
        </w:rPr>
        <w:t>，导致费用</w:t>
      </w:r>
      <w:r>
        <w:rPr>
          <w:rFonts w:hint="eastAsia" w:ascii="Times New Roman" w:hAnsi="Times New Roman" w:eastAsia="仿宋_GB2312"/>
          <w:sz w:val="32"/>
          <w:szCs w:val="32"/>
          <w:lang w:val="en-US" w:eastAsia="zh-CN"/>
        </w:rPr>
        <w:t>增加</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w:t>
      </w:r>
      <w:r>
        <w:rPr>
          <w:rFonts w:hint="eastAsia" w:ascii="Times New Roman" w:hAnsi="Times New Roman" w:eastAsia="仿宋_GB2312"/>
          <w:sz w:val="32"/>
          <w:szCs w:val="32"/>
          <w:lang w:val="en-US" w:eastAsia="zh-CN"/>
        </w:rPr>
        <w:t>支出</w:t>
      </w:r>
      <w:r>
        <w:rPr>
          <w:rFonts w:hint="eastAsia" w:ascii="Times New Roman" w:hAnsi="Times New Roman" w:eastAsia="仿宋_GB2312"/>
          <w:sz w:val="32"/>
          <w:szCs w:val="32"/>
        </w:rPr>
        <w:t>总计</w:t>
      </w:r>
      <w:r>
        <w:rPr>
          <w:rFonts w:hint="eastAsia" w:ascii="Times New Roman" w:hAnsi="Times New Roman" w:eastAsia="仿宋_GB2312"/>
          <w:sz w:val="32"/>
          <w:szCs w:val="32"/>
          <w:lang w:val="en-US" w:eastAsia="zh-CN"/>
        </w:rPr>
        <w:t>1150.27</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增加86.21</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增加8.10</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本年</w:t>
      </w:r>
      <w:r>
        <w:rPr>
          <w:rFonts w:hint="eastAsia" w:ascii="Times New Roman" w:hAnsi="Times New Roman" w:eastAsia="仿宋_GB2312"/>
          <w:sz w:val="32"/>
          <w:szCs w:val="32"/>
          <w:lang w:val="en-US" w:eastAsia="zh-CN"/>
        </w:rPr>
        <w:t>人员增加，</w:t>
      </w:r>
      <w:r>
        <w:rPr>
          <w:rFonts w:hint="eastAsia" w:ascii="Times New Roman" w:hAnsi="Times New Roman" w:eastAsia="仿宋_GB2312"/>
          <w:sz w:val="32"/>
          <w:szCs w:val="32"/>
          <w:lang w:eastAsia="zh-CN"/>
        </w:rPr>
        <w:t>业务活动开支</w:t>
      </w:r>
      <w:r>
        <w:rPr>
          <w:rFonts w:hint="eastAsia" w:ascii="Times New Roman" w:hAnsi="Times New Roman" w:eastAsia="仿宋_GB2312"/>
          <w:sz w:val="32"/>
          <w:szCs w:val="32"/>
          <w:lang w:val="en-US" w:eastAsia="zh-CN"/>
        </w:rPr>
        <w:t>增多</w:t>
      </w:r>
      <w:r>
        <w:rPr>
          <w:rFonts w:hint="eastAsia" w:ascii="Times New Roman" w:hAnsi="Times New Roman" w:eastAsia="仿宋_GB2312"/>
          <w:sz w:val="32"/>
          <w:szCs w:val="32"/>
          <w:lang w:eastAsia="zh-CN"/>
        </w:rPr>
        <w:t>，导致费用</w:t>
      </w:r>
      <w:r>
        <w:rPr>
          <w:rFonts w:hint="eastAsia" w:ascii="Times New Roman" w:hAnsi="Times New Roman" w:eastAsia="仿宋_GB2312"/>
          <w:sz w:val="32"/>
          <w:szCs w:val="32"/>
          <w:lang w:val="en-US" w:eastAsia="zh-CN"/>
        </w:rPr>
        <w:t>增加</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（一）一般公共预算财政拨款支出决算总体情况</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1132.99</w:t>
      </w:r>
      <w:r>
        <w:rPr>
          <w:rFonts w:hint="eastAsia" w:ascii="Times New Roman" w:hAnsi="Times New Roman" w:eastAsia="仿宋_GB2312"/>
          <w:sz w:val="32"/>
          <w:szCs w:val="32"/>
        </w:rPr>
        <w:t>万元，占本年支出合计的</w:t>
      </w:r>
      <w:r>
        <w:rPr>
          <w:rFonts w:hint="eastAsia" w:ascii="Times New Roman" w:hAnsi="Times New Roman" w:eastAsia="仿宋_GB2312" w:cs="黑体"/>
          <w:color w:val="000000"/>
          <w:kern w:val="0"/>
          <w:sz w:val="32"/>
          <w:szCs w:val="32"/>
          <w:lang w:val="en-US" w:eastAsia="zh-CN" w:bidi="ar-SA"/>
        </w:rPr>
        <w:t>98.50</w:t>
      </w:r>
      <w:r>
        <w:rPr>
          <w:rFonts w:hint="eastAsia" w:ascii="Times New Roman" w:hAnsi="Times New Roman" w:eastAsia="仿宋_GB2312"/>
          <w:sz w:val="32"/>
          <w:szCs w:val="32"/>
        </w:rPr>
        <w:t>%，与上年相比，财政拨款支出</w:t>
      </w:r>
      <w:r>
        <w:rPr>
          <w:rFonts w:hint="eastAsia" w:ascii="Times New Roman" w:hAnsi="Times New Roman" w:eastAsia="仿宋_GB2312"/>
          <w:sz w:val="32"/>
          <w:szCs w:val="32"/>
          <w:lang w:val="en-US" w:eastAsia="zh-CN"/>
        </w:rPr>
        <w:t>增加152.93</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增加15.60</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本年</w:t>
      </w:r>
      <w:r>
        <w:rPr>
          <w:rFonts w:hint="eastAsia" w:ascii="Times New Roman" w:hAnsi="Times New Roman" w:eastAsia="仿宋_GB2312"/>
          <w:sz w:val="32"/>
          <w:szCs w:val="32"/>
          <w:lang w:val="en-US" w:eastAsia="zh-CN"/>
        </w:rPr>
        <w:t>人员增加，</w:t>
      </w:r>
      <w:r>
        <w:rPr>
          <w:rFonts w:hint="eastAsia" w:ascii="Times New Roman" w:hAnsi="Times New Roman" w:eastAsia="仿宋_GB2312"/>
          <w:sz w:val="32"/>
          <w:szCs w:val="32"/>
          <w:lang w:eastAsia="zh-CN"/>
        </w:rPr>
        <w:t>业务活动开支</w:t>
      </w:r>
      <w:r>
        <w:rPr>
          <w:rFonts w:hint="eastAsia" w:ascii="Times New Roman" w:hAnsi="Times New Roman" w:eastAsia="仿宋_GB2312"/>
          <w:sz w:val="32"/>
          <w:szCs w:val="32"/>
          <w:lang w:val="en-US" w:eastAsia="zh-CN"/>
        </w:rPr>
        <w:t>增多</w:t>
      </w:r>
      <w:r>
        <w:rPr>
          <w:rFonts w:hint="eastAsia" w:ascii="Times New Roman" w:hAnsi="Times New Roman" w:eastAsia="仿宋_GB2312"/>
          <w:sz w:val="32"/>
          <w:szCs w:val="32"/>
          <w:lang w:eastAsia="zh-CN"/>
        </w:rPr>
        <w:t>，导致费用</w:t>
      </w:r>
      <w:r>
        <w:rPr>
          <w:rFonts w:hint="eastAsia" w:ascii="Times New Roman" w:hAnsi="Times New Roman" w:eastAsia="仿宋_GB2312"/>
          <w:sz w:val="32"/>
          <w:szCs w:val="32"/>
          <w:lang w:val="en-US" w:eastAsia="zh-CN"/>
        </w:rPr>
        <w:t>增加</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（二）一般公共预算财政拨款支出决算结构情况</w:t>
      </w:r>
    </w:p>
    <w:p>
      <w:pPr>
        <w:pStyle w:val="2"/>
        <w:tabs>
          <w:tab w:val="left" w:pos="3864"/>
          <w:tab w:val="left" w:pos="6248"/>
          <w:tab w:val="left" w:pos="7386"/>
        </w:tabs>
        <w:overflowPunct w:val="0"/>
        <w:spacing w:before="1" w:line="360" w:lineRule="auto"/>
        <w:ind w:right="420" w:firstLine="640" w:firstLineChars="200"/>
        <w:rPr>
          <w:rFonts w:hint="default"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2025年度财政拨款支出</w:t>
      </w:r>
      <w:r>
        <w:rPr>
          <w:rFonts w:hint="eastAsia" w:ascii="Times New Roman" w:hAnsi="Times New Roman" w:eastAsia="仿宋_GB2312"/>
          <w:sz w:val="32"/>
          <w:szCs w:val="32"/>
          <w:lang w:val="en-US" w:eastAsia="zh-CN"/>
        </w:rPr>
        <w:t>1132.99</w:t>
      </w:r>
      <w:r>
        <w:rPr>
          <w:rFonts w:hint="eastAsia" w:ascii="Times New Roman" w:hAnsi="Times New Roman" w:eastAsia="仿宋_GB2312" w:cs="黑体"/>
          <w:color w:val="000000"/>
          <w:kern w:val="0"/>
          <w:sz w:val="32"/>
          <w:szCs w:val="32"/>
          <w:lang w:val="en-US" w:eastAsia="zh-CN" w:bidi="ar-SA"/>
        </w:rPr>
        <w:t>万元，</w:t>
      </w:r>
      <w:bookmarkStart w:id="38" w:name="START_PAY_AMT_1"/>
      <w:bookmarkEnd w:id="38"/>
      <w:bookmarkStart w:id="39" w:name="DIS_MARK_PAY_AMT_1"/>
      <w:r>
        <w:rPr>
          <w:rFonts w:hint="eastAsia" w:ascii="Times New Roman" w:hAnsi="Times New Roman" w:eastAsia="仿宋_GB2312" w:cs="黑体"/>
          <w:color w:val="000000"/>
          <w:kern w:val="0"/>
          <w:sz w:val="32"/>
          <w:szCs w:val="32"/>
          <w:lang w:val="en-US" w:eastAsia="zh-CN" w:bidi="ar-SA"/>
        </w:rPr>
        <w:t>主要用于以下方面：一般公共服务支出801.64万元，占比70.75%；教育支出5.28万元，占比0.47%；社会保障和就业支出49.85万元，占比4.20%；卫生健康支出26.19万元，占比2.31%；</w:t>
      </w:r>
      <w:bookmarkEnd w:id="39"/>
      <w:r>
        <w:rPr>
          <w:rFonts w:hint="eastAsia" w:ascii="Times New Roman" w:hAnsi="Times New Roman" w:eastAsia="仿宋_GB2312" w:cs="黑体"/>
          <w:color w:val="000000"/>
          <w:kern w:val="0"/>
          <w:sz w:val="32"/>
          <w:szCs w:val="32"/>
          <w:lang w:val="en-US" w:eastAsia="zh-CN" w:bidi="ar-SA"/>
        </w:rPr>
        <w:t>农林水支出250.03万元，占比22.07%。</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（三）一般公共预算财政拨款支出决算具体情况</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1132.99</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1132.99</w:t>
      </w:r>
      <w:r>
        <w:rPr>
          <w:rFonts w:hint="eastAsia" w:ascii="Times New Roman" w:hAnsi="Times New Roman" w:eastAsia="仿宋_GB2312"/>
          <w:sz w:val="32"/>
          <w:szCs w:val="32"/>
        </w:rPr>
        <w:t>万元，完成年初预算的</w:t>
      </w:r>
      <w:r>
        <w:rPr>
          <w:rFonts w:hint="eastAsia" w:ascii="Times New Roman" w:hAnsi="Times New Roman" w:eastAsia="仿宋_GB2312" w:cs="黑体"/>
          <w:color w:val="000000"/>
          <w:kern w:val="0"/>
          <w:sz w:val="32"/>
          <w:szCs w:val="32"/>
          <w:lang w:val="en-US" w:eastAsia="zh-CN" w:bidi="ar-SA"/>
        </w:rPr>
        <w:t>100</w:t>
      </w:r>
      <w:r>
        <w:rPr>
          <w:rFonts w:hint="eastAsia" w:ascii="Times New Roman" w:hAnsi="Times New Roman" w:eastAsia="仿宋_GB2312"/>
          <w:sz w:val="32"/>
          <w:szCs w:val="32"/>
        </w:rPr>
        <w:t>%，其中：</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1、一般公共服务支出（类）人大事务（款）代表工作（项）。</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年初预算为2.58万元，支出决算为2.58万元，完成年初预算的100%。</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bookmarkStart w:id="40" w:name="LKX_BM"/>
      <w:r>
        <w:rPr>
          <w:rFonts w:hint="eastAsia" w:ascii="Times New Roman" w:hAnsi="Times New Roman" w:eastAsia="仿宋_GB2312" w:cs="黑体"/>
          <w:color w:val="000000"/>
          <w:kern w:val="0"/>
          <w:sz w:val="32"/>
          <w:szCs w:val="32"/>
          <w:lang w:val="en-US" w:eastAsia="zh-CN" w:bidi="ar-SA"/>
        </w:rPr>
        <w:t>2、一般公共服务支出（类）政府办公厅（室）及相关机构事务（款）行政运行（项）。</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年初预算为524.46万元，支出决算为524.46万元，完成年初预算的100%。</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3、一般公共服务支出（类）政府办公厅（室）及相关机构事务（款）其他政府办公厅（室）及相关机构事务支出（项）。</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年初预算为268.06万元，支出决算为268.06万元，完成年初预算的100%。</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4、一般公共服务支出（类）纪检监察事务（款）其他纪检监察事务支出（项）。</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年初预算为6.3万元，支出决算为6.3万元，完成年初预算的100%。</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5、一般公共服务支出（类）群众团体事务（款）其他群众团体事务支出（项）。</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年初预算为5.52万元，支出决算为5.52万元，完成年初预算的100%。</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6、社会保障和就业支出（类）行政事业单位养老支出（款）机关事业单位基本养老保险缴费支出（项）。</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年初预算为46.37万元，支出决算为46.37万元，完成年初预算的100%。</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7、社会保障和就业支出（类）抚恤（款）死亡抚恤（项）。</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年初预算为3.48万元，支出决算为3.48万元，完成年初预算的100%。</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8、卫生健康支出（类）行政事业单位医疗（款）行政单位医疗（项）。</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年初预算为25.09万元，支出决算为25.09万元，完成年初预算的100%。</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9、卫生健康支出（类）行政事业单位医疗（款）其他医疗救助支出（项）。</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年初预算为1.1万元，支出决算为1.1万元，完成年初预算的100%。</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10、农林水支出（类）农业农村（款）农村社会事业（项）。</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年初预算为1.23万元，支出决算为1.23万元，完成年初预算的100%。</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11、农林水支出（类）农业农村（款）其他农业农村支出（项）。</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年初预算为212.1万元，支出决算为212.1万元，完成年初预算的100%。</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12、农林水支出（类）巩固脱贫攻坚成果衔接乡村振兴（款）其他巩固脱贫攻坚成果衔接乡村振兴（项）。</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年初预算为2.96万元，支出决算为2.96万元，完成年初预算的100%。</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13、农林水支出（类）农村综合改革（款）对村级公益事业建设的补助（项）。</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年初预算为59万元，支出决算为59万元，完成年初预算的100%。  </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14、农林水支出（类）农村综合改革（款）对村民委员会和村党支部的补助（项）。</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年初预算为47万元，支出决算为47万元，完成年初预算的100%。</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14、农林水支出（类）农村综合改革（款）其他农林水支出（项）。</w:t>
      </w:r>
    </w:p>
    <w:p>
      <w:pPr>
        <w:pStyle w:val="2"/>
        <w:tabs>
          <w:tab w:val="left" w:pos="3864"/>
          <w:tab w:val="left" w:pos="6248"/>
          <w:tab w:val="left" w:pos="7386"/>
        </w:tabs>
        <w:overflowPunct w:val="0"/>
        <w:spacing w:before="1" w:line="360" w:lineRule="auto"/>
        <w:ind w:right="420" w:firstLine="640" w:firstLineChars="200"/>
        <w:rPr>
          <w:rFonts w:hint="eastAsia"/>
          <w:lang w:val="en-US" w:eastAsia="zh-CN"/>
        </w:rPr>
      </w:pPr>
      <w:r>
        <w:rPr>
          <w:rFonts w:hint="eastAsia" w:ascii="Times New Roman" w:hAnsi="Times New Roman" w:eastAsia="仿宋_GB2312" w:cs="黑体"/>
          <w:color w:val="000000"/>
          <w:kern w:val="0"/>
          <w:sz w:val="32"/>
          <w:szCs w:val="32"/>
          <w:lang w:val="en-US" w:eastAsia="zh-CN" w:bidi="ar-SA"/>
        </w:rPr>
        <w:t>年初预算为119万元，支出决算为119万元，完成年初预算的100%。</w:t>
      </w:r>
    </w:p>
    <w:bookmarkEnd w:id="40"/>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701.46</w:t>
      </w:r>
      <w:r>
        <w:rPr>
          <w:rFonts w:hint="eastAsia" w:ascii="Times New Roman" w:hAnsi="Times New Roman" w:eastAsia="仿宋_GB2312"/>
          <w:sz w:val="32"/>
          <w:szCs w:val="32"/>
        </w:rPr>
        <w:t>万元，其中：</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人员经费</w:t>
      </w:r>
      <w:r>
        <w:rPr>
          <w:rFonts w:hint="eastAsia" w:ascii="Times New Roman" w:hAnsi="Times New Roman" w:eastAsia="仿宋_GB2312"/>
          <w:sz w:val="32"/>
          <w:szCs w:val="32"/>
          <w:lang w:val="en-US" w:eastAsia="zh-CN"/>
        </w:rPr>
        <w:t>628.13</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89.55</w:t>
      </w:r>
      <w:r>
        <w:rPr>
          <w:rFonts w:hint="eastAsia" w:ascii="Times New Roman" w:hAnsi="Times New Roman" w:eastAsia="仿宋_GB2312"/>
          <w:sz w:val="32"/>
          <w:szCs w:val="32"/>
        </w:rPr>
        <w:t>%，主要包括：基本工资、津贴补贴、奖金、伙食补助费、机关事业单位基本养老保险缴费、职业年金缴费、职工基本医疗保险缴费、其他社会保障缴费、住房公积金、退休费、抚恤金、生活补助、救济费、奖励金、其他对个人和家庭的补助</w:t>
      </w:r>
      <w:r>
        <w:rPr>
          <w:rFonts w:hint="eastAsia" w:ascii="Times New Roman" w:hAnsi="Times New Roman" w:eastAsia="仿宋_GB2312"/>
          <w:sz w:val="32"/>
          <w:szCs w:val="32"/>
          <w:lang w:eastAsia="zh-CN"/>
        </w:rPr>
        <w:t>等</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公用经费</w:t>
      </w:r>
      <w:r>
        <w:rPr>
          <w:rFonts w:hint="eastAsia" w:ascii="Times New Roman" w:hAnsi="Times New Roman" w:eastAsia="仿宋_GB2312"/>
          <w:sz w:val="32"/>
          <w:szCs w:val="32"/>
          <w:lang w:val="en-US" w:eastAsia="zh-CN"/>
        </w:rPr>
        <w:t>73.33</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10.45</w:t>
      </w:r>
      <w:r>
        <w:rPr>
          <w:rFonts w:hint="eastAsia" w:ascii="Times New Roman" w:hAnsi="Times New Roman" w:eastAsia="仿宋_GB2312"/>
          <w:sz w:val="32"/>
          <w:szCs w:val="32"/>
        </w:rPr>
        <w:t>%，主要包括：办公费、印刷费、咨询费、水费、电费、邮电费、物业管理费、差旅费、维修（护）费、会议费、培训费、公务接待费、劳务费、委托业务费、工会经费、福利费、公务用车运行维护费、其他商品和服务支出</w:t>
      </w:r>
      <w:r>
        <w:rPr>
          <w:rFonts w:hint="eastAsia" w:ascii="Times New Roman" w:hAnsi="Times New Roman" w:eastAsia="仿宋_GB2312"/>
          <w:sz w:val="32"/>
          <w:szCs w:val="32"/>
          <w:lang w:eastAsia="zh-CN"/>
        </w:rPr>
        <w:t>等</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“三公”经费财政拨款支出预算为3.5万元，支出决算为3.5万元，</w:t>
      </w:r>
      <w:bookmarkStart w:id="41" w:name="START_THERR_CZBK_BGT_AMT"/>
      <w:bookmarkEnd w:id="41"/>
      <w:bookmarkStart w:id="42" w:name="DIS_MARK_THERR_CZBK_BGT_AMT"/>
      <w:r>
        <w:rPr>
          <w:rFonts w:hint="eastAsia" w:ascii="Times New Roman" w:hAnsi="Times New Roman" w:eastAsia="仿宋_GB2312" w:cs="黑体"/>
          <w:color w:val="000000"/>
          <w:kern w:val="0"/>
          <w:sz w:val="32"/>
          <w:szCs w:val="32"/>
          <w:lang w:val="en-US" w:eastAsia="zh-CN" w:bidi="ar-SA"/>
        </w:rPr>
        <w:t>完成预算的100.00%，</w:t>
      </w:r>
      <w:bookmarkEnd w:id="42"/>
      <w:bookmarkStart w:id="43" w:name="END_THERR_CZBK_BGT_AMT"/>
      <w:bookmarkEnd w:id="43"/>
      <w:r>
        <w:rPr>
          <w:rFonts w:hint="eastAsia" w:ascii="Times New Roman" w:hAnsi="Times New Roman" w:eastAsia="仿宋_GB2312" w:cs="黑体"/>
          <w:color w:val="000000"/>
          <w:kern w:val="0"/>
          <w:sz w:val="32"/>
          <w:szCs w:val="32"/>
          <w:lang w:val="en-US" w:eastAsia="zh-CN" w:bidi="ar-SA"/>
        </w:rPr>
        <w:t>其中：</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因公出国（境）费支出预算为</w:t>
      </w:r>
      <w:bookmarkStart w:id="44" w:name="THERR_CZBK_YGCGJFY_BGT_AMT"/>
      <w:r>
        <w:rPr>
          <w:rFonts w:hint="eastAsia" w:ascii="Times New Roman" w:hAnsi="Times New Roman" w:eastAsia="仿宋_GB2312" w:cs="黑体"/>
          <w:color w:val="000000"/>
          <w:kern w:val="0"/>
          <w:sz w:val="32"/>
          <w:szCs w:val="32"/>
          <w:lang w:val="en-US" w:eastAsia="zh-CN" w:bidi="ar-SA"/>
        </w:rPr>
        <w:t>0.00</w:t>
      </w:r>
      <w:bookmarkEnd w:id="44"/>
      <w:r>
        <w:rPr>
          <w:rFonts w:hint="eastAsia" w:ascii="Times New Roman" w:hAnsi="Times New Roman" w:eastAsia="仿宋_GB2312" w:cs="黑体"/>
          <w:color w:val="000000"/>
          <w:kern w:val="0"/>
          <w:sz w:val="32"/>
          <w:szCs w:val="32"/>
          <w:lang w:val="en-US" w:eastAsia="zh-CN" w:bidi="ar-SA"/>
        </w:rPr>
        <w:t>万元，支出决算为</w:t>
      </w:r>
      <w:bookmarkStart w:id="45" w:name="THERR_CZBK_YGCGJFY_FINAL_ACCOUNTS_AMT"/>
      <w:r>
        <w:rPr>
          <w:rFonts w:hint="eastAsia" w:ascii="Times New Roman" w:hAnsi="Times New Roman" w:eastAsia="仿宋_GB2312" w:cs="黑体"/>
          <w:color w:val="000000"/>
          <w:kern w:val="0"/>
          <w:sz w:val="32"/>
          <w:szCs w:val="32"/>
          <w:lang w:val="en-US" w:eastAsia="zh-CN" w:bidi="ar-SA"/>
        </w:rPr>
        <w:t>0.00</w:t>
      </w:r>
      <w:bookmarkEnd w:id="45"/>
      <w:r>
        <w:rPr>
          <w:rFonts w:hint="eastAsia" w:ascii="Times New Roman" w:hAnsi="Times New Roman" w:eastAsia="仿宋_GB2312" w:cs="黑体"/>
          <w:color w:val="000000"/>
          <w:kern w:val="0"/>
          <w:sz w:val="32"/>
          <w:szCs w:val="32"/>
          <w:lang w:val="en-US" w:eastAsia="zh-CN" w:bidi="ar-SA"/>
        </w:rPr>
        <w:t>万元，</w:t>
      </w:r>
      <w:bookmarkStart w:id="46" w:name="DIS_MARK_THERR_CZBK_YGCGJFY_FINAL_BGT_DB"/>
      <w:bookmarkEnd w:id="46"/>
      <w:bookmarkStart w:id="47" w:name="END_THERR_CZBK_YGCGJFY_BGT_AMT"/>
      <w:bookmarkEnd w:id="47"/>
      <w:bookmarkStart w:id="48" w:name="START_THERR_CZBK_YGCGJFY_FINAL_BGT_DB1"/>
      <w:bookmarkEnd w:id="48"/>
      <w:bookmarkStart w:id="49" w:name="END_THERR_CZBK_YGCGJFY_FINAL_BGT_DB"/>
      <w:bookmarkEnd w:id="49"/>
      <w:bookmarkStart w:id="50" w:name="START_THERR_CZBK_YGCGJFY_BGT_AMT"/>
      <w:bookmarkEnd w:id="50"/>
      <w:bookmarkStart w:id="51" w:name="DIS_MARK_THERR_CZBK_YGCGJFY_BGT_AMT"/>
      <w:bookmarkEnd w:id="51"/>
      <w:bookmarkStart w:id="52" w:name="START_THERR_CZBK_YGCGJFY_FINAL_BGT_DB"/>
      <w:bookmarkEnd w:id="52"/>
      <w:r>
        <w:rPr>
          <w:rFonts w:hint="eastAsia" w:ascii="Times New Roman" w:hAnsi="Times New Roman" w:eastAsia="仿宋_GB2312" w:cs="黑体"/>
          <w:color w:val="000000"/>
          <w:kern w:val="0"/>
          <w:sz w:val="32"/>
          <w:szCs w:val="32"/>
          <w:lang w:val="en-US" w:eastAsia="zh-CN" w:bidi="ar-SA"/>
        </w:rPr>
        <w:t>与本年预算数相同，</w:t>
      </w:r>
      <w:bookmarkStart w:id="53" w:name="DIS_MARK_IS_ZERO_01_1"/>
      <w:bookmarkEnd w:id="53"/>
      <w:bookmarkStart w:id="54" w:name="START_IS_ZERO_01_2"/>
      <w:bookmarkEnd w:id="54"/>
      <w:bookmarkStart w:id="55" w:name="END_IS_ZERO_01_1"/>
      <w:bookmarkEnd w:id="55"/>
      <w:bookmarkStart w:id="56" w:name="END_THERR_CZBK_YGCGJFY_FINAL_BGT_DB1"/>
      <w:bookmarkEnd w:id="56"/>
      <w:bookmarkStart w:id="57" w:name="START_IS_ZERO_01_1"/>
      <w:bookmarkEnd w:id="57"/>
      <w:bookmarkStart w:id="58" w:name="IS_ZERO_01"/>
      <w:bookmarkEnd w:id="58"/>
      <w:bookmarkStart w:id="59" w:name="DIS_MARK_IS_ZERO_01_2"/>
      <w:r>
        <w:rPr>
          <w:rFonts w:hint="eastAsia" w:ascii="Times New Roman" w:hAnsi="Times New Roman" w:eastAsia="仿宋_GB2312" w:cs="黑体"/>
          <w:color w:val="000000"/>
          <w:kern w:val="0"/>
          <w:sz w:val="32"/>
          <w:szCs w:val="32"/>
          <w:lang w:val="en-US" w:eastAsia="zh-CN" w:bidi="ar-SA"/>
        </w:rPr>
        <w:t>与上年决算数相同。</w:t>
      </w:r>
      <w:bookmarkEnd w:id="59"/>
      <w:bookmarkStart w:id="60" w:name="END_IS_ZERO_01_2"/>
      <w:bookmarkEnd w:id="60"/>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公务接待费支出预算为0万元，支出决算为0万元，</w:t>
      </w:r>
      <w:bookmarkStart w:id="61" w:name="START_THERR_CZBK_GWJDF_BGT_AMT"/>
      <w:bookmarkEnd w:id="61"/>
      <w:bookmarkStart w:id="62" w:name="DIS_MARK_THERR_CZBK_GWJDF_BGT_AMT"/>
      <w:r>
        <w:rPr>
          <w:rFonts w:hint="eastAsia" w:ascii="Times New Roman" w:hAnsi="Times New Roman" w:eastAsia="仿宋_GB2312" w:cs="黑体"/>
          <w:color w:val="000000"/>
          <w:kern w:val="0"/>
          <w:sz w:val="32"/>
          <w:szCs w:val="32"/>
          <w:lang w:val="en-US" w:eastAsia="zh-CN" w:bidi="ar-SA"/>
        </w:rPr>
        <w:t>完成预算的100.00%</w:t>
      </w:r>
      <w:bookmarkEnd w:id="62"/>
      <w:bookmarkStart w:id="63" w:name="START_THERR_CZBK_GWJDF_FINAL_BGT_DB1"/>
      <w:bookmarkEnd w:id="63"/>
      <w:bookmarkStart w:id="64" w:name="END_THERR_CZBK_GWJDF_BGT_AMT"/>
      <w:bookmarkEnd w:id="64"/>
      <w:bookmarkStart w:id="65" w:name="DIS_MARK_THERR_CZBK_GWJDF_FINAL_BGT_DB"/>
      <w:bookmarkEnd w:id="65"/>
      <w:bookmarkStart w:id="66" w:name="END_THERR_CZBK_GWJDF_FINAL_BGT_DB"/>
      <w:bookmarkEnd w:id="66"/>
      <w:bookmarkStart w:id="67" w:name="START_THERR_CZBK_GWJDF_FINAL_BGT_DB"/>
      <w:bookmarkEnd w:id="67"/>
      <w:bookmarkStart w:id="68" w:name="DIS_MARK_THERR_CZBK_GWJDF_FINAL_BGT_DB1"/>
      <w:r>
        <w:rPr>
          <w:rFonts w:hint="eastAsia" w:ascii="Times New Roman" w:hAnsi="Times New Roman" w:eastAsia="仿宋_GB2312" w:cs="黑体"/>
          <w:color w:val="000000"/>
          <w:kern w:val="0"/>
          <w:sz w:val="32"/>
          <w:szCs w:val="32"/>
          <w:lang w:val="en-US" w:eastAsia="zh-CN" w:bidi="ar-SA"/>
        </w:rPr>
        <w:t>，</w:t>
      </w:r>
      <w:bookmarkEnd w:id="68"/>
      <w:bookmarkStart w:id="69" w:name="START_IS_ZERO_02_1"/>
      <w:bookmarkEnd w:id="69"/>
      <w:bookmarkStart w:id="70" w:name="END_THERR_CZBK_GWJDF_FINAL_BGT_DB1"/>
      <w:bookmarkEnd w:id="70"/>
      <w:bookmarkStart w:id="71" w:name="IS_ZERO_02"/>
      <w:bookmarkEnd w:id="71"/>
      <w:bookmarkStart w:id="72" w:name="DIS_MARK_IS_ZERO_02_1"/>
      <w:r>
        <w:rPr>
          <w:rFonts w:hint="eastAsia" w:ascii="Times New Roman" w:hAnsi="Times New Roman" w:eastAsia="仿宋_GB2312" w:cs="黑体"/>
          <w:color w:val="000000"/>
          <w:kern w:val="0"/>
          <w:sz w:val="32"/>
          <w:szCs w:val="32"/>
          <w:lang w:val="en-US" w:eastAsia="zh-CN" w:bidi="ar-SA"/>
        </w:rPr>
        <w:t>与上年相比减少3.5万元，</w:t>
      </w:r>
      <w:bookmarkStart w:id="73" w:name="IS_ZERO_THERR_02"/>
      <w:bookmarkEnd w:id="73"/>
      <w:bookmarkStart w:id="74" w:name="START_IS_ZERO_THERR_02_1"/>
      <w:bookmarkEnd w:id="74"/>
      <w:bookmarkStart w:id="75" w:name="DIS_MARK_IS_ZERO_THERR_02_1"/>
      <w:r>
        <w:rPr>
          <w:rFonts w:hint="eastAsia" w:ascii="Times New Roman" w:hAnsi="Times New Roman" w:eastAsia="仿宋_GB2312" w:cs="黑体"/>
          <w:color w:val="000000"/>
          <w:kern w:val="0"/>
          <w:sz w:val="32"/>
          <w:szCs w:val="32"/>
          <w:lang w:val="en-US" w:eastAsia="zh-CN" w:bidi="ar-SA"/>
        </w:rPr>
        <w:t>减少100%，</w:t>
      </w:r>
      <w:bookmarkEnd w:id="75"/>
      <w:bookmarkStart w:id="76" w:name="START_IS_ZERO_THERR_02_2"/>
      <w:bookmarkEnd w:id="76"/>
      <w:bookmarkStart w:id="77" w:name="END_IS_ZERO_THERR_02_1"/>
      <w:bookmarkEnd w:id="77"/>
      <w:bookmarkStart w:id="78" w:name="END_IS_ZERO_THERR_02_2"/>
      <w:bookmarkEnd w:id="78"/>
      <w:bookmarkStart w:id="79" w:name="DIS_MARK_IS_ZERO_THERR_02_2"/>
      <w:bookmarkEnd w:id="79"/>
      <w:r>
        <w:rPr>
          <w:rFonts w:hint="eastAsia" w:ascii="Times New Roman" w:hAnsi="Times New Roman" w:eastAsia="仿宋_GB2312" w:cs="黑体"/>
          <w:color w:val="000000"/>
          <w:kern w:val="0"/>
          <w:sz w:val="32"/>
          <w:szCs w:val="32"/>
          <w:lang w:val="en-US" w:eastAsia="zh-CN" w:bidi="ar-SA"/>
        </w:rPr>
        <w:t>减少的主要原因是</w:t>
      </w:r>
      <w:r>
        <w:rPr>
          <w:rFonts w:hint="eastAsia" w:ascii="Times New Roman" w:hAnsi="Times New Roman" w:eastAsia="仿宋_GB2312"/>
          <w:sz w:val="32"/>
          <w:szCs w:val="32"/>
          <w:lang w:eastAsia="zh-CN"/>
        </w:rPr>
        <w:t>本年业务活动开支</w:t>
      </w:r>
      <w:r>
        <w:rPr>
          <w:rFonts w:hint="eastAsia" w:ascii="Times New Roman" w:hAnsi="Times New Roman" w:eastAsia="仿宋_GB2312"/>
          <w:sz w:val="32"/>
          <w:szCs w:val="32"/>
          <w:lang w:val="en-US" w:eastAsia="zh-CN"/>
        </w:rPr>
        <w:t>减少</w:t>
      </w:r>
      <w:r>
        <w:rPr>
          <w:rFonts w:hint="eastAsia" w:ascii="Times New Roman" w:hAnsi="Times New Roman" w:eastAsia="仿宋_GB2312"/>
          <w:sz w:val="32"/>
          <w:szCs w:val="32"/>
          <w:lang w:eastAsia="zh-CN"/>
        </w:rPr>
        <w:t>，导致费用</w:t>
      </w:r>
      <w:r>
        <w:rPr>
          <w:rFonts w:hint="eastAsia" w:ascii="Times New Roman" w:hAnsi="Times New Roman" w:eastAsia="仿宋_GB2312"/>
          <w:sz w:val="32"/>
          <w:szCs w:val="32"/>
          <w:lang w:val="en-US" w:eastAsia="zh-CN"/>
        </w:rPr>
        <w:t>减少</w:t>
      </w:r>
      <w:r>
        <w:rPr>
          <w:rFonts w:hint="eastAsia" w:ascii="Times New Roman" w:hAnsi="Times New Roman" w:eastAsia="仿宋_GB2312" w:cs="黑体"/>
          <w:color w:val="000000"/>
          <w:kern w:val="0"/>
          <w:sz w:val="32"/>
          <w:szCs w:val="32"/>
          <w:lang w:val="en-US" w:eastAsia="zh-CN" w:bidi="ar-SA"/>
        </w:rPr>
        <w:t>。</w:t>
      </w:r>
      <w:bookmarkEnd w:id="72"/>
      <w:bookmarkStart w:id="80" w:name="START_IS_ZERO_02_2"/>
      <w:bookmarkEnd w:id="80"/>
      <w:bookmarkStart w:id="81" w:name="END_IS_ZERO_02_2"/>
      <w:bookmarkEnd w:id="81"/>
      <w:bookmarkStart w:id="82" w:name="END_IS_ZERO_02_1"/>
      <w:bookmarkEnd w:id="82"/>
      <w:bookmarkStart w:id="83" w:name="DIS_MARK_IS_ZERO_02_2"/>
      <w:bookmarkEnd w:id="83"/>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公务用车运行维护费支出预算为3.5万元，支出决算为4.82万元，</w:t>
      </w:r>
      <w:bookmarkStart w:id="84" w:name="START_THERR_CZBK_GWYCGZJYXW_BGT_AMT"/>
      <w:bookmarkEnd w:id="84"/>
      <w:bookmarkStart w:id="85" w:name="DIS_MARK_THERR_CZBK_GWYCGZJYXW_BGT_AMT"/>
      <w:r>
        <w:rPr>
          <w:rFonts w:hint="eastAsia" w:ascii="Times New Roman" w:hAnsi="Times New Roman" w:eastAsia="仿宋_GB2312" w:cs="黑体"/>
          <w:color w:val="000000"/>
          <w:kern w:val="0"/>
          <w:sz w:val="32"/>
          <w:szCs w:val="32"/>
          <w:lang w:val="en-US" w:eastAsia="zh-CN" w:bidi="ar-SA"/>
        </w:rPr>
        <w:t>完成预算的100%，</w:t>
      </w:r>
      <w:bookmarkEnd w:id="85"/>
      <w:bookmarkStart w:id="86" w:name="START_IS_ZERO_THERR_03_2"/>
      <w:bookmarkEnd w:id="86"/>
      <w:bookmarkStart w:id="87" w:name="DIS_MARK_IS_ZERO_THERR_03_2"/>
      <w:bookmarkEnd w:id="87"/>
      <w:bookmarkStart w:id="88" w:name="DIS_MARK_THERR_CZBK_GWYCGZJYXW_FINAL_BGT"/>
      <w:bookmarkEnd w:id="88"/>
      <w:bookmarkStart w:id="89" w:name="START_IS_ZERO_03_1"/>
      <w:bookmarkEnd w:id="89"/>
      <w:bookmarkStart w:id="90" w:name="END_IS_ZERO_THERR_03_1"/>
      <w:bookmarkEnd w:id="90"/>
      <w:bookmarkStart w:id="91" w:name="START_THERR_CZBK_GWYCGZJYXW_FINAL_BGT_DB"/>
      <w:bookmarkEnd w:id="91"/>
      <w:bookmarkStart w:id="92" w:name="END_THERR_CZBK_GWYCGZJYXW_FINAL_BGT_D"/>
      <w:bookmarkEnd w:id="92"/>
      <w:bookmarkStart w:id="93" w:name="END_THERR_CZBK_GWYCGZJYXW_BGT_AMT"/>
      <w:bookmarkEnd w:id="93"/>
      <w:bookmarkStart w:id="94" w:name="IS_ZERO_03"/>
      <w:bookmarkEnd w:id="94"/>
      <w:bookmarkStart w:id="95" w:name="END_THERR_CZBK_GWYCGZJYXW_FINAL_BGT_DB"/>
      <w:bookmarkEnd w:id="95"/>
      <w:bookmarkStart w:id="96" w:name="END_IS_ZERO_THERR_03_2"/>
      <w:bookmarkEnd w:id="96"/>
      <w:bookmarkStart w:id="97" w:name="START_THERR_CZBK_GWYCGZJYXW_FINAL_BGT_D"/>
      <w:bookmarkEnd w:id="97"/>
      <w:bookmarkStart w:id="98" w:name="DIS_MARK_IS_ZERO_03_1"/>
      <w:bookmarkStart w:id="99" w:name="THERR_CZBK_GWYCG_FINAL_ACCOUNTS_AMT_DB"/>
      <w:r>
        <w:rPr>
          <w:rFonts w:hint="eastAsia" w:ascii="Times New Roman" w:hAnsi="Times New Roman" w:eastAsia="仿宋_GB2312" w:cs="黑体"/>
          <w:color w:val="000000"/>
          <w:kern w:val="0"/>
          <w:sz w:val="32"/>
          <w:szCs w:val="32"/>
          <w:lang w:val="en-US" w:eastAsia="zh-CN" w:bidi="ar-SA"/>
        </w:rPr>
        <w:t>与上年相比减少1.32万元，减少27.39%，</w:t>
      </w:r>
      <w:bookmarkEnd w:id="98"/>
      <w:bookmarkEnd w:id="99"/>
      <w:r>
        <w:rPr>
          <w:rFonts w:hint="eastAsia" w:ascii="Times New Roman" w:hAnsi="Times New Roman" w:eastAsia="仿宋_GB2312" w:cs="黑体"/>
          <w:color w:val="000000"/>
          <w:kern w:val="0"/>
          <w:sz w:val="32"/>
          <w:szCs w:val="32"/>
          <w:lang w:val="en-US" w:eastAsia="zh-CN" w:bidi="ar-SA"/>
        </w:rPr>
        <w:t>减少的主要原因是</w:t>
      </w:r>
      <w:r>
        <w:rPr>
          <w:rFonts w:hint="eastAsia" w:ascii="Times New Roman" w:hAnsi="Times New Roman" w:eastAsia="仿宋_GB2312"/>
          <w:sz w:val="32"/>
          <w:szCs w:val="32"/>
          <w:lang w:eastAsia="zh-CN"/>
        </w:rPr>
        <w:t>本年业务活动开支</w:t>
      </w:r>
      <w:r>
        <w:rPr>
          <w:rFonts w:hint="eastAsia" w:ascii="Times New Roman" w:hAnsi="Times New Roman" w:eastAsia="仿宋_GB2312"/>
          <w:sz w:val="32"/>
          <w:szCs w:val="32"/>
          <w:lang w:val="en-US" w:eastAsia="zh-CN"/>
        </w:rPr>
        <w:t>减少</w:t>
      </w:r>
      <w:r>
        <w:rPr>
          <w:rFonts w:hint="eastAsia" w:ascii="Times New Roman" w:hAnsi="Times New Roman" w:eastAsia="仿宋_GB2312"/>
          <w:sz w:val="32"/>
          <w:szCs w:val="32"/>
          <w:lang w:eastAsia="zh-CN"/>
        </w:rPr>
        <w:t>，导致费用</w:t>
      </w:r>
      <w:r>
        <w:rPr>
          <w:rFonts w:hint="eastAsia" w:ascii="Times New Roman" w:hAnsi="Times New Roman" w:eastAsia="仿宋_GB2312"/>
          <w:sz w:val="32"/>
          <w:szCs w:val="32"/>
          <w:lang w:val="en-US" w:eastAsia="zh-CN"/>
        </w:rPr>
        <w:t>减少</w:t>
      </w:r>
      <w:r>
        <w:rPr>
          <w:rFonts w:hint="eastAsia" w:ascii="Times New Roman" w:hAnsi="Times New Roman" w:eastAsia="仿宋_GB2312" w:cs="黑体"/>
          <w:color w:val="000000"/>
          <w:kern w:val="0"/>
          <w:sz w:val="32"/>
          <w:szCs w:val="32"/>
          <w:lang w:val="en-US" w:eastAsia="zh-CN" w:bidi="ar-SA"/>
        </w:rPr>
        <w:t>。</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公务用车购置费支出预算为</w:t>
      </w:r>
      <w:bookmarkStart w:id="100" w:name="THERR_CZBK_GWYC_BGT_AMT"/>
      <w:r>
        <w:rPr>
          <w:rFonts w:hint="eastAsia" w:ascii="Times New Roman" w:hAnsi="Times New Roman" w:eastAsia="仿宋_GB2312" w:cs="黑体"/>
          <w:color w:val="000000"/>
          <w:kern w:val="0"/>
          <w:sz w:val="32"/>
          <w:szCs w:val="32"/>
          <w:lang w:val="en-US" w:eastAsia="zh-CN" w:bidi="ar-SA"/>
        </w:rPr>
        <w:t>0.00</w:t>
      </w:r>
      <w:bookmarkEnd w:id="100"/>
      <w:r>
        <w:rPr>
          <w:rFonts w:hint="eastAsia" w:ascii="Times New Roman" w:hAnsi="Times New Roman" w:eastAsia="仿宋_GB2312" w:cs="黑体"/>
          <w:color w:val="000000"/>
          <w:kern w:val="0"/>
          <w:sz w:val="32"/>
          <w:szCs w:val="32"/>
          <w:lang w:val="en-US" w:eastAsia="zh-CN" w:bidi="ar-SA"/>
        </w:rPr>
        <w:t>万元，支出决算为</w:t>
      </w:r>
      <w:bookmarkStart w:id="101" w:name="THERR_CZBK_GWYC_FINAL_ACCOUNTS_AMT"/>
      <w:r>
        <w:rPr>
          <w:rFonts w:hint="eastAsia" w:ascii="Times New Roman" w:hAnsi="Times New Roman" w:eastAsia="仿宋_GB2312" w:cs="黑体"/>
          <w:color w:val="000000"/>
          <w:kern w:val="0"/>
          <w:sz w:val="32"/>
          <w:szCs w:val="32"/>
          <w:lang w:val="en-US" w:eastAsia="zh-CN" w:bidi="ar-SA"/>
        </w:rPr>
        <w:t>0.00</w:t>
      </w:r>
      <w:bookmarkEnd w:id="101"/>
      <w:r>
        <w:rPr>
          <w:rFonts w:hint="eastAsia" w:ascii="Times New Roman" w:hAnsi="Times New Roman" w:eastAsia="仿宋_GB2312" w:cs="黑体"/>
          <w:color w:val="000000"/>
          <w:kern w:val="0"/>
          <w:sz w:val="32"/>
          <w:szCs w:val="32"/>
          <w:lang w:val="en-US" w:eastAsia="zh-CN" w:bidi="ar-SA"/>
        </w:rPr>
        <w:t>万元，</w:t>
      </w:r>
      <w:bookmarkStart w:id="102" w:name="START_THERR_CZBK_GWYC_FINAL_BGT_DB"/>
      <w:bookmarkEnd w:id="102"/>
      <w:bookmarkStart w:id="103" w:name="START_THERR_CZBK_GWYC_FINAL_BGT_D"/>
      <w:bookmarkEnd w:id="103"/>
      <w:bookmarkStart w:id="104" w:name="END_THERR_CZBK_GWYC_BGT_AMT"/>
      <w:bookmarkEnd w:id="104"/>
      <w:bookmarkStart w:id="105" w:name="END_THERR_CZBK_GWYC_FINAL_BGT_DB"/>
      <w:bookmarkEnd w:id="105"/>
      <w:bookmarkStart w:id="106" w:name="DIS_MARK_THERR_CZBK_GWYC_BGT_AMT"/>
      <w:bookmarkEnd w:id="106"/>
      <w:bookmarkStart w:id="107" w:name="START_THERR_CZBK_GWYC_BGT_AMT"/>
      <w:bookmarkEnd w:id="107"/>
      <w:bookmarkStart w:id="108" w:name="DIS_MARK_THERR_CZBK_GWYC_FINAL_BGT_DB"/>
      <w:bookmarkEnd w:id="108"/>
      <w:bookmarkStart w:id="109" w:name="DIS_MARK_THERR_CZBK_GWYC_FINAL_BGT_D"/>
      <w:r>
        <w:rPr>
          <w:rFonts w:hint="eastAsia" w:ascii="Times New Roman" w:hAnsi="Times New Roman" w:eastAsia="仿宋_GB2312" w:cs="黑体"/>
          <w:color w:val="000000"/>
          <w:kern w:val="0"/>
          <w:sz w:val="32"/>
          <w:szCs w:val="32"/>
          <w:lang w:val="en-US" w:eastAsia="zh-CN" w:bidi="ar-SA"/>
        </w:rPr>
        <w:t>与本年预算数相同，</w:t>
      </w:r>
      <w:bookmarkEnd w:id="109"/>
      <w:bookmarkStart w:id="110" w:name="END_IS_ZERO_14_1"/>
      <w:bookmarkEnd w:id="110"/>
      <w:bookmarkStart w:id="111" w:name="START_IS_ZERO_14_1"/>
      <w:bookmarkEnd w:id="111"/>
      <w:bookmarkStart w:id="112" w:name="IS_ZERO_14"/>
      <w:bookmarkEnd w:id="112"/>
      <w:bookmarkStart w:id="113" w:name="END_THERR_CZBK_GWYC_FINAL_BGT_D"/>
      <w:bookmarkEnd w:id="113"/>
      <w:bookmarkStart w:id="114" w:name="START_IS_ZERO_14_2"/>
      <w:bookmarkEnd w:id="114"/>
      <w:bookmarkStart w:id="115" w:name="DIS_MARK_IS_ZERO_14_1"/>
      <w:bookmarkEnd w:id="115"/>
      <w:bookmarkStart w:id="116" w:name="DIS_MARK_IS_ZERO_14_2"/>
      <w:r>
        <w:rPr>
          <w:rFonts w:hint="eastAsia" w:ascii="Times New Roman" w:hAnsi="Times New Roman" w:eastAsia="仿宋_GB2312" w:cs="黑体"/>
          <w:color w:val="000000"/>
          <w:kern w:val="0"/>
          <w:sz w:val="32"/>
          <w:szCs w:val="32"/>
          <w:lang w:val="en-US" w:eastAsia="zh-CN" w:bidi="ar-SA"/>
        </w:rPr>
        <w:t>与上年决算数相同。</w:t>
      </w:r>
      <w:bookmarkEnd w:id="116"/>
      <w:bookmarkStart w:id="117" w:name="END_IS_ZERO_14_2"/>
      <w:bookmarkEnd w:id="117"/>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2025年度“三公”经费财政拨款支出决算中，公务接待费支出决算0万元，占0%，因公出国（境）费支出决算</w:t>
      </w:r>
      <w:bookmarkStart w:id="118" w:name="THERR_30212_AMT"/>
      <w:r>
        <w:rPr>
          <w:rFonts w:hint="eastAsia" w:ascii="Times New Roman" w:hAnsi="Times New Roman" w:eastAsia="仿宋_GB2312" w:cs="黑体"/>
          <w:color w:val="000000"/>
          <w:kern w:val="0"/>
          <w:sz w:val="32"/>
          <w:szCs w:val="32"/>
          <w:lang w:val="en-US" w:eastAsia="zh-CN" w:bidi="ar-SA"/>
        </w:rPr>
        <w:t>0.00</w:t>
      </w:r>
      <w:bookmarkEnd w:id="118"/>
      <w:r>
        <w:rPr>
          <w:rFonts w:hint="eastAsia" w:ascii="Times New Roman" w:hAnsi="Times New Roman" w:eastAsia="仿宋_GB2312" w:cs="黑体"/>
          <w:color w:val="000000"/>
          <w:kern w:val="0"/>
          <w:sz w:val="32"/>
          <w:szCs w:val="32"/>
          <w:lang w:val="en-US" w:eastAsia="zh-CN" w:bidi="ar-SA"/>
        </w:rPr>
        <w:t>万元，占</w:t>
      </w:r>
      <w:bookmarkStart w:id="119" w:name="THERR_30212_AMT_BL"/>
      <w:r>
        <w:rPr>
          <w:rFonts w:hint="eastAsia" w:ascii="Times New Roman" w:hAnsi="Times New Roman" w:eastAsia="仿宋_GB2312" w:cs="黑体"/>
          <w:color w:val="000000"/>
          <w:kern w:val="0"/>
          <w:sz w:val="32"/>
          <w:szCs w:val="32"/>
          <w:lang w:val="en-US" w:eastAsia="zh-CN" w:bidi="ar-SA"/>
        </w:rPr>
        <w:t>0.00</w:t>
      </w:r>
      <w:bookmarkEnd w:id="119"/>
      <w:r>
        <w:rPr>
          <w:rFonts w:hint="eastAsia" w:ascii="Times New Roman" w:hAnsi="Times New Roman" w:eastAsia="仿宋_GB2312" w:cs="黑体"/>
          <w:color w:val="000000"/>
          <w:kern w:val="0"/>
          <w:sz w:val="32"/>
          <w:szCs w:val="32"/>
          <w:lang w:val="en-US" w:eastAsia="zh-CN" w:bidi="ar-SA"/>
        </w:rPr>
        <w:t>%，公务用车购置费及运行维护费支出决算3.5万元，占100%。具体情况如下：</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1、因公出国（境）费支出决算为</w:t>
      </w:r>
      <w:bookmarkStart w:id="120" w:name="THERR_YGCGJFY_AMT"/>
      <w:r>
        <w:rPr>
          <w:rFonts w:hint="eastAsia" w:ascii="Times New Roman" w:hAnsi="Times New Roman" w:eastAsia="仿宋_GB2312" w:cs="黑体"/>
          <w:color w:val="000000"/>
          <w:kern w:val="0"/>
          <w:sz w:val="32"/>
          <w:szCs w:val="32"/>
          <w:lang w:val="en-US" w:eastAsia="zh-CN" w:bidi="ar-SA"/>
        </w:rPr>
        <w:t>0.00</w:t>
      </w:r>
      <w:bookmarkEnd w:id="120"/>
      <w:r>
        <w:rPr>
          <w:rFonts w:hint="eastAsia" w:ascii="Times New Roman" w:hAnsi="Times New Roman" w:eastAsia="仿宋_GB2312" w:cs="黑体"/>
          <w:color w:val="000000"/>
          <w:kern w:val="0"/>
          <w:sz w:val="32"/>
          <w:szCs w:val="32"/>
          <w:lang w:val="en-US" w:eastAsia="zh-CN" w:bidi="ar-SA"/>
        </w:rPr>
        <w:t>万元</w:t>
      </w:r>
      <w:bookmarkStart w:id="121" w:name="DIS_MARK_THERR_YGCGJFY_AMT"/>
      <w:bookmarkEnd w:id="121"/>
      <w:bookmarkStart w:id="122" w:name="THERR_YGCGJFY_ZYYY"/>
      <w:bookmarkEnd w:id="122"/>
      <w:bookmarkStart w:id="123" w:name="END_THERR_YGCGJFY_AMT"/>
      <w:bookmarkEnd w:id="123"/>
      <w:bookmarkStart w:id="124" w:name="START_THERR_YGCGJFY_AMT"/>
      <w:bookmarkEnd w:id="124"/>
      <w:r>
        <w:rPr>
          <w:rFonts w:hint="eastAsia" w:ascii="Times New Roman" w:hAnsi="Times New Roman" w:eastAsia="仿宋_GB2312" w:cs="黑体"/>
          <w:color w:val="000000"/>
          <w:kern w:val="0"/>
          <w:sz w:val="32"/>
          <w:szCs w:val="32"/>
          <w:lang w:val="en-US" w:eastAsia="zh-CN" w:bidi="ar-SA"/>
        </w:rPr>
        <w:t>。</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2、公务接待费支出决算为0万元</w:t>
      </w:r>
      <w:bookmarkStart w:id="125" w:name="START_THERR_GWJDF_AMT"/>
      <w:bookmarkEnd w:id="125"/>
      <w:bookmarkStart w:id="126" w:name="DIS_MARK_THERR_GWJDF_AMT"/>
      <w:r>
        <w:rPr>
          <w:rFonts w:hint="eastAsia" w:ascii="Times New Roman" w:hAnsi="Times New Roman" w:eastAsia="仿宋_GB2312" w:cs="黑体"/>
          <w:color w:val="000000"/>
          <w:kern w:val="0"/>
          <w:sz w:val="32"/>
          <w:szCs w:val="32"/>
          <w:lang w:val="en-US" w:eastAsia="zh-CN" w:bidi="ar-SA"/>
        </w:rPr>
        <w:t>，全年共接待来访团组0个，来宾0人次，主要是</w:t>
      </w:r>
      <w:bookmarkStart w:id="127" w:name="THERR_GWJDF_AMT_ZYYY"/>
      <w:r>
        <w:rPr>
          <w:rFonts w:hint="eastAsia" w:ascii="Times New Roman" w:hAnsi="Times New Roman" w:eastAsia="仿宋_GB2312" w:cs="黑体"/>
          <w:color w:val="000000"/>
          <w:kern w:val="0"/>
          <w:sz w:val="32"/>
          <w:szCs w:val="32"/>
          <w:lang w:val="en-US" w:eastAsia="zh-CN" w:bidi="ar-SA"/>
        </w:rPr>
        <w:t>接待来宾，领导</w:t>
      </w:r>
      <w:bookmarkEnd w:id="126"/>
      <w:bookmarkEnd w:id="127"/>
      <w:bookmarkStart w:id="128" w:name="END_THERR_GWJDF_AMT"/>
      <w:bookmarkEnd w:id="128"/>
      <w:r>
        <w:rPr>
          <w:rFonts w:hint="eastAsia" w:ascii="Times New Roman" w:hAnsi="Times New Roman" w:eastAsia="仿宋_GB2312" w:cs="黑体"/>
          <w:color w:val="000000"/>
          <w:kern w:val="0"/>
          <w:sz w:val="32"/>
          <w:szCs w:val="32"/>
          <w:lang w:val="en-US" w:eastAsia="zh-CN" w:bidi="ar-SA"/>
        </w:rPr>
        <w:t>。</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3、公务用车购置费及运行维护费支出决算为3.5万元</w:t>
      </w:r>
      <w:bookmarkStart w:id="129" w:name="START_THERR_GWYCGZJYXWHF_AMT"/>
      <w:bookmarkEnd w:id="129"/>
      <w:bookmarkStart w:id="130" w:name="DIS_MARK_THERR_GWYCGZJYXWHF_AMT"/>
      <w:r>
        <w:rPr>
          <w:rFonts w:hint="eastAsia" w:ascii="Times New Roman" w:hAnsi="Times New Roman" w:eastAsia="仿宋_GB2312" w:cs="黑体"/>
          <w:color w:val="000000"/>
          <w:kern w:val="0"/>
          <w:sz w:val="32"/>
          <w:szCs w:val="32"/>
          <w:lang w:val="en-US" w:eastAsia="zh-CN" w:bidi="ar-SA"/>
        </w:rPr>
        <w:t>，其中：公务用车购置费</w:t>
      </w:r>
      <w:bookmarkStart w:id="131" w:name="THERR_30913_31013_AMT"/>
      <w:r>
        <w:rPr>
          <w:rFonts w:hint="eastAsia" w:ascii="Times New Roman" w:hAnsi="Times New Roman" w:eastAsia="仿宋_GB2312" w:cs="黑体"/>
          <w:color w:val="000000"/>
          <w:kern w:val="0"/>
          <w:sz w:val="32"/>
          <w:szCs w:val="32"/>
          <w:lang w:val="en-US" w:eastAsia="zh-CN" w:bidi="ar-SA"/>
        </w:rPr>
        <w:t>0.00</w:t>
      </w:r>
      <w:bookmarkEnd w:id="131"/>
      <w:r>
        <w:rPr>
          <w:rFonts w:hint="eastAsia" w:ascii="Times New Roman" w:hAnsi="Times New Roman" w:eastAsia="仿宋_GB2312" w:cs="黑体"/>
          <w:color w:val="000000"/>
          <w:kern w:val="0"/>
          <w:sz w:val="32"/>
          <w:szCs w:val="32"/>
          <w:lang w:val="en-US" w:eastAsia="zh-CN" w:bidi="ar-SA"/>
        </w:rPr>
        <w:t>万元，</w:t>
      </w:r>
      <w:bookmarkStart w:id="132" w:name="AGENCY_NAME_TITLE2"/>
      <w:r>
        <w:rPr>
          <w:rFonts w:hint="eastAsia" w:ascii="Times New Roman" w:hAnsi="Times New Roman" w:eastAsia="仿宋_GB2312" w:cs="黑体"/>
          <w:color w:val="000000"/>
          <w:kern w:val="0"/>
          <w:sz w:val="32"/>
          <w:szCs w:val="32"/>
          <w:lang w:val="en-US" w:eastAsia="zh-CN" w:bidi="ar-SA"/>
        </w:rPr>
        <w:t>道县乐福堂镇财政所</w:t>
      </w:r>
      <w:bookmarkEnd w:id="132"/>
      <w:r>
        <w:rPr>
          <w:rFonts w:hint="eastAsia" w:ascii="Times New Roman" w:hAnsi="Times New Roman" w:eastAsia="仿宋_GB2312" w:cs="黑体"/>
          <w:color w:val="000000"/>
          <w:kern w:val="0"/>
          <w:sz w:val="32"/>
          <w:szCs w:val="32"/>
          <w:lang w:val="en-US" w:eastAsia="zh-CN" w:bidi="ar-SA"/>
        </w:rPr>
        <w:t>更新公务用车</w:t>
      </w:r>
      <w:bookmarkStart w:id="133" w:name="THERR_GWYCGZJYXWHF_BFZHS"/>
      <w:r>
        <w:rPr>
          <w:rFonts w:hint="eastAsia" w:ascii="Times New Roman" w:hAnsi="Times New Roman" w:eastAsia="仿宋_GB2312" w:cs="黑体"/>
          <w:color w:val="000000"/>
          <w:kern w:val="0"/>
          <w:sz w:val="32"/>
          <w:szCs w:val="32"/>
          <w:lang w:val="en-US" w:eastAsia="zh-CN" w:bidi="ar-SA"/>
        </w:rPr>
        <w:t>0</w:t>
      </w:r>
      <w:bookmarkEnd w:id="133"/>
      <w:r>
        <w:rPr>
          <w:rFonts w:hint="eastAsia" w:ascii="Times New Roman" w:hAnsi="Times New Roman" w:eastAsia="仿宋_GB2312" w:cs="黑体"/>
          <w:color w:val="000000"/>
          <w:kern w:val="0"/>
          <w:sz w:val="32"/>
          <w:szCs w:val="32"/>
          <w:lang w:val="en-US" w:eastAsia="zh-CN" w:bidi="ar-SA"/>
        </w:rPr>
        <w:t>辆。公务用车运行维护费3.5万元，主要是</w:t>
      </w:r>
      <w:bookmarkStart w:id="134" w:name="THERR_GWYCGZJYXWHF_ZYYY"/>
      <w:r>
        <w:rPr>
          <w:rFonts w:hint="eastAsia" w:ascii="Times New Roman" w:hAnsi="Times New Roman" w:eastAsia="仿宋_GB2312" w:cs="黑体"/>
          <w:color w:val="000000"/>
          <w:kern w:val="0"/>
          <w:sz w:val="32"/>
          <w:szCs w:val="32"/>
          <w:lang w:val="en-US" w:eastAsia="zh-CN" w:bidi="ar-SA"/>
        </w:rPr>
        <w:t>运营维护本单位车辆</w:t>
      </w:r>
      <w:bookmarkEnd w:id="134"/>
      <w:r>
        <w:rPr>
          <w:rFonts w:hint="eastAsia" w:ascii="Times New Roman" w:hAnsi="Times New Roman" w:eastAsia="仿宋_GB2312" w:cs="黑体"/>
          <w:color w:val="000000"/>
          <w:kern w:val="0"/>
          <w:sz w:val="32"/>
          <w:szCs w:val="32"/>
          <w:lang w:val="en-US" w:eastAsia="zh-CN" w:bidi="ar-SA"/>
        </w:rPr>
        <w:t>，截止2025年12月31日，我单位开支财政拨款的公务用车保有量为</w:t>
      </w:r>
      <w:bookmarkStart w:id="135" w:name="THERR_GWYCGZJYXWHF_SJCLS"/>
      <w:r>
        <w:rPr>
          <w:rFonts w:hint="eastAsia" w:ascii="Times New Roman" w:hAnsi="Times New Roman" w:eastAsia="仿宋_GB2312" w:cs="黑体"/>
          <w:color w:val="000000"/>
          <w:kern w:val="0"/>
          <w:sz w:val="32"/>
          <w:szCs w:val="32"/>
          <w:lang w:val="en-US" w:eastAsia="zh-CN" w:bidi="ar-SA"/>
        </w:rPr>
        <w:t>1</w:t>
      </w:r>
      <w:bookmarkEnd w:id="135"/>
      <w:r>
        <w:rPr>
          <w:rFonts w:hint="eastAsia" w:ascii="Times New Roman" w:hAnsi="Times New Roman" w:eastAsia="仿宋_GB2312" w:cs="黑体"/>
          <w:color w:val="000000"/>
          <w:kern w:val="0"/>
          <w:sz w:val="32"/>
          <w:szCs w:val="32"/>
          <w:lang w:val="en-US" w:eastAsia="zh-CN" w:bidi="ar-SA"/>
        </w:rPr>
        <w:t>辆</w:t>
      </w:r>
      <w:bookmarkEnd w:id="130"/>
      <w:bookmarkStart w:id="136" w:name="END_THERR_GWYCGZJYXWHF_AMT"/>
      <w:bookmarkEnd w:id="136"/>
      <w:r>
        <w:rPr>
          <w:rFonts w:hint="eastAsia" w:ascii="Times New Roman" w:hAnsi="Times New Roman" w:eastAsia="仿宋_GB2312" w:cs="黑体"/>
          <w:color w:val="000000"/>
          <w:kern w:val="0"/>
          <w:sz w:val="32"/>
          <w:szCs w:val="32"/>
          <w:lang w:val="en-US" w:eastAsia="zh-CN" w:bidi="ar-SA"/>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pPr>
        <w:pStyle w:val="14"/>
        <w:keepNext w:val="0"/>
        <w:keepLines w:val="0"/>
        <w:pageBreakBefore w:val="0"/>
        <w:widowControl w:val="0"/>
        <w:kinsoku/>
        <w:wordWrap/>
        <w:overflowPunct/>
        <w:topLinePunct w:val="0"/>
        <w:bidi w:val="0"/>
        <w:snapToGrid/>
        <w:spacing w:line="600" w:lineRule="exact"/>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sz w:val="32"/>
          <w:szCs w:val="32"/>
        </w:rPr>
        <w:t xml:space="preserve">  </w:t>
      </w:r>
      <w:r>
        <w:rPr>
          <w:rFonts w:hint="eastAsia" w:ascii="Times New Roman" w:hAnsi="Times New Roman" w:eastAsia="仿宋_GB2312" w:cs="黑体"/>
          <w:color w:val="000000"/>
          <w:kern w:val="0"/>
          <w:sz w:val="32"/>
          <w:szCs w:val="32"/>
          <w:lang w:val="en-US" w:eastAsia="zh-CN" w:bidi="ar-SA"/>
        </w:rPr>
        <w:t xml:space="preserve">   2025年度政府性基金预算财政拨款收入17.28万元；年初结转和结余</w:t>
      </w:r>
      <w:bookmarkStart w:id="137" w:name="INCOME_ZFXJJ_JZJY_AMT"/>
      <w:r>
        <w:rPr>
          <w:rFonts w:hint="eastAsia" w:ascii="Times New Roman" w:hAnsi="Times New Roman" w:eastAsia="仿宋_GB2312" w:cs="黑体"/>
          <w:color w:val="000000"/>
          <w:kern w:val="0"/>
          <w:sz w:val="32"/>
          <w:szCs w:val="32"/>
          <w:lang w:val="en-US" w:eastAsia="zh-CN" w:bidi="ar-SA"/>
        </w:rPr>
        <w:t>0.00</w:t>
      </w:r>
      <w:bookmarkEnd w:id="137"/>
      <w:r>
        <w:rPr>
          <w:rFonts w:hint="eastAsia" w:ascii="Times New Roman" w:hAnsi="Times New Roman" w:eastAsia="仿宋_GB2312" w:cs="黑体"/>
          <w:color w:val="000000"/>
          <w:kern w:val="0"/>
          <w:sz w:val="32"/>
          <w:szCs w:val="32"/>
          <w:lang w:val="en-US" w:eastAsia="zh-CN" w:bidi="ar-SA"/>
        </w:rPr>
        <w:t>万元；支出17.28元，其中:基本支出</w:t>
      </w:r>
      <w:bookmarkStart w:id="138" w:name="PAY_ZFXJJZC_JBZC_AMT"/>
      <w:r>
        <w:rPr>
          <w:rFonts w:hint="eastAsia" w:ascii="Times New Roman" w:hAnsi="Times New Roman" w:eastAsia="仿宋_GB2312" w:cs="黑体"/>
          <w:color w:val="000000"/>
          <w:kern w:val="0"/>
          <w:sz w:val="32"/>
          <w:szCs w:val="32"/>
          <w:lang w:val="en-US" w:eastAsia="zh-CN" w:bidi="ar-SA"/>
        </w:rPr>
        <w:t>0.00</w:t>
      </w:r>
      <w:bookmarkEnd w:id="138"/>
      <w:r>
        <w:rPr>
          <w:rFonts w:hint="eastAsia" w:ascii="Times New Roman" w:hAnsi="Times New Roman" w:eastAsia="仿宋_GB2312" w:cs="黑体"/>
          <w:color w:val="000000"/>
          <w:kern w:val="0"/>
          <w:sz w:val="32"/>
          <w:szCs w:val="32"/>
          <w:lang w:val="en-US" w:eastAsia="zh-CN" w:bidi="ar-SA"/>
        </w:rPr>
        <w:t>万元，项目支出17.28万元；年末结转和结余</w:t>
      </w:r>
      <w:bookmarkStart w:id="139" w:name="PAY_ZFXJJZC_JZJY_AMT"/>
      <w:r>
        <w:rPr>
          <w:rFonts w:hint="eastAsia" w:ascii="Times New Roman" w:hAnsi="Times New Roman" w:eastAsia="仿宋_GB2312" w:cs="黑体"/>
          <w:color w:val="000000"/>
          <w:kern w:val="0"/>
          <w:sz w:val="32"/>
          <w:szCs w:val="32"/>
          <w:lang w:val="en-US" w:eastAsia="zh-CN" w:bidi="ar-SA"/>
        </w:rPr>
        <w:t>0.00</w:t>
      </w:r>
      <w:bookmarkEnd w:id="139"/>
      <w:r>
        <w:rPr>
          <w:rFonts w:hint="eastAsia" w:ascii="Times New Roman" w:hAnsi="Times New Roman" w:eastAsia="仿宋_GB2312" w:cs="黑体"/>
          <w:color w:val="000000"/>
          <w:kern w:val="0"/>
          <w:sz w:val="32"/>
          <w:szCs w:val="32"/>
          <w:lang w:val="en-US" w:eastAsia="zh-CN" w:bidi="ar-SA"/>
        </w:rPr>
        <w:t>万元。</w:t>
      </w:r>
      <w:r>
        <w:rPr>
          <w:rFonts w:hint="eastAsia" w:ascii="Times New Roman" w:hAnsi="Times New Roman" w:eastAsia="仿宋_GB2312"/>
          <w:sz w:val="32"/>
          <w:szCs w:val="32"/>
        </w:rPr>
        <w:t>具体情况如下：</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1、城乡社区支出（类）国有土地使用权出让收入安排的支出（款）其他国有土地使用权出让收入安排的支出（项）。</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年初预算为17.28万元，支出决算为17.28万元，完成年初预算的100%。</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2"/>
        <w:tabs>
          <w:tab w:val="left" w:pos="3864"/>
          <w:tab w:val="left" w:pos="6248"/>
          <w:tab w:val="left" w:pos="7386"/>
        </w:tabs>
        <w:overflowPunct w:val="0"/>
        <w:spacing w:before="1" w:line="360" w:lineRule="auto"/>
        <w:ind w:right="420" w:firstLine="960" w:firstLineChars="300"/>
        <w:rPr>
          <w:rFonts w:hint="eastAsia" w:ascii="Times New Roman" w:hAnsi="Times New Roman" w:eastAsia="仿宋_GB2312"/>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73.33</w:t>
      </w:r>
      <w:r>
        <w:rPr>
          <w:rFonts w:hint="eastAsia" w:ascii="Times New Roman" w:hAnsi="Times New Roman" w:eastAsia="仿宋_GB2312"/>
          <w:sz w:val="32"/>
          <w:szCs w:val="32"/>
        </w:rPr>
        <w:t>万元，年初预算数</w:t>
      </w:r>
      <w:r>
        <w:rPr>
          <w:rFonts w:hint="eastAsia" w:ascii="Times New Roman" w:hAnsi="Times New Roman" w:eastAsia="仿宋_GB2312"/>
          <w:sz w:val="32"/>
          <w:szCs w:val="32"/>
          <w:lang w:val="en-US" w:eastAsia="zh-CN"/>
        </w:rPr>
        <w:t>79.50</w:t>
      </w:r>
      <w:r>
        <w:rPr>
          <w:rFonts w:hint="eastAsia" w:ascii="Times New Roman" w:hAnsi="Times New Roman" w:eastAsia="仿宋_GB2312"/>
          <w:sz w:val="32"/>
          <w:szCs w:val="32"/>
        </w:rPr>
        <w:t>万元，</w:t>
      </w:r>
      <w:bookmarkStart w:id="140" w:name="JGYXJF_BD_REMAK"/>
      <w:r>
        <w:rPr>
          <w:rFonts w:hint="eastAsia" w:ascii="Times New Roman" w:hAnsi="Times New Roman" w:eastAsia="仿宋_GB2312"/>
          <w:sz w:val="32"/>
          <w:szCs w:val="32"/>
        </w:rPr>
        <w:t>与年初预算持平，完成年初预算的</w:t>
      </w:r>
      <w:r>
        <w:rPr>
          <w:rFonts w:hint="eastAsia" w:ascii="Times New Roman" w:hAnsi="Times New Roman" w:eastAsia="仿宋_GB2312"/>
          <w:sz w:val="32"/>
          <w:szCs w:val="32"/>
          <w:lang w:val="en-US" w:eastAsia="zh-CN"/>
        </w:rPr>
        <w:t>92.24</w:t>
      </w:r>
      <w:r>
        <w:rPr>
          <w:rFonts w:hint="eastAsia" w:ascii="Times New Roman" w:hAnsi="Times New Roman" w:eastAsia="仿宋_GB2312"/>
          <w:sz w:val="32"/>
          <w:szCs w:val="32"/>
        </w:rPr>
        <w:t>%</w:t>
      </w:r>
      <w:bookmarkEnd w:id="140"/>
      <w:r>
        <w:rPr>
          <w:rFonts w:hint="eastAsia" w:ascii="Times New Roman" w:hAnsi="Times New Roman" w:eastAsia="仿宋_GB2312"/>
          <w:sz w:val="32"/>
          <w:szCs w:val="32"/>
        </w:rPr>
        <w:t>。</w:t>
      </w:r>
      <w:bookmarkStart w:id="141" w:name="END_JGYXJF_FUNDS_AMT"/>
      <w:bookmarkEnd w:id="141"/>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pPr>
        <w:pStyle w:val="2"/>
        <w:tabs>
          <w:tab w:val="left" w:pos="3864"/>
          <w:tab w:val="left" w:pos="6248"/>
          <w:tab w:val="left" w:pos="7386"/>
        </w:tabs>
        <w:overflowPunct w:val="0"/>
        <w:spacing w:before="1" w:line="360" w:lineRule="auto"/>
        <w:ind w:right="420" w:firstLine="960" w:firstLineChars="300"/>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万元</w:t>
      </w:r>
      <w:bookmarkStart w:id="142" w:name="START_MEET_FUNDS_AMT"/>
      <w:bookmarkEnd w:id="142"/>
      <w:bookmarkStart w:id="143" w:name="DIS_MARK_MEET_FUNDS_AMT"/>
      <w:r>
        <w:rPr>
          <w:rFonts w:hint="eastAsia" w:ascii="Times New Roman" w:hAnsi="Times New Roman" w:eastAsia="仿宋_GB2312"/>
          <w:sz w:val="32"/>
          <w:szCs w:val="32"/>
        </w:rPr>
        <w:t>，用于</w:t>
      </w:r>
      <w:bookmarkStart w:id="144" w:name="MEET_FUNDS_COUNT"/>
      <w:r>
        <w:rPr>
          <w:rFonts w:hint="eastAsia" w:ascii="Times New Roman" w:hAnsi="Times New Roman" w:eastAsia="仿宋_GB2312"/>
          <w:sz w:val="32"/>
          <w:szCs w:val="32"/>
        </w:rPr>
        <w:t>开展工作</w:t>
      </w:r>
      <w:bookmarkEnd w:id="144"/>
      <w:r>
        <w:rPr>
          <w:rFonts w:hint="eastAsia" w:ascii="Times New Roman" w:hAnsi="Times New Roman" w:eastAsia="仿宋_GB2312"/>
          <w:sz w:val="32"/>
          <w:szCs w:val="32"/>
        </w:rPr>
        <w:t>会议，人数</w:t>
      </w:r>
      <w:r>
        <w:rPr>
          <w:rFonts w:hint="eastAsia" w:ascii="Times New Roman" w:hAnsi="Times New Roman" w:eastAsia="仿宋_GB2312"/>
          <w:sz w:val="32"/>
          <w:szCs w:val="32"/>
          <w:lang w:val="en-US" w:eastAsia="zh-CN"/>
        </w:rPr>
        <w:t>210</w:t>
      </w:r>
      <w:r>
        <w:rPr>
          <w:rFonts w:hint="eastAsia" w:ascii="Times New Roman" w:hAnsi="Times New Roman" w:eastAsia="仿宋_GB2312"/>
          <w:sz w:val="32"/>
          <w:szCs w:val="32"/>
        </w:rPr>
        <w:t>人，内容为</w:t>
      </w:r>
      <w:bookmarkEnd w:id="143"/>
      <w:bookmarkStart w:id="145" w:name="END_MEET_FUNDS_AMT"/>
      <w:bookmarkEnd w:id="145"/>
      <w:r>
        <w:rPr>
          <w:rFonts w:hint="eastAsia" w:ascii="Times New Roman" w:hAnsi="Times New Roman" w:eastAsia="仿宋_GB2312"/>
          <w:sz w:val="32"/>
          <w:szCs w:val="32"/>
        </w:rPr>
        <w:t>选举人大副主席、安排镇里重点工作、农村人居环境卫生整治、乡村振兴等会议；开支培训费</w:t>
      </w:r>
      <w:r>
        <w:rPr>
          <w:rFonts w:hint="eastAsia" w:ascii="Times New Roman" w:hAnsi="Times New Roman" w:eastAsia="仿宋_GB2312"/>
          <w:sz w:val="32"/>
          <w:szCs w:val="32"/>
          <w:lang w:val="en-US" w:eastAsia="zh-CN"/>
        </w:rPr>
        <w:t>0.64</w:t>
      </w:r>
      <w:r>
        <w:rPr>
          <w:rFonts w:hint="eastAsia" w:ascii="Times New Roman" w:hAnsi="Times New Roman" w:eastAsia="仿宋_GB2312"/>
          <w:sz w:val="32"/>
          <w:szCs w:val="32"/>
        </w:rPr>
        <w:t>万元</w:t>
      </w:r>
      <w:bookmarkStart w:id="146" w:name="START_TRAIN_FUNDS_AMT"/>
      <w:bookmarkEnd w:id="146"/>
      <w:bookmarkStart w:id="147" w:name="DIS_MARK_TRAIN_FUNDS_AMT"/>
      <w:r>
        <w:rPr>
          <w:rFonts w:hint="eastAsia" w:ascii="Times New Roman" w:hAnsi="Times New Roman" w:eastAsia="仿宋_GB2312"/>
          <w:sz w:val="32"/>
          <w:szCs w:val="32"/>
        </w:rPr>
        <w:t>，用于</w:t>
      </w:r>
      <w:bookmarkStart w:id="148" w:name="TRAIN_FUNDS_COUNT"/>
      <w:r>
        <w:rPr>
          <w:rFonts w:hint="eastAsia" w:ascii="Times New Roman" w:hAnsi="Times New Roman" w:eastAsia="仿宋_GB2312"/>
          <w:sz w:val="32"/>
          <w:szCs w:val="32"/>
        </w:rPr>
        <w:t>干部</w:t>
      </w:r>
      <w:bookmarkEnd w:id="148"/>
      <w:r>
        <w:rPr>
          <w:rFonts w:hint="eastAsia" w:ascii="Times New Roman" w:hAnsi="Times New Roman" w:eastAsia="仿宋_GB2312"/>
          <w:sz w:val="32"/>
          <w:szCs w:val="32"/>
        </w:rPr>
        <w:t>培训，人数</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人，内容为</w:t>
      </w:r>
      <w:bookmarkStart w:id="149" w:name="TRAIN_FUNDS_PXNR"/>
      <w:r>
        <w:rPr>
          <w:rFonts w:hint="eastAsia" w:ascii="Times New Roman" w:hAnsi="Times New Roman" w:eastAsia="仿宋_GB2312"/>
          <w:sz w:val="32"/>
          <w:szCs w:val="32"/>
        </w:rPr>
        <w:t>县党校培训</w:t>
      </w:r>
      <w:bookmarkEnd w:id="147"/>
      <w:bookmarkEnd w:id="149"/>
      <w:bookmarkStart w:id="150" w:name="END_TRAIN_FUNDS_AMT"/>
      <w:bookmarkEnd w:id="150"/>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陈树湘教育基地开展培训等；</w:t>
      </w:r>
      <w:bookmarkStart w:id="151" w:name="START_NO"/>
      <w:bookmarkEnd w:id="151"/>
      <w:bookmarkStart w:id="152" w:name="YES_NO"/>
      <w:bookmarkEnd w:id="152"/>
      <w:bookmarkStart w:id="153" w:name="END_YES"/>
      <w:bookmarkEnd w:id="153"/>
      <w:bookmarkStart w:id="154" w:name="DIS_MARK_YES"/>
      <w:bookmarkEnd w:id="154"/>
      <w:bookmarkStart w:id="155" w:name="START_YES"/>
      <w:bookmarkEnd w:id="155"/>
      <w:bookmarkStart w:id="156" w:name="DIS_MARK_NO"/>
      <w:r>
        <w:rPr>
          <w:rFonts w:hint="eastAsia" w:ascii="Times New Roman" w:hAnsi="Times New Roman" w:eastAsia="仿宋_GB2312"/>
          <w:sz w:val="32"/>
          <w:szCs w:val="32"/>
        </w:rPr>
        <w:t>未举办节庆、论坛、赛事活动。</w:t>
      </w:r>
      <w:bookmarkEnd w:id="156"/>
      <w:bookmarkStart w:id="157" w:name="END_NO"/>
      <w:bookmarkEnd w:id="157"/>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0.00</w:t>
      </w:r>
      <w:r>
        <w:rPr>
          <w:rFonts w:hint="eastAsia" w:ascii="Times New Roman" w:hAnsi="Times New Roman" w:eastAsia="仿宋_GB2312"/>
          <w:color w:val="auto"/>
          <w:sz w:val="32"/>
          <w:szCs w:val="32"/>
        </w:rPr>
        <w:t>%</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sz w:val="32"/>
          <w:szCs w:val="32"/>
          <w:lang w:val="en-US" w:eastAsia="zh-CN"/>
        </w:rPr>
        <w:t>0.00</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sz w:val="32"/>
          <w:szCs w:val="32"/>
          <w:lang w:val="en-US" w:eastAsia="zh-CN"/>
        </w:rPr>
        <w:t>0.00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sz w:val="32"/>
          <w:szCs w:val="32"/>
          <w:lang w:val="en-US" w:eastAsia="zh-CN"/>
        </w:rPr>
        <w:t>0.00</w:t>
      </w:r>
      <w:r>
        <w:rPr>
          <w:rFonts w:hint="eastAsia" w:ascii="Times New Roman" w:hAnsi="Times New Roman" w:eastAsia="仿宋_GB2312"/>
          <w:color w:val="auto"/>
          <w:sz w:val="32"/>
          <w:szCs w:val="32"/>
        </w:rPr>
        <w:t>%。</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截至2025年12月31日，本部门共有公务用车</w:t>
      </w:r>
      <w:bookmarkStart w:id="158" w:name="GYZC_TOTAL_GWYC"/>
      <w:r>
        <w:rPr>
          <w:rFonts w:hint="eastAsia" w:ascii="Times New Roman" w:hAnsi="Times New Roman" w:eastAsia="仿宋_GB2312" w:cs="黑体"/>
          <w:color w:val="000000"/>
          <w:kern w:val="0"/>
          <w:sz w:val="32"/>
          <w:szCs w:val="32"/>
          <w:lang w:val="en-US" w:eastAsia="zh-CN" w:bidi="ar-SA"/>
        </w:rPr>
        <w:t>1</w:t>
      </w:r>
      <w:bookmarkEnd w:id="158"/>
      <w:r>
        <w:rPr>
          <w:rFonts w:hint="eastAsia" w:ascii="Times New Roman" w:hAnsi="Times New Roman" w:eastAsia="仿宋_GB2312" w:cs="黑体"/>
          <w:color w:val="000000"/>
          <w:kern w:val="0"/>
          <w:sz w:val="32"/>
          <w:szCs w:val="32"/>
          <w:lang w:val="en-US" w:eastAsia="zh-CN" w:bidi="ar-SA"/>
        </w:rPr>
        <w:t>辆，其中，主要领导干部用车1辆、机要通信用车</w:t>
      </w:r>
      <w:bookmarkStart w:id="159" w:name="GYZC_TOTAL_JYTXYC"/>
      <w:r>
        <w:rPr>
          <w:rFonts w:hint="eastAsia" w:ascii="Times New Roman" w:hAnsi="Times New Roman" w:eastAsia="仿宋_GB2312" w:cs="黑体"/>
          <w:color w:val="000000"/>
          <w:kern w:val="0"/>
          <w:sz w:val="32"/>
          <w:szCs w:val="32"/>
          <w:lang w:val="en-US" w:eastAsia="zh-CN" w:bidi="ar-SA"/>
        </w:rPr>
        <w:t>0</w:t>
      </w:r>
      <w:bookmarkEnd w:id="159"/>
      <w:r>
        <w:rPr>
          <w:rFonts w:hint="eastAsia" w:ascii="Times New Roman" w:hAnsi="Times New Roman" w:eastAsia="仿宋_GB2312" w:cs="黑体"/>
          <w:color w:val="000000"/>
          <w:kern w:val="0"/>
          <w:sz w:val="32"/>
          <w:szCs w:val="32"/>
          <w:lang w:val="en-US" w:eastAsia="zh-CN" w:bidi="ar-SA"/>
        </w:rPr>
        <w:t>辆、应急保障用车0辆、执法执勤用车</w:t>
      </w:r>
      <w:bookmarkStart w:id="160" w:name="GYZC_TOTAL_ZFZQYC"/>
      <w:r>
        <w:rPr>
          <w:rFonts w:hint="eastAsia" w:ascii="Times New Roman" w:hAnsi="Times New Roman" w:eastAsia="仿宋_GB2312" w:cs="黑体"/>
          <w:color w:val="000000"/>
          <w:kern w:val="0"/>
          <w:sz w:val="32"/>
          <w:szCs w:val="32"/>
          <w:lang w:val="en-US" w:eastAsia="zh-CN" w:bidi="ar-SA"/>
        </w:rPr>
        <w:t>0</w:t>
      </w:r>
      <w:bookmarkEnd w:id="160"/>
      <w:r>
        <w:rPr>
          <w:rFonts w:hint="eastAsia" w:ascii="Times New Roman" w:hAnsi="Times New Roman" w:eastAsia="仿宋_GB2312" w:cs="黑体"/>
          <w:color w:val="000000"/>
          <w:kern w:val="0"/>
          <w:sz w:val="32"/>
          <w:szCs w:val="32"/>
          <w:lang w:val="en-US" w:eastAsia="zh-CN" w:bidi="ar-SA"/>
        </w:rPr>
        <w:t>辆、特种专业技术用车</w:t>
      </w:r>
      <w:bookmarkStart w:id="161" w:name="GYZC_TOTAL_TZZYJSYC"/>
      <w:r>
        <w:rPr>
          <w:rFonts w:hint="eastAsia" w:ascii="Times New Roman" w:hAnsi="Times New Roman" w:eastAsia="仿宋_GB2312" w:cs="黑体"/>
          <w:color w:val="000000"/>
          <w:kern w:val="0"/>
          <w:sz w:val="32"/>
          <w:szCs w:val="32"/>
          <w:lang w:val="en-US" w:eastAsia="zh-CN" w:bidi="ar-SA"/>
        </w:rPr>
        <w:t>0</w:t>
      </w:r>
      <w:bookmarkEnd w:id="161"/>
      <w:r>
        <w:rPr>
          <w:rFonts w:hint="eastAsia" w:ascii="Times New Roman" w:hAnsi="Times New Roman" w:eastAsia="仿宋_GB2312" w:cs="黑体"/>
          <w:color w:val="000000"/>
          <w:kern w:val="0"/>
          <w:sz w:val="32"/>
          <w:szCs w:val="32"/>
          <w:lang w:val="en-US" w:eastAsia="zh-CN" w:bidi="ar-SA"/>
        </w:rPr>
        <w:t>辆、其他按照规定配备的公务用车</w:t>
      </w:r>
      <w:bookmarkStart w:id="162" w:name="GYZC_TOTAL_QTYC"/>
      <w:r>
        <w:rPr>
          <w:rFonts w:hint="eastAsia" w:ascii="Times New Roman" w:hAnsi="Times New Roman" w:eastAsia="仿宋_GB2312" w:cs="黑体"/>
          <w:color w:val="000000"/>
          <w:kern w:val="0"/>
          <w:sz w:val="32"/>
          <w:szCs w:val="32"/>
          <w:lang w:val="en-US" w:eastAsia="zh-CN" w:bidi="ar-SA"/>
        </w:rPr>
        <w:t>0</w:t>
      </w:r>
      <w:bookmarkEnd w:id="162"/>
      <w:r>
        <w:rPr>
          <w:rFonts w:hint="eastAsia" w:ascii="Times New Roman" w:hAnsi="Times New Roman" w:eastAsia="仿宋_GB2312" w:cs="黑体"/>
          <w:color w:val="000000"/>
          <w:kern w:val="0"/>
          <w:sz w:val="32"/>
          <w:szCs w:val="32"/>
          <w:lang w:val="en-US" w:eastAsia="zh-CN" w:bidi="ar-SA"/>
        </w:rPr>
        <w:t>辆</w:t>
      </w:r>
      <w:bookmarkStart w:id="163" w:name="GYZC_TOTAL_QTCL_YT"/>
      <w:bookmarkEnd w:id="163"/>
      <w:bookmarkStart w:id="164" w:name="START_GYZC_TOTAL_QTYC"/>
      <w:bookmarkEnd w:id="164"/>
      <w:bookmarkStart w:id="165" w:name="END_GYZC_TOTAL_QTYC"/>
      <w:bookmarkEnd w:id="165"/>
      <w:bookmarkStart w:id="166" w:name="DIS_MARK_GYZC_TOTAL_QTYC"/>
      <w:bookmarkEnd w:id="166"/>
      <w:r>
        <w:rPr>
          <w:rFonts w:hint="eastAsia" w:ascii="Times New Roman" w:hAnsi="Times New Roman" w:eastAsia="仿宋_GB2312" w:cs="黑体"/>
          <w:color w:val="000000"/>
          <w:kern w:val="0"/>
          <w:sz w:val="32"/>
          <w:szCs w:val="32"/>
          <w:lang w:val="en-US" w:eastAsia="zh-CN" w:bidi="ar-SA"/>
        </w:rPr>
        <w:t>；单位价值50万元以上通用设备</w:t>
      </w:r>
      <w:bookmarkStart w:id="167" w:name="GYZC_TOTAL_DJ_50"/>
      <w:r>
        <w:rPr>
          <w:rFonts w:hint="eastAsia" w:ascii="Times New Roman" w:hAnsi="Times New Roman" w:eastAsia="仿宋_GB2312" w:cs="黑体"/>
          <w:color w:val="000000"/>
          <w:kern w:val="0"/>
          <w:sz w:val="32"/>
          <w:szCs w:val="32"/>
          <w:lang w:val="en-US" w:eastAsia="zh-CN" w:bidi="ar-SA"/>
        </w:rPr>
        <w:t>0</w:t>
      </w:r>
      <w:bookmarkEnd w:id="167"/>
      <w:r>
        <w:rPr>
          <w:rFonts w:hint="eastAsia" w:ascii="Times New Roman" w:hAnsi="Times New Roman" w:eastAsia="仿宋_GB2312" w:cs="黑体"/>
          <w:color w:val="000000"/>
          <w:kern w:val="0"/>
          <w:sz w:val="32"/>
          <w:szCs w:val="32"/>
          <w:lang w:val="en-US" w:eastAsia="zh-CN" w:bidi="ar-SA"/>
        </w:rPr>
        <w:t>台（套），单位价值100万元以上专用设备</w:t>
      </w:r>
      <w:bookmarkStart w:id="168" w:name="GYZC_TOTAL_DJ_100"/>
      <w:r>
        <w:rPr>
          <w:rFonts w:hint="eastAsia" w:ascii="Times New Roman" w:hAnsi="Times New Roman" w:eastAsia="仿宋_GB2312" w:cs="黑体"/>
          <w:color w:val="000000"/>
          <w:kern w:val="0"/>
          <w:sz w:val="32"/>
          <w:szCs w:val="32"/>
          <w:lang w:val="en-US" w:eastAsia="zh-CN" w:bidi="ar-SA"/>
        </w:rPr>
        <w:t>0</w:t>
      </w:r>
      <w:bookmarkEnd w:id="168"/>
      <w:r>
        <w:rPr>
          <w:rFonts w:hint="eastAsia" w:ascii="Times New Roman" w:hAnsi="Times New Roman" w:eastAsia="仿宋_GB2312" w:cs="黑体"/>
          <w:color w:val="000000"/>
          <w:kern w:val="0"/>
          <w:sz w:val="32"/>
          <w:szCs w:val="32"/>
          <w:lang w:val="en-US" w:eastAsia="zh-CN" w:bidi="ar-SA"/>
        </w:rPr>
        <w:t>台（套）。</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lang w:eastAsia="zh-CN"/>
        </w:rPr>
        <w:t>2025</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本部门预算绩效管理开展情况、绩效目标和绩效评价报告等见附件。</w:t>
      </w:r>
    </w:p>
    <w:p>
      <w:pPr>
        <w:pStyle w:val="14"/>
        <w:jc w:val="center"/>
        <w:rPr>
          <w:sz w:val="72"/>
          <w:szCs w:val="72"/>
        </w:rPr>
      </w:pPr>
    </w:p>
    <w:p>
      <w:pPr>
        <w:pStyle w:val="14"/>
        <w:jc w:val="center"/>
        <w:rPr>
          <w:sz w:val="72"/>
          <w:szCs w:val="72"/>
        </w:rPr>
      </w:pPr>
    </w:p>
    <w:p>
      <w:pPr>
        <w:pStyle w:val="14"/>
        <w:jc w:val="center"/>
        <w:rPr>
          <w:sz w:val="72"/>
          <w:szCs w:val="72"/>
        </w:rPr>
      </w:pPr>
    </w:p>
    <w:p>
      <w:pPr>
        <w:pStyle w:val="14"/>
        <w:jc w:val="both"/>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pStyle w:val="14"/>
        <w:jc w:val="left"/>
        <w:rPr>
          <w:rFonts w:hint="eastAsia" w:ascii="Times New Roman" w:hAnsi="Times New Roman" w:eastAsia="仿宋_GB2312" w:cs="黑体"/>
          <w:color w:val="000000"/>
          <w:kern w:val="0"/>
          <w:sz w:val="32"/>
          <w:szCs w:val="32"/>
          <w:lang w:val="en-US" w:eastAsia="zh-CN" w:bidi="ar-SA"/>
        </w:rPr>
      </w:pPr>
      <w:r>
        <w:rPr>
          <w:rFonts w:hint="eastAsia" w:cs="黑体" w:asciiTheme="minorEastAsia" w:hAnsiTheme="minorEastAsia"/>
          <w:color w:val="000000"/>
          <w:kern w:val="0"/>
          <w:sz w:val="32"/>
          <w:szCs w:val="32"/>
        </w:rPr>
        <w:tab/>
      </w:r>
      <w:r>
        <w:rPr>
          <w:rFonts w:hint="eastAsia" w:cs="黑体" w:asciiTheme="minorEastAsia" w:hAnsiTheme="minorEastAsia"/>
          <w:color w:val="000000"/>
          <w:kern w:val="0"/>
          <w:sz w:val="32"/>
          <w:szCs w:val="32"/>
          <w:lang w:val="en-US" w:eastAsia="zh-CN"/>
        </w:rPr>
        <w:t xml:space="preserve">  </w:t>
      </w:r>
      <w:r>
        <w:rPr>
          <w:rFonts w:hint="eastAsia" w:ascii="Times New Roman" w:hAnsi="Times New Roman" w:eastAsia="仿宋_GB2312" w:cs="黑体"/>
          <w:color w:val="000000"/>
          <w:kern w:val="0"/>
          <w:sz w:val="32"/>
          <w:szCs w:val="32"/>
          <w:lang w:val="en-US" w:eastAsia="zh-CN" w:bidi="ar-SA"/>
        </w:rPr>
        <w:t xml:space="preserve"> 1．财政拨款收入：指单位本年度从同级财政部门取得的各类财政拨款。</w:t>
      </w:r>
    </w:p>
    <w:p>
      <w:pPr>
        <w:pStyle w:val="14"/>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2．上级补助收入：指事业单位从主管部门和上级单位取得的非财政补助收入。</w:t>
      </w:r>
    </w:p>
    <w:p>
      <w:pPr>
        <w:pStyle w:val="14"/>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pStyle w:val="14"/>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4．“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pStyle w:val="14"/>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5．对附属单位补助支出：指事业单位用财政拨款收入之外的收入对附属单位补助发生的支出。</w:t>
      </w:r>
    </w:p>
    <w:p>
      <w:pPr>
        <w:pStyle w:val="14"/>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6．经营支出：指事业单位在专业业务活动及其辅助活动之外开展非独立核算经营活动发生的支出。</w:t>
      </w:r>
    </w:p>
    <w:p>
      <w:pPr>
        <w:pStyle w:val="14"/>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7．上缴上级支出：指事业单位按照财政部门和主管部门的规定上缴上级单位的支出。</w:t>
      </w:r>
    </w:p>
    <w:p>
      <w:pPr>
        <w:pStyle w:val="14"/>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8．项目支出：指在为完成特定的工作任务和事业发展目标所发生的支出。</w:t>
      </w:r>
    </w:p>
    <w:p>
      <w:pPr>
        <w:pStyle w:val="14"/>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9．基本支出：指为保障机构正常运转、完成日常工作任务而发生的支出，包括人员经费和公用经费。</w:t>
      </w:r>
    </w:p>
    <w:p>
      <w:pPr>
        <w:pStyle w:val="14"/>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10．年末结转和结余资金：指本年度或以前年度预算安排、因客观条件发生变化无法按原计划实施，需要延迟到以后年度按有关规定继续使用的资金。</w:t>
      </w:r>
    </w:p>
    <w:p>
      <w:pPr>
        <w:pStyle w:val="14"/>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11．结余分配：指事业单位按规定对非财政拨款结余资金提取的专用基金、缴纳的所得税和转入非财政拨款结余等。</w:t>
      </w:r>
    </w:p>
    <w:p>
      <w:pPr>
        <w:pStyle w:val="14"/>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12．年初结转和结余：指单位上年结转本年使用的基本支出结转、项目支出结转和结余和经营结余。</w:t>
      </w:r>
    </w:p>
    <w:p>
      <w:pPr>
        <w:pStyle w:val="14"/>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13．使用非财政拨款结余：指事业单位使用非财政拨款结余（原事业基金）弥补当年收支差额的数额。</w:t>
      </w:r>
    </w:p>
    <w:p>
      <w:pPr>
        <w:pStyle w:val="14"/>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14．其他收入：指单位取得的除上述“财政拨款收入”、“事业收入”、“经营收入”等以外的各项收入。</w:t>
      </w:r>
    </w:p>
    <w:p>
      <w:pPr>
        <w:pStyle w:val="14"/>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15．事业收入：指事业单位开展专业业务活动及其辅助活动取得的收入，事业单位收到的财政专户实际核拨的教育收费等资金在此反映。</w:t>
      </w:r>
    </w:p>
    <w:p>
      <w:pPr>
        <w:pStyle w:val="14"/>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16．经营收入：指事业单位在专业业务活动及其辅助活动之外开展非独立核算经营活动取得的收入。</w:t>
      </w:r>
    </w:p>
    <w:p>
      <w:pPr>
        <w:pStyle w:val="14"/>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17．附属单位上缴收入：指事业单位附属独立核算单位按照有关规定上缴的收入。</w:t>
      </w:r>
    </w:p>
    <w:p>
      <w:pPr>
        <w:pStyle w:val="14"/>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18．一般公共服务支出（类）人大事务（款）其他人大事务支出（项）：反映除上述项目以外的其他人大事务支出。</w:t>
      </w:r>
    </w:p>
    <w:p>
      <w:pPr>
        <w:pStyle w:val="14"/>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19．一般公共服务支出（类）政府办公厅（室）及相关机构事务（款）行政运行（项）：反映行政单位（包括实行公务员管理的事业单位）的基本 支出。</w:t>
      </w:r>
    </w:p>
    <w:p>
      <w:pPr>
        <w:pStyle w:val="14"/>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20．一般公共服务支出（类）政府办公厅（室）及相关机构事务（款）其他政府办公厅（室）及相关机构事务支出（项）：反映除上述项目以外的其他政府办公厅（室）及相关机构事 务支出。</w:t>
      </w:r>
    </w:p>
    <w:p>
      <w:pPr>
        <w:pStyle w:val="14"/>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21．一般公共服务支出（类）纪检监察事务（款）其他纪检监察事务支出（项）：反映除上述项目以外其他纪检监察事务方面的支出。</w:t>
      </w:r>
    </w:p>
    <w:p>
      <w:pPr>
        <w:pStyle w:val="14"/>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22．一般公共服务支出（类）群众团体事务（款）其他群众团体事务支出（项）：反映除上述项目以外其他用于群众团体事务方面的支出。</w:t>
      </w:r>
    </w:p>
    <w:p>
      <w:pPr>
        <w:pStyle w:val="14"/>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23．一般公共服务支出（类）其他一般公共服务支出（款）其他一般公共服务支出（项）：反映除上述项目以外的其他一般公共服务支出O</w:t>
      </w:r>
    </w:p>
    <w:p>
      <w:pPr>
        <w:pStyle w:val="14"/>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24．社会保障和就业支出（类）行政事业单位养老支出（款）机关事业单位基本养老保险缴费支出（项）：反映机关事业单位实施养老保险制度由单位缴纳的基本养老保险费支出。</w:t>
      </w:r>
    </w:p>
    <w:p>
      <w:pPr>
        <w:pStyle w:val="14"/>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25．社会保障和就业支出（类）抚恤（款）死亡抚恤（项）：反映按规定用于烈士和牺牲、病故人员家属的一次性和定期 抚恤金、丧葬补助费以及烈士褒扬金。</w:t>
      </w:r>
    </w:p>
    <w:p>
      <w:pPr>
        <w:pStyle w:val="14"/>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26．卫生健康支出（类）行政事业单位医疗（款）行政单位医疗（项）：反映财政部门安排的行政单位（包括实行公务员管理的事业 单位，下同）基本医疗保险缴费经费，未参加医疗保险的行政 单位的公费医疗经费，按国家规定享受离休人员、红军老战士 待遇人员的医疗经费。</w:t>
      </w:r>
    </w:p>
    <w:p>
      <w:pPr>
        <w:pStyle w:val="14"/>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27．农林水支出（类）巩固脱贫衔接乡村振兴（款）其他巩固脱贫衔接乡村振兴支出（项）：反映除上述项目以外其他用于巩固拓展脱贫攻坚成果同乡村</w:t>
      </w:r>
    </w:p>
    <w:p>
      <w:pPr>
        <w:pStyle w:val="14"/>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28．农林水支出（类）农村综合改革（款）对村级公益事业建设的补助（项）：反映农村综合改革方面的支出。</w:t>
      </w:r>
    </w:p>
    <w:p>
      <w:pPr>
        <w:pStyle w:val="14"/>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29．农林水支出（类）农村综合改革（款）对村民委员会和村党支部的补助（项）：反映各级财政对村民委员会和村党支部的补助支出，以及支持建立县级基本财力保障机制安排的村级组织运转奖补资金。</w:t>
      </w:r>
    </w:p>
    <w:p>
      <w:pPr>
        <w:pStyle w:val="14"/>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30．灾害防治及应急管理支出（类）自然灾害防治（款）森林草原防灾减灾（项）：反映防治森林草原火灾、自然水呈灾害等发生的支出。</w:t>
      </w:r>
    </w:p>
    <w:p>
      <w:pPr>
        <w:pStyle w:val="14"/>
        <w:jc w:val="both"/>
        <w:rPr>
          <w:sz w:val="72"/>
          <w:szCs w:val="72"/>
        </w:rPr>
      </w:pPr>
    </w:p>
    <w:p>
      <w:pPr>
        <w:pStyle w:val="14"/>
        <w:jc w:val="center"/>
        <w:rPr>
          <w:sz w:val="72"/>
          <w:szCs w:val="72"/>
        </w:rPr>
      </w:pPr>
    </w:p>
    <w:p>
      <w:pPr>
        <w:pStyle w:val="14"/>
        <w:jc w:val="center"/>
        <w:rPr>
          <w:sz w:val="72"/>
          <w:szCs w:val="72"/>
        </w:rPr>
      </w:pPr>
    </w:p>
    <w:p>
      <w:pPr>
        <w:pStyle w:val="14"/>
        <w:jc w:val="center"/>
        <w:rPr>
          <w:sz w:val="72"/>
          <w:szCs w:val="72"/>
        </w:rPr>
      </w:pPr>
    </w:p>
    <w:p>
      <w:pPr>
        <w:pStyle w:val="14"/>
        <w:jc w:val="center"/>
        <w:rPr>
          <w:sz w:val="72"/>
          <w:szCs w:val="72"/>
        </w:rPr>
      </w:pPr>
    </w:p>
    <w:p>
      <w:pPr>
        <w:pStyle w:val="14"/>
        <w:jc w:val="center"/>
        <w:rPr>
          <w:sz w:val="72"/>
          <w:szCs w:val="72"/>
        </w:rPr>
      </w:pPr>
    </w:p>
    <w:p>
      <w:pPr>
        <w:pStyle w:val="14"/>
        <w:jc w:val="center"/>
        <w:rPr>
          <w:sz w:val="72"/>
          <w:szCs w:val="72"/>
        </w:rPr>
      </w:pPr>
    </w:p>
    <w:p>
      <w:pPr>
        <w:pStyle w:val="14"/>
        <w:jc w:val="center"/>
        <w:rPr>
          <w:sz w:val="72"/>
          <w:szCs w:val="72"/>
        </w:rPr>
      </w:pPr>
    </w:p>
    <w:p>
      <w:pPr>
        <w:rPr>
          <w:sz w:val="72"/>
          <w:szCs w:val="72"/>
        </w:rPr>
      </w:pPr>
      <w:r>
        <w:rPr>
          <w:sz w:val="72"/>
          <w:szCs w:val="72"/>
        </w:rPr>
        <w:br w:type="page"/>
      </w: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bookmarkStart w:id="169" w:name="_GoBack"/>
      <w:bookmarkEnd w:id="169"/>
    </w:p>
    <w:p>
      <w:pPr>
        <w:pStyle w:val="14"/>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pPr>
        <w:rPr>
          <w:rFonts w:cs="黑体" w:asciiTheme="minorEastAsia" w:hAnsiTheme="minorEastAsia"/>
          <w:color w:val="000000"/>
          <w:kern w:val="0"/>
          <w:sz w:val="32"/>
          <w:szCs w:val="32"/>
        </w:rPr>
      </w:pPr>
      <w:r>
        <w:rPr>
          <w:sz w:val="72"/>
          <w:szCs w:val="72"/>
        </w:rPr>
        <w:br w:type="page"/>
      </w: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4647CE"/>
    <w:multiLevelType w:val="singleLevel"/>
    <w:tmpl w:val="9D4647CE"/>
    <w:lvl w:ilvl="0" w:tentative="0">
      <w:start w:val="2"/>
      <w:numFmt w:val="chineseCounting"/>
      <w:suff w:val="nothing"/>
      <w:lvlText w:val="（%1）"/>
      <w:lvlJc w:val="left"/>
      <w:rPr>
        <w:rFonts w:hint="eastAsia"/>
      </w:rPr>
    </w:lvl>
  </w:abstractNum>
  <w:abstractNum w:abstractNumId="1">
    <w:nsid w:val="77AA1E04"/>
    <w:multiLevelType w:val="singleLevel"/>
    <w:tmpl w:val="77AA1E0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7E613F"/>
    <w:rsid w:val="11282C3F"/>
    <w:rsid w:val="1917700C"/>
    <w:rsid w:val="1B1E4D15"/>
    <w:rsid w:val="1D97DEFF"/>
    <w:rsid w:val="1DC861C0"/>
    <w:rsid w:val="1DFF72E5"/>
    <w:rsid w:val="1EFC6F07"/>
    <w:rsid w:val="1F726592"/>
    <w:rsid w:val="21240AF9"/>
    <w:rsid w:val="230A1F70"/>
    <w:rsid w:val="24B75FB2"/>
    <w:rsid w:val="272051E8"/>
    <w:rsid w:val="28A517CF"/>
    <w:rsid w:val="2FDF85B8"/>
    <w:rsid w:val="2FFFEE04"/>
    <w:rsid w:val="34DF85B0"/>
    <w:rsid w:val="3A0D740F"/>
    <w:rsid w:val="3B8F36BC"/>
    <w:rsid w:val="446A6C06"/>
    <w:rsid w:val="48152AB5"/>
    <w:rsid w:val="491FF225"/>
    <w:rsid w:val="4D7668DC"/>
    <w:rsid w:val="4DCD0FFD"/>
    <w:rsid w:val="4FE6591E"/>
    <w:rsid w:val="4FFD214C"/>
    <w:rsid w:val="524D19FA"/>
    <w:rsid w:val="55AE1887"/>
    <w:rsid w:val="5777D4F5"/>
    <w:rsid w:val="59DD8326"/>
    <w:rsid w:val="5DEF592A"/>
    <w:rsid w:val="5FC6BB1E"/>
    <w:rsid w:val="5FF720F1"/>
    <w:rsid w:val="609339BD"/>
    <w:rsid w:val="619517C1"/>
    <w:rsid w:val="67FF5C0B"/>
    <w:rsid w:val="6EFC0924"/>
    <w:rsid w:val="6FB74722"/>
    <w:rsid w:val="6FEA072C"/>
    <w:rsid w:val="6FEF8B7E"/>
    <w:rsid w:val="71A6591B"/>
    <w:rsid w:val="737D59BA"/>
    <w:rsid w:val="77C37683"/>
    <w:rsid w:val="79FF515B"/>
    <w:rsid w:val="7BEC1B1B"/>
    <w:rsid w:val="7C5078B0"/>
    <w:rsid w:val="7E5749F8"/>
    <w:rsid w:val="7E9E1962"/>
    <w:rsid w:val="7E9F11B4"/>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1"/>
    <w:pPr>
      <w:widowControl w:val="0"/>
      <w:jc w:val="both"/>
    </w:pPr>
    <w:rPr>
      <w:rFonts w:ascii="Calibri" w:hAnsi="Calibri" w:eastAsia="宋体"/>
      <w:kern w:val="2"/>
      <w:sz w:val="32"/>
      <w:szCs w:val="32"/>
      <w:lang w:val="en-US" w:eastAsia="zh-CN" w:bidi="ar-SA"/>
    </w:r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unhideWhenUsed/>
    <w:qFormat/>
    <w:uiPriority w:val="0"/>
    <w:pPr>
      <w:spacing w:before="100" w:beforeAutospacing="1" w:after="100" w:afterAutospacing="1"/>
      <w:jc w:val="left"/>
    </w:pPr>
    <w:rPr>
      <w:rFonts w:ascii="Calibri" w:hAnsi="Calibri"/>
      <w:kern w:val="0"/>
      <w:sz w:val="24"/>
      <w:szCs w:val="24"/>
    </w:r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5"/>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9177</Words>
  <Characters>11431</Characters>
  <Lines>63</Lines>
  <Paragraphs>18</Paragraphs>
  <TotalTime>3</TotalTime>
  <ScaleCrop>false</ScaleCrop>
  <LinksUpToDate>false</LinksUpToDate>
  <CharactersWithSpaces>12501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水蜜桃</cp:lastModifiedBy>
  <cp:lastPrinted>2024-08-08T10:20:00Z</cp:lastPrinted>
  <dcterms:modified xsi:type="dcterms:W3CDTF">2026-09-14T07:46:44Z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8AC39F27AF3D4785AE898AB1D590805D_12</vt:lpwstr>
  </property>
</Properties>
</file>