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3"/>
        <w:jc w:val="center"/>
        <w:rPr>
          <w:sz w:val="56"/>
          <w:szCs w:val="56"/>
        </w:rPr>
      </w:pPr>
    </w:p>
    <w:p>
      <w:pPr>
        <w:pStyle w:val="13"/>
        <w:jc w:val="center"/>
        <w:rPr>
          <w:sz w:val="84"/>
          <w:szCs w:val="84"/>
        </w:rPr>
      </w:pPr>
    </w:p>
    <w:p>
      <w:pPr>
        <w:pStyle w:val="13"/>
        <w:jc w:val="center"/>
        <w:rPr>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畜牧水产事务中心</w:t>
      </w:r>
      <w:r>
        <w:rPr>
          <w:rFonts w:hint="eastAsia" w:ascii="方正小标宋_GBK" w:hAnsi="方正小标宋_GBK" w:eastAsia="方正小标宋_GBK" w:cs="方正小标宋_GBK"/>
          <w:sz w:val="84"/>
          <w:szCs w:val="84"/>
        </w:rPr>
        <w:t>部门决算</w:t>
      </w:r>
    </w:p>
    <w:p>
      <w:pPr>
        <w:pStyle w:val="13"/>
        <w:jc w:val="center"/>
        <w:rPr>
          <w:rFonts w:hint="eastAsia" w:ascii="方正小标宋_GBK" w:hAnsi="方正小标宋_GBK" w:eastAsia="方正小标宋_GBK" w:cs="方正小标宋_GBK"/>
          <w:sz w:val="56"/>
          <w:szCs w:val="56"/>
        </w:rPr>
      </w:pPr>
    </w:p>
    <w:p>
      <w:pPr>
        <w:pStyle w:val="13"/>
        <w:jc w:val="center"/>
        <w:rPr>
          <w:sz w:val="56"/>
          <w:szCs w:val="56"/>
        </w:rPr>
      </w:pPr>
    </w:p>
    <w:p>
      <w:pPr>
        <w:pStyle w:val="13"/>
        <w:jc w:val="center"/>
        <w:rPr>
          <w:sz w:val="56"/>
          <w:szCs w:val="56"/>
        </w:rPr>
      </w:pPr>
    </w:p>
    <w:p>
      <w:pPr>
        <w:pStyle w:val="13"/>
        <w:jc w:val="center"/>
        <w:rPr>
          <w:sz w:val="56"/>
          <w:szCs w:val="56"/>
        </w:rPr>
      </w:pPr>
    </w:p>
    <w:p>
      <w:pPr>
        <w:pStyle w:val="13"/>
        <w:jc w:val="center"/>
        <w:rPr>
          <w:sz w:val="32"/>
          <w:szCs w:val="32"/>
        </w:rPr>
      </w:pPr>
    </w:p>
    <w:p>
      <w:pPr>
        <w:pStyle w:val="13"/>
        <w:jc w:val="center"/>
        <w:rPr>
          <w:sz w:val="32"/>
          <w:szCs w:val="32"/>
        </w:rPr>
      </w:pPr>
    </w:p>
    <w:p>
      <w:pPr>
        <w:pStyle w:val="13"/>
        <w:jc w:val="center"/>
        <w:rPr>
          <w:sz w:val="32"/>
          <w:szCs w:val="32"/>
        </w:rPr>
      </w:pPr>
    </w:p>
    <w:p>
      <w:pPr>
        <w:pStyle w:val="13"/>
        <w:jc w:val="center"/>
        <w:rPr>
          <w:sz w:val="32"/>
          <w:szCs w:val="32"/>
        </w:rPr>
      </w:pPr>
    </w:p>
    <w:p>
      <w:pPr>
        <w:pStyle w:val="13"/>
        <w:jc w:val="center"/>
        <w:rPr>
          <w:sz w:val="32"/>
          <w:szCs w:val="32"/>
        </w:rPr>
      </w:pPr>
    </w:p>
    <w:p>
      <w:pPr>
        <w:pStyle w:val="13"/>
        <w:spacing w:line="540" w:lineRule="exact"/>
        <w:jc w:val="center"/>
        <w:rPr>
          <w:sz w:val="56"/>
          <w:szCs w:val="56"/>
        </w:rPr>
      </w:pPr>
    </w:p>
    <w:p>
      <w:pPr>
        <w:pStyle w:val="13"/>
        <w:spacing w:line="500" w:lineRule="exact"/>
        <w:jc w:val="both"/>
        <w:rPr>
          <w:b/>
          <w:sz w:val="36"/>
          <w:szCs w:val="28"/>
        </w:rPr>
      </w:pPr>
    </w:p>
    <w:p>
      <w:pPr>
        <w:pStyle w:val="13"/>
        <w:spacing w:line="500" w:lineRule="exact"/>
        <w:jc w:val="center"/>
        <w:rPr>
          <w:b/>
          <w:sz w:val="36"/>
          <w:szCs w:val="28"/>
        </w:rPr>
      </w:pPr>
      <w:r>
        <w:rPr>
          <w:rFonts w:hint="eastAsia"/>
          <w:b/>
          <w:sz w:val="36"/>
          <w:szCs w:val="28"/>
        </w:rPr>
        <w:t>目录</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畜牧水产事务中心</w:t>
      </w:r>
      <w:r>
        <w:rPr>
          <w:rFonts w:hint="eastAsia" w:ascii="黑体" w:hAnsi="黑体" w:eastAsia="黑体" w:cs="黑体"/>
          <w:b w:val="0"/>
          <w:bCs/>
          <w:sz w:val="28"/>
          <w:szCs w:val="28"/>
        </w:rPr>
        <w:t>单位概况</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w:t>
      </w:r>
      <w:r>
        <w:rPr>
          <w:rFonts w:hint="eastAsia" w:ascii="Times New Roman" w:hAnsi="Times New Roman" w:eastAsia="仿宋_GB2312" w:cs="Times New Roman"/>
          <w:sz w:val="28"/>
          <w:szCs w:val="28"/>
          <w:lang w:val="en-US" w:eastAsia="zh-CN"/>
        </w:rPr>
        <w:t>5</w:t>
      </w:r>
      <w:r>
        <w:rPr>
          <w:rFonts w:hint="eastAsia" w:ascii="Times New Roman" w:hAnsi="Times New Roman" w:eastAsia="仿宋_GB2312" w:cs="Times New Roman"/>
          <w:sz w:val="28"/>
          <w:szCs w:val="28"/>
          <w:lang w:eastAsia="zh-CN"/>
        </w:rPr>
        <w:t>年</w:t>
      </w:r>
      <w:r>
        <w:rPr>
          <w:rFonts w:hint="eastAsia" w:ascii="仿宋_GB2312" w:hAnsi="仿宋_GB2312" w:eastAsia="仿宋_GB2312" w:cs="仿宋_GB2312"/>
          <w:sz w:val="28"/>
          <w:szCs w:val="28"/>
        </w:rPr>
        <w:t>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3"/>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畜牧水产事务中心</w:t>
      </w:r>
      <w:r>
        <w:rPr>
          <w:rFonts w:hint="eastAsia" w:ascii="方正小标宋_GBK" w:hAnsi="方正小标宋_GBK" w:eastAsia="方正小标宋_GBK" w:cs="方正小标宋_GBK"/>
          <w:sz w:val="84"/>
          <w:szCs w:val="84"/>
        </w:rPr>
        <w:t>单位概况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ind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（一）按照养殖业有关法律法规和方针政策的要求，为全县畜牧业、渔业发展提供技术支撑和服务保障</w:t>
      </w:r>
    </w:p>
    <w:p>
      <w:pPr>
        <w:ind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(二)为养殖业生产、市场信息监测提供技术、信息服务开展统计分析工作。研究提出畜牧业、渔业产业发展与资源保护建议，承担产业项目有关技术性工作</w:t>
      </w:r>
    </w:p>
    <w:p>
      <w:pPr>
        <w:ind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(三)研究提出全县养殖业技术推广规划和体系建设规划意见，协助组织开展全县养殖业技术推广和专业技术人员培训。参与畜牧水产相关项目的实施、验收。</w:t>
      </w:r>
    </w:p>
    <w:p>
      <w:pPr>
        <w:ind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(四)承担全县畜牧业、渔业、饲料、兽药调查研究，收集预测并发布全县养殖业生产形势、生产资料供应、产品供求情况等经济信息。</w:t>
      </w:r>
    </w:p>
    <w:p>
      <w:pPr>
        <w:ind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(五)承担重大动物疫病(包括人畜共患病)防控和动物诊疗机构及其从业人员管理等相关技术性、事务性工作。</w:t>
      </w:r>
    </w:p>
    <w:p>
      <w:pPr>
        <w:ind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(六)承担畜禽、水产、牧草、饲料品种资源调查等工作;组织实施相关品种的申报、登记、引进、繁育、推广工作;协助组织开展地方特色养殖品种的保护和开发利用。</w:t>
      </w:r>
    </w:p>
    <w:p>
      <w:pPr>
        <w:ind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(七)承担畜禽屠字行业发展相关技术性、事务性工作</w:t>
      </w:r>
    </w:p>
    <w:p>
      <w:pPr>
        <w:ind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(八)对乡镇、街道畜牧水产事务进行业务指导。</w:t>
      </w:r>
    </w:p>
    <w:p>
      <w:pPr>
        <w:ind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(九)承担县农业农村局交办的其他工作。</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widowControl/>
        <w:spacing w:line="600" w:lineRule="exact"/>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val="en-US" w:eastAsia="zh-CN"/>
        </w:rPr>
        <w:t>畜牧水产事务中心</w:t>
      </w:r>
      <w:r>
        <w:rPr>
          <w:rFonts w:hint="eastAsia" w:ascii="Times New Roman" w:hAnsi="Times New Roman" w:eastAsia="仿宋_GB2312" w:cs="仿宋_GB2312"/>
          <w:bCs/>
          <w:kern w:val="0"/>
          <w:sz w:val="32"/>
          <w:szCs w:val="32"/>
        </w:rPr>
        <w:t>单位内设机构包括：</w:t>
      </w:r>
      <w:r>
        <w:rPr>
          <w:rFonts w:hint="eastAsia" w:ascii="Times New Roman" w:hAnsi="Times New Roman" w:eastAsia="仿宋_GB2312" w:cs="仿宋_GB2312"/>
          <w:bCs/>
          <w:kern w:val="0"/>
          <w:sz w:val="32"/>
          <w:szCs w:val="32"/>
          <w:lang w:val="en-US" w:eastAsia="zh-CN"/>
        </w:rPr>
        <w:t>综合室、财务室、畜牧发展室、渔业发展与资源保护室、兽医事务室。核定全额拨款事业编制19名。核定主任1名(正科级）、副主任2名(副科级)；内设机构正股</w:t>
      </w:r>
    </w:p>
    <w:p>
      <w:pPr>
        <w:widowControl/>
        <w:spacing w:line="600" w:lineRule="exact"/>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下属事业单位：</w:t>
      </w:r>
    </w:p>
    <w:p>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1、道县畜牧水产科技推广站。道县畜牧水产科技推广中心更名为道县畜牧水产科技推广站，为正股级公益一类事业单位，核定全额拨款事业编制17名，设站长1名，副站长1名。</w:t>
      </w:r>
    </w:p>
    <w:p>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2、道县动物卫生监督所。按省、市、县农业综合行政执法改革要求，原承担的行政执法职责划入农业领域综合行政执法机构，保留设置为副科级公益一类事业单位。随职责相应划出全额拨款事业编制7名，划出后核定全额拨款事业编制10名，设所长1名，副所长1名。设立“道县动物疫病预防控制中心”，加挂“道县动物卫生监督所”牌子，为县农业农村局所属副科级公益一类事业单位:设主任1名;核定全额拨款事业编制20名(将原县动物卫生监督所的10名划入，从县畜牧水产科技推广站划入10名)</w:t>
      </w:r>
    </w:p>
    <w:p>
      <w:pPr>
        <w:widowControl/>
        <w:spacing w:line="600" w:lineRule="exact"/>
        <w:rPr>
          <w:rFonts w:ascii="黑体" w:hAnsi="黑体" w:eastAsia="黑体"/>
          <w:sz w:val="28"/>
          <w:szCs w:val="28"/>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道县畜牧水产事务中心</w:t>
      </w:r>
      <w:r>
        <w:rPr>
          <w:rFonts w:hint="eastAsia" w:ascii="Times New Roman" w:hAnsi="Times New Roman" w:eastAsia="仿宋_GB2312" w:cs="仿宋_GB2312"/>
          <w:bCs/>
          <w:kern w:val="0"/>
          <w:sz w:val="32"/>
          <w:szCs w:val="32"/>
        </w:rPr>
        <w:t>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道县畜牧水产事务中心</w:t>
      </w:r>
      <w:r>
        <w:rPr>
          <w:rFonts w:hint="eastAsia" w:ascii="Times New Roman" w:hAnsi="Times New Roman" w:eastAsia="仿宋_GB2312" w:cs="仿宋_GB2312"/>
          <w:bCs/>
          <w:kern w:val="0"/>
          <w:sz w:val="32"/>
          <w:szCs w:val="32"/>
        </w:rPr>
        <w:t>单位本级</w:t>
      </w:r>
      <w:r>
        <w:rPr>
          <w:rFonts w:hint="eastAsia" w:ascii="Times New Roman" w:hAnsi="Times New Roman" w:eastAsia="仿宋_GB2312" w:cs="仿宋_GB2312"/>
          <w:bCs/>
          <w:kern w:val="0"/>
          <w:sz w:val="32"/>
          <w:szCs w:val="32"/>
          <w:lang w:eastAsia="zh-CN"/>
        </w:rPr>
        <w:t>。</w:t>
      </w: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both"/>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5221" w:type="dxa"/>
        <w:tblInd w:w="207" w:type="dxa"/>
        <w:tblLayout w:type="fixed"/>
        <w:tblCellMar>
          <w:top w:w="0" w:type="dxa"/>
          <w:left w:w="0" w:type="dxa"/>
          <w:bottom w:w="0" w:type="dxa"/>
          <w:right w:w="0" w:type="dxa"/>
        </w:tblCellMar>
      </w:tblPr>
      <w:tblGrid>
        <w:gridCol w:w="99"/>
        <w:gridCol w:w="882"/>
        <w:gridCol w:w="2673"/>
        <w:gridCol w:w="1234"/>
        <w:gridCol w:w="1476"/>
        <w:gridCol w:w="1391"/>
        <w:gridCol w:w="1524"/>
        <w:gridCol w:w="1590"/>
        <w:gridCol w:w="1846"/>
        <w:gridCol w:w="2016"/>
        <w:gridCol w:w="490"/>
      </w:tblGrid>
      <w:tr>
        <w:tblPrEx>
          <w:tblCellMar>
            <w:top w:w="0" w:type="dxa"/>
            <w:left w:w="0" w:type="dxa"/>
            <w:bottom w:w="0" w:type="dxa"/>
            <w:right w:w="0" w:type="dxa"/>
          </w:tblCellMar>
        </w:tblPrEx>
        <w:trPr>
          <w:trHeight w:val="435" w:hRule="atLeast"/>
        </w:trPr>
        <w:tc>
          <w:tcPr>
            <w:tcW w:w="15221" w:type="dxa"/>
            <w:gridSpan w:val="11"/>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65"/>
              <w:gridCol w:w="614"/>
              <w:gridCol w:w="1321"/>
              <w:gridCol w:w="4717"/>
              <w:gridCol w:w="987"/>
              <w:gridCol w:w="986"/>
              <w:gridCol w:w="444"/>
              <w:gridCol w:w="21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165"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614"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321"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4717"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973"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608"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16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61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21"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71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973"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608"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165"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hint="eastAsia" w:ascii="Times New Roman" w:hAnsi="Times New Roman" w:eastAsia="仿宋_GB2312" w:cs="Times New Roman"/>
                      <w:color w:val="000000"/>
                      <w:kern w:val="0"/>
                      <w:szCs w:val="21"/>
                      <w:lang w:val="en-US" w:eastAsia="zh-CN"/>
                    </w:rPr>
                    <w:t>道县畜牧水产事务中心</w:t>
                  </w:r>
                  <w:r>
                    <w:rPr>
                      <w:rFonts w:ascii="Times New Roman" w:hAnsi="Times New Roman" w:eastAsia="仿宋_GB2312" w:cs="Times New Roman"/>
                      <w:color w:val="000000"/>
                      <w:kern w:val="0"/>
                      <w:szCs w:val="21"/>
                    </w:rPr>
                    <w:t xml:space="preserve">  </w:t>
                  </w:r>
                </w:p>
              </w:tc>
              <w:tc>
                <w:tcPr>
                  <w:tcW w:w="61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21"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71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973"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608"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6100"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134"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62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7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3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7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1811.39</w:t>
                  </w:r>
                </w:p>
              </w:tc>
              <w:tc>
                <w:tcPr>
                  <w:tcW w:w="47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31</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987</w:t>
                  </w:r>
                </w:p>
              </w:tc>
              <w:tc>
                <w:tcPr>
                  <w:tcW w:w="47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32</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33</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34</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35</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36</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七、文化旅游体育与传媒支出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37</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八、社会保障和就业支出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38</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68.05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9</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九、卫生健康支出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39</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29.31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10</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十、节能环保支出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40</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11</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十一、城乡社区支出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41</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12</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十二、农林水支出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42</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1529.82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13</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十三、交通运输支出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43</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lang w:val="en-US" w:eastAsia="zh-CN"/>
                    </w:rPr>
                  </w:pPr>
                  <w:r>
                    <w:rPr>
                      <w:rFonts w:hint="eastAsia"/>
                      <w:lang w:val="en-US" w:eastAsia="zh-CN"/>
                    </w:rPr>
                    <w:t>14</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十四、资源勘探工业信息等支出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44</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15</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十五、商业服务业等支出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45</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184.21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16</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十六、金融支出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46</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0"/>
                      <w:szCs w:val="20"/>
                      <w:u w:val="none"/>
                      <w:lang w:val="en-US" w:eastAsia="zh-CN"/>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17</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十七、援助其他地区支出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47</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18</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十八、自然资源海洋气象等支出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48</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lang w:val="en-US" w:eastAsia="zh-CN"/>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19</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十九、住房保障支出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49</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二十、粮油物资储备支出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50</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二十一、国有资本经营预算支出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51</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22</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二十二、灾害防治及应急管理支出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52</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23</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二十三、其他支出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53</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24</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二十四、债务还本支出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54</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25</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二十五、债务付息支出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55</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26</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二十六、抗疫特别国债安排的支出</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56</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2"/>
                      <w:sz w:val="22"/>
                      <w:szCs w:val="22"/>
                      <w:u w:val="none"/>
                      <w:lang w:val="en-US" w:eastAsia="zh-CN" w:bidi="ar-SA"/>
                    </w:rPr>
                  </w:pPr>
                  <w:r>
                    <w:rPr>
                      <w:rFonts w:hint="eastAsia" w:ascii="宋体" w:hAnsi="宋体" w:eastAsia="宋体" w:cs="宋体"/>
                      <w:b/>
                      <w:i w:val="0"/>
                      <w:color w:val="000000"/>
                      <w:kern w:val="0"/>
                      <w:sz w:val="22"/>
                      <w:szCs w:val="22"/>
                      <w:u w:val="none"/>
                      <w:lang w:val="en-US" w:eastAsia="zh-CN" w:bidi="ar"/>
                    </w:rPr>
                    <w:t>本年收入合计</w:t>
                  </w: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27</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3798.39</w:t>
                  </w: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2"/>
                      <w:sz w:val="22"/>
                      <w:szCs w:val="22"/>
                      <w:u w:val="none"/>
                      <w:lang w:val="en-US" w:eastAsia="zh-CN" w:bidi="ar-SA"/>
                    </w:rPr>
                  </w:pPr>
                  <w:r>
                    <w:rPr>
                      <w:rFonts w:hint="eastAsia" w:ascii="宋体" w:hAnsi="宋体" w:eastAsia="宋体" w:cs="宋体"/>
                      <w:b/>
                      <w:i w:val="0"/>
                      <w:color w:val="000000"/>
                      <w:kern w:val="0"/>
                      <w:sz w:val="22"/>
                      <w:szCs w:val="22"/>
                      <w:u w:val="none"/>
                      <w:lang w:val="en-US" w:eastAsia="zh-CN" w:bidi="ar"/>
                    </w:rPr>
                    <w:t>本年支出合计</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57</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2798.39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4" w:type="dxa"/>
                <w:trHeight w:val="426"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28</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                结余分配</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58</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4" w:type="dxa"/>
                <w:trHeight w:val="448"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29</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59</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4" w:type="dxa"/>
                <w:trHeight w:val="490" w:hRule="atLeast"/>
              </w:trPr>
              <w:tc>
                <w:tcPr>
                  <w:tcW w:w="4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2"/>
                      <w:sz w:val="22"/>
                      <w:szCs w:val="22"/>
                      <w:u w:val="none"/>
                      <w:lang w:val="en-US" w:eastAsia="zh-CN" w:bidi="ar-SA"/>
                    </w:rPr>
                  </w:pPr>
                  <w:r>
                    <w:rPr>
                      <w:rFonts w:hint="eastAsia" w:ascii="宋体" w:hAnsi="宋体" w:eastAsia="宋体" w:cs="宋体"/>
                      <w:b/>
                      <w:i w:val="0"/>
                      <w:color w:val="000000"/>
                      <w:kern w:val="0"/>
                      <w:sz w:val="22"/>
                      <w:szCs w:val="22"/>
                      <w:u w:val="none"/>
                      <w:lang w:val="en-US" w:eastAsia="zh-CN" w:bidi="ar"/>
                    </w:rPr>
                    <w:t>总计</w:t>
                  </w:r>
                </w:p>
              </w:tc>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30</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2798.39</w:t>
                  </w:r>
                </w:p>
              </w:tc>
              <w:tc>
                <w:tcPr>
                  <w:tcW w:w="4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w:t>
                  </w:r>
                  <w:r>
                    <w:rPr>
                      <w:rFonts w:hint="eastAsia" w:ascii="宋体" w:hAnsi="宋体" w:eastAsia="宋体" w:cs="宋体"/>
                      <w:b/>
                      <w:i w:val="0"/>
                      <w:color w:val="000000"/>
                      <w:kern w:val="0"/>
                      <w:sz w:val="22"/>
                      <w:szCs w:val="22"/>
                      <w:u w:val="none"/>
                      <w:lang w:val="en-US" w:eastAsia="zh-CN" w:bidi="ar"/>
                    </w:rPr>
                    <w:t>总计</w:t>
                  </w:r>
                </w:p>
              </w:tc>
              <w:tc>
                <w:tcPr>
                  <w:tcW w:w="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60</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2798.39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gridAfter w:val="1"/>
          <w:wAfter w:w="490" w:type="dxa"/>
          <w:trHeight w:val="285" w:hRule="atLeast"/>
        </w:trPr>
        <w:tc>
          <w:tcPr>
            <w:tcW w:w="9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88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67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3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7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2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9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4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1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gridAfter w:val="1"/>
          <w:wAfter w:w="490" w:type="dxa"/>
          <w:trHeight w:val="285" w:hRule="atLeast"/>
        </w:trPr>
        <w:tc>
          <w:tcPr>
            <w:tcW w:w="981"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267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ascii="Times New Roman" w:hAnsi="Times New Roman" w:eastAsia="仿宋_GB2312" w:cs="Times New Roman"/>
                <w:color w:val="000000"/>
                <w:kern w:val="0"/>
                <w:szCs w:val="21"/>
                <w:lang w:val="en-US" w:eastAsia="zh-CN"/>
              </w:rPr>
              <w:t>道县畜牧水产事务中心</w:t>
            </w:r>
            <w:r>
              <w:rPr>
                <w:rFonts w:ascii="Times New Roman" w:hAnsi="Times New Roman" w:eastAsia="仿宋_GB2312" w:cs="Times New Roman"/>
                <w:color w:val="000000"/>
                <w:kern w:val="0"/>
                <w:szCs w:val="21"/>
              </w:rPr>
              <w:t xml:space="preserve">  </w:t>
            </w:r>
            <w:r>
              <w:rPr>
                <w:rFonts w:hint="eastAsia"/>
              </w:rPr>
              <w:t>　</w:t>
            </w:r>
          </w:p>
        </w:tc>
        <w:tc>
          <w:tcPr>
            <w:tcW w:w="123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7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91"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52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9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4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1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gridAfter w:val="1"/>
          <w:wAfter w:w="490" w:type="dxa"/>
          <w:trHeight w:val="450" w:hRule="atLeast"/>
        </w:trPr>
        <w:tc>
          <w:tcPr>
            <w:tcW w:w="3654"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23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47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3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52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59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84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01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gridAfter w:val="1"/>
          <w:wAfter w:w="490" w:type="dxa"/>
          <w:trHeight w:val="450" w:hRule="atLeast"/>
        </w:trPr>
        <w:tc>
          <w:tcPr>
            <w:tcW w:w="981"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2673"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23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7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2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4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01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gridAfter w:val="1"/>
          <w:wAfter w:w="490" w:type="dxa"/>
          <w:trHeight w:val="450" w:hRule="atLeast"/>
        </w:trPr>
        <w:tc>
          <w:tcPr>
            <w:tcW w:w="981"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673"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3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7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2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4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01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gridAfter w:val="1"/>
          <w:wAfter w:w="490" w:type="dxa"/>
          <w:trHeight w:val="531" w:hRule="atLeast"/>
        </w:trPr>
        <w:tc>
          <w:tcPr>
            <w:tcW w:w="365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2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47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3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52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5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8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0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gridAfter w:val="1"/>
          <w:wAfter w:w="490" w:type="dxa"/>
          <w:trHeight w:val="531" w:hRule="atLeast"/>
        </w:trPr>
        <w:tc>
          <w:tcPr>
            <w:tcW w:w="365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2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tabs>
                <w:tab w:val="center" w:pos="703"/>
                <w:tab w:val="right" w:pos="1736"/>
              </w:tabs>
              <w:jc w:val="left"/>
              <w:rPr>
                <w:rFonts w:ascii="宋体" w:hAnsi="宋体" w:eastAsia="宋体" w:cs="宋体"/>
                <w:sz w:val="24"/>
                <w:szCs w:val="24"/>
              </w:rPr>
            </w:pPr>
            <w:r>
              <w:rPr>
                <w:rFonts w:hint="eastAsia"/>
                <w:lang w:eastAsia="zh-CN"/>
              </w:rPr>
              <w:tab/>
            </w:r>
            <w:r>
              <w:rPr>
                <w:rFonts w:hint="eastAsia"/>
                <w:lang w:val="en-US" w:eastAsia="zh-CN"/>
              </w:rPr>
              <w:t>2798.39</w:t>
            </w:r>
            <w:r>
              <w:rPr>
                <w:rFonts w:hint="eastAsia"/>
                <w:lang w:eastAsia="zh-CN"/>
              </w:rPr>
              <w:tab/>
            </w:r>
            <w:r>
              <w:rPr>
                <w:rFonts w:hint="eastAsia"/>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2798.39</w:t>
            </w:r>
            <w:r>
              <w:rPr>
                <w:rFonts w:hint="eastAsia"/>
              </w:rPr>
              <w:t>　</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1"/>
          <w:wAfter w:w="490" w:type="dxa"/>
          <w:trHeight w:val="450" w:hRule="atLeast"/>
        </w:trPr>
        <w:tc>
          <w:tcPr>
            <w:tcW w:w="9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2080505</w:t>
            </w:r>
          </w:p>
        </w:tc>
        <w:tc>
          <w:tcPr>
            <w:tcW w:w="26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2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64.43</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64.43</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1"/>
          <w:wAfter w:w="490" w:type="dxa"/>
          <w:trHeight w:val="450" w:hRule="atLeast"/>
        </w:trPr>
        <w:tc>
          <w:tcPr>
            <w:tcW w:w="9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2080801</w:t>
            </w:r>
          </w:p>
        </w:tc>
        <w:tc>
          <w:tcPr>
            <w:tcW w:w="26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死亡抚恤</w:t>
            </w:r>
          </w:p>
        </w:tc>
        <w:tc>
          <w:tcPr>
            <w:tcW w:w="12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3.62</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3.62</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0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490" w:type="dxa"/>
          <w:trHeight w:val="450" w:hRule="atLeast"/>
        </w:trPr>
        <w:tc>
          <w:tcPr>
            <w:tcW w:w="9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2101102</w:t>
            </w:r>
          </w:p>
        </w:tc>
        <w:tc>
          <w:tcPr>
            <w:tcW w:w="26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事业单位医疗</w:t>
            </w:r>
          </w:p>
        </w:tc>
        <w:tc>
          <w:tcPr>
            <w:tcW w:w="12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29.31</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29.31</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0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490" w:type="dxa"/>
          <w:trHeight w:val="450" w:hRule="atLeast"/>
        </w:trPr>
        <w:tc>
          <w:tcPr>
            <w:tcW w:w="9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2130104</w:t>
            </w:r>
          </w:p>
        </w:tc>
        <w:tc>
          <w:tcPr>
            <w:tcW w:w="26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事业运行</w:t>
            </w:r>
          </w:p>
        </w:tc>
        <w:tc>
          <w:tcPr>
            <w:tcW w:w="12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595.42</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595.42</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0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490" w:type="dxa"/>
          <w:trHeight w:val="450" w:hRule="atLeast"/>
        </w:trPr>
        <w:tc>
          <w:tcPr>
            <w:tcW w:w="9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2130106</w:t>
            </w:r>
          </w:p>
        </w:tc>
        <w:tc>
          <w:tcPr>
            <w:tcW w:w="26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科技转化与推广服务</w:t>
            </w:r>
          </w:p>
        </w:tc>
        <w:tc>
          <w:tcPr>
            <w:tcW w:w="12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36.74</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36.74</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0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490" w:type="dxa"/>
          <w:trHeight w:val="450" w:hRule="atLeast"/>
        </w:trPr>
        <w:tc>
          <w:tcPr>
            <w:tcW w:w="9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2130108</w:t>
            </w:r>
          </w:p>
        </w:tc>
        <w:tc>
          <w:tcPr>
            <w:tcW w:w="26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病虫害控制</w:t>
            </w:r>
          </w:p>
        </w:tc>
        <w:tc>
          <w:tcPr>
            <w:tcW w:w="12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269.78</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269.78</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0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490" w:type="dxa"/>
          <w:trHeight w:val="450" w:hRule="atLeast"/>
        </w:trPr>
        <w:tc>
          <w:tcPr>
            <w:tcW w:w="9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2130122</w:t>
            </w:r>
          </w:p>
        </w:tc>
        <w:tc>
          <w:tcPr>
            <w:tcW w:w="26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农业生产发展</w:t>
            </w:r>
          </w:p>
        </w:tc>
        <w:tc>
          <w:tcPr>
            <w:tcW w:w="12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598.69</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598.69</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1"/>
          <w:wAfter w:w="490" w:type="dxa"/>
          <w:trHeight w:val="450" w:hRule="atLeast"/>
        </w:trPr>
        <w:tc>
          <w:tcPr>
            <w:tcW w:w="9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2130135</w:t>
            </w:r>
          </w:p>
        </w:tc>
        <w:tc>
          <w:tcPr>
            <w:tcW w:w="26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农业生态资源保护</w:t>
            </w:r>
          </w:p>
        </w:tc>
        <w:tc>
          <w:tcPr>
            <w:tcW w:w="12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19.46</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19.46</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1"/>
          <w:wAfter w:w="490" w:type="dxa"/>
          <w:trHeight w:val="450" w:hRule="atLeast"/>
        </w:trPr>
        <w:tc>
          <w:tcPr>
            <w:tcW w:w="9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2130148</w:t>
            </w:r>
          </w:p>
        </w:tc>
        <w:tc>
          <w:tcPr>
            <w:tcW w:w="26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渔业发展</w:t>
            </w:r>
          </w:p>
        </w:tc>
        <w:tc>
          <w:tcPr>
            <w:tcW w:w="12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9.73</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9.73</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1"/>
          <w:wAfter w:w="490" w:type="dxa"/>
          <w:trHeight w:val="450" w:hRule="atLeast"/>
        </w:trPr>
        <w:tc>
          <w:tcPr>
            <w:tcW w:w="9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2160299</w:t>
            </w:r>
          </w:p>
        </w:tc>
        <w:tc>
          <w:tcPr>
            <w:tcW w:w="26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12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184.21</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184.21</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1"/>
          <w:wAfter w:w="490" w:type="dxa"/>
          <w:trHeight w:val="450" w:hRule="atLeast"/>
        </w:trPr>
        <w:tc>
          <w:tcPr>
            <w:tcW w:w="9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2290402</w:t>
            </w:r>
          </w:p>
        </w:tc>
        <w:tc>
          <w:tcPr>
            <w:tcW w:w="26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2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987</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987</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706" w:hRule="atLeast"/>
        </w:trPr>
        <w:tc>
          <w:tcPr>
            <w:tcW w:w="15221" w:type="dxa"/>
            <w:gridSpan w:val="11"/>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9"/>
        <w:tblW w:w="15640" w:type="dxa"/>
        <w:tblInd w:w="93" w:type="dxa"/>
        <w:tblLayout w:type="fixed"/>
        <w:tblCellMar>
          <w:top w:w="0" w:type="dxa"/>
          <w:left w:w="108" w:type="dxa"/>
          <w:bottom w:w="0" w:type="dxa"/>
          <w:right w:w="108" w:type="dxa"/>
        </w:tblCellMar>
      </w:tblPr>
      <w:tblGrid>
        <w:gridCol w:w="938"/>
        <w:gridCol w:w="240"/>
        <w:gridCol w:w="2324"/>
        <w:gridCol w:w="1590"/>
        <w:gridCol w:w="1831"/>
        <w:gridCol w:w="1991"/>
        <w:gridCol w:w="1991"/>
        <w:gridCol w:w="1991"/>
        <w:gridCol w:w="2744"/>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93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9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3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938"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4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4" w:type="dxa"/>
            <w:tcBorders>
              <w:top w:val="nil"/>
              <w:left w:val="nil"/>
              <w:bottom w:val="nil"/>
              <w:right w:val="nil"/>
            </w:tcBorders>
            <w:shd w:val="clear" w:color="000000" w:fill="FFFFFF"/>
            <w:noWrap/>
            <w:vAlign w:val="center"/>
          </w:tcPr>
          <w:p>
            <w:pPr>
              <w:widowControl/>
              <w:jc w:val="both"/>
              <w:rPr>
                <w:rFonts w:ascii="宋体" w:hAnsi="宋体" w:eastAsia="宋体" w:cs="宋体"/>
                <w:kern w:val="0"/>
                <w:sz w:val="24"/>
                <w:szCs w:val="24"/>
              </w:rPr>
            </w:pPr>
            <w:r>
              <w:rPr>
                <w:rFonts w:hint="eastAsia" w:ascii="Times New Roman" w:hAnsi="Times New Roman" w:eastAsia="仿宋_GB2312" w:cs="Times New Roman"/>
                <w:color w:val="000000"/>
                <w:kern w:val="0"/>
                <w:szCs w:val="21"/>
                <w:lang w:val="en-US" w:eastAsia="zh-CN"/>
              </w:rPr>
              <w:t>道县畜牧水产事务中心</w:t>
            </w:r>
            <w:r>
              <w:rPr>
                <w:rFonts w:ascii="Times New Roman" w:hAnsi="Times New Roman" w:eastAsia="仿宋_GB2312" w:cs="Times New Roman"/>
                <w:color w:val="000000"/>
                <w:kern w:val="0"/>
                <w:szCs w:val="21"/>
              </w:rPr>
              <w:t xml:space="preserve">  </w:t>
            </w:r>
            <w:r>
              <w:rPr>
                <w:rFonts w:hint="eastAsia" w:ascii="宋体" w:hAnsi="宋体" w:eastAsia="宋体" w:cs="宋体"/>
                <w:kern w:val="0"/>
                <w:sz w:val="24"/>
                <w:szCs w:val="24"/>
              </w:rPr>
              <w:t>　</w:t>
            </w:r>
          </w:p>
        </w:tc>
        <w:tc>
          <w:tcPr>
            <w:tcW w:w="159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3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3502"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59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83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178"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324"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59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3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17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2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3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350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59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83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350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59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2798.39</w:t>
            </w:r>
            <w:r>
              <w:rPr>
                <w:rFonts w:hint="eastAsia" w:ascii="宋体" w:hAnsi="宋体" w:eastAsia="宋体" w:cs="宋体"/>
                <w:kern w:val="0"/>
                <w:sz w:val="24"/>
                <w:szCs w:val="24"/>
              </w:rPr>
              <w:t>　</w:t>
            </w:r>
          </w:p>
        </w:tc>
        <w:tc>
          <w:tcPr>
            <w:tcW w:w="183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692.78</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2105.61</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1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232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64.43</w:t>
            </w:r>
          </w:p>
        </w:tc>
        <w:tc>
          <w:tcPr>
            <w:tcW w:w="183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64.43</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1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232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15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3.62</w:t>
            </w:r>
          </w:p>
        </w:tc>
        <w:tc>
          <w:tcPr>
            <w:tcW w:w="183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3.62</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1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2101102</w:t>
            </w:r>
          </w:p>
        </w:tc>
        <w:tc>
          <w:tcPr>
            <w:tcW w:w="232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事业单位医疗</w:t>
            </w:r>
          </w:p>
        </w:tc>
        <w:tc>
          <w:tcPr>
            <w:tcW w:w="15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29.31</w:t>
            </w:r>
          </w:p>
        </w:tc>
        <w:tc>
          <w:tcPr>
            <w:tcW w:w="183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29.31</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1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2130104</w:t>
            </w:r>
          </w:p>
        </w:tc>
        <w:tc>
          <w:tcPr>
            <w:tcW w:w="232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事业运行</w:t>
            </w:r>
          </w:p>
        </w:tc>
        <w:tc>
          <w:tcPr>
            <w:tcW w:w="15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595.42</w:t>
            </w:r>
          </w:p>
        </w:tc>
        <w:tc>
          <w:tcPr>
            <w:tcW w:w="183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595.42</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1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2130106</w:t>
            </w:r>
          </w:p>
        </w:tc>
        <w:tc>
          <w:tcPr>
            <w:tcW w:w="232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科技转化与推广服务</w:t>
            </w:r>
          </w:p>
        </w:tc>
        <w:tc>
          <w:tcPr>
            <w:tcW w:w="15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36.74</w:t>
            </w:r>
          </w:p>
        </w:tc>
        <w:tc>
          <w:tcPr>
            <w:tcW w:w="1831" w:type="dxa"/>
            <w:tcBorders>
              <w:top w:val="nil"/>
              <w:left w:val="nil"/>
              <w:bottom w:val="single" w:color="auto" w:sz="4" w:space="0"/>
              <w:right w:val="single" w:color="auto" w:sz="4" w:space="0"/>
            </w:tcBorders>
            <w:shd w:val="clear" w:color="auto" w:fill="auto"/>
            <w:noWrap/>
            <w:vAlign w:val="center"/>
          </w:tcPr>
          <w:p>
            <w:pPr>
              <w:jc w:val="right"/>
              <w:rPr>
                <w:rFonts w:hint="eastAsia" w:asciiTheme="minorHAnsi" w:hAnsiTheme="minorHAnsi" w:eastAsiaTheme="minorEastAsia" w:cstheme="minorBidi"/>
                <w:kern w:val="2"/>
                <w:sz w:val="21"/>
                <w:szCs w:val="22"/>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36.74</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1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2130108</w:t>
            </w:r>
          </w:p>
        </w:tc>
        <w:tc>
          <w:tcPr>
            <w:tcW w:w="232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病虫害控制</w:t>
            </w:r>
          </w:p>
        </w:tc>
        <w:tc>
          <w:tcPr>
            <w:tcW w:w="15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269.78</w:t>
            </w:r>
          </w:p>
        </w:tc>
        <w:tc>
          <w:tcPr>
            <w:tcW w:w="1831" w:type="dxa"/>
            <w:tcBorders>
              <w:top w:val="nil"/>
              <w:left w:val="nil"/>
              <w:bottom w:val="single" w:color="auto" w:sz="4" w:space="0"/>
              <w:right w:val="single" w:color="auto" w:sz="4" w:space="0"/>
            </w:tcBorders>
            <w:shd w:val="clear" w:color="auto" w:fill="auto"/>
            <w:noWrap/>
            <w:vAlign w:val="center"/>
          </w:tcPr>
          <w:p>
            <w:pPr>
              <w:jc w:val="right"/>
              <w:rPr>
                <w:rFonts w:hint="eastAsia" w:asciiTheme="minorHAnsi" w:hAnsiTheme="minorHAnsi" w:eastAsiaTheme="minorEastAsia" w:cstheme="minorBidi"/>
                <w:kern w:val="2"/>
                <w:sz w:val="21"/>
                <w:szCs w:val="22"/>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269.78</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1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2130122</w:t>
            </w:r>
          </w:p>
        </w:tc>
        <w:tc>
          <w:tcPr>
            <w:tcW w:w="232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农业生产发展</w:t>
            </w:r>
          </w:p>
        </w:tc>
        <w:tc>
          <w:tcPr>
            <w:tcW w:w="15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华文中宋" w:hAnsi="华文中宋" w:eastAsia="华文中宋"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598.69</w:t>
            </w:r>
          </w:p>
        </w:tc>
        <w:tc>
          <w:tcPr>
            <w:tcW w:w="1831" w:type="dxa"/>
            <w:tcBorders>
              <w:top w:val="nil"/>
              <w:left w:val="nil"/>
              <w:bottom w:val="single" w:color="auto" w:sz="4" w:space="0"/>
              <w:right w:val="single" w:color="auto" w:sz="4" w:space="0"/>
            </w:tcBorders>
            <w:shd w:val="clear" w:color="auto" w:fill="auto"/>
            <w:noWrap/>
            <w:vAlign w:val="center"/>
          </w:tcPr>
          <w:p>
            <w:pPr>
              <w:jc w:val="right"/>
              <w:rPr>
                <w:rFonts w:hint="eastAsia" w:ascii="华文中宋" w:hAnsi="华文中宋" w:eastAsia="华文中宋" w:cs="宋体"/>
                <w:kern w:val="2"/>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598.69</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1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2130135</w:t>
            </w:r>
          </w:p>
        </w:tc>
        <w:tc>
          <w:tcPr>
            <w:tcW w:w="232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农业生态资源保护</w:t>
            </w:r>
          </w:p>
        </w:tc>
        <w:tc>
          <w:tcPr>
            <w:tcW w:w="15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19.46</w:t>
            </w:r>
          </w:p>
        </w:tc>
        <w:tc>
          <w:tcPr>
            <w:tcW w:w="183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2"/>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19.46</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1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2130148</w:t>
            </w:r>
          </w:p>
        </w:tc>
        <w:tc>
          <w:tcPr>
            <w:tcW w:w="232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渔业发展</w:t>
            </w:r>
          </w:p>
        </w:tc>
        <w:tc>
          <w:tcPr>
            <w:tcW w:w="15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9.73</w:t>
            </w:r>
          </w:p>
        </w:tc>
        <w:tc>
          <w:tcPr>
            <w:tcW w:w="183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2"/>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9.73</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1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2160299</w:t>
            </w:r>
          </w:p>
        </w:tc>
        <w:tc>
          <w:tcPr>
            <w:tcW w:w="232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15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184.21</w:t>
            </w:r>
          </w:p>
        </w:tc>
        <w:tc>
          <w:tcPr>
            <w:tcW w:w="183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2"/>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184.21</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1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2290402</w:t>
            </w:r>
          </w:p>
        </w:tc>
        <w:tc>
          <w:tcPr>
            <w:tcW w:w="232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5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987</w:t>
            </w:r>
          </w:p>
        </w:tc>
        <w:tc>
          <w:tcPr>
            <w:tcW w:w="183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2"/>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987</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p>
      <w:pPr>
        <w:pStyle w:val="8"/>
        <w:rPr>
          <w:rFonts w:ascii="Times New Roman" w:hAnsi="Times New Roman" w:eastAsia="方正小标宋_GBK" w:cs="Times New Roman"/>
          <w:color w:val="000000"/>
          <w:kern w:val="0"/>
          <w:sz w:val="36"/>
          <w:szCs w:val="21"/>
        </w:rPr>
      </w:pPr>
    </w:p>
    <w:p>
      <w:pPr>
        <w:pStyle w:val="4"/>
        <w:rPr>
          <w:rFonts w:ascii="Times New Roman" w:hAnsi="Times New Roman" w:eastAsia="方正小标宋_GBK" w:cs="Times New Roman"/>
          <w:color w:val="000000"/>
          <w:kern w:val="0"/>
          <w:sz w:val="36"/>
          <w:szCs w:val="21"/>
        </w:rPr>
      </w:pPr>
    </w:p>
    <w:p>
      <w:pPr>
        <w:rPr>
          <w:rFonts w:ascii="Times New Roman" w:hAnsi="Times New Roman" w:eastAsia="方正小标宋_GBK" w:cs="Times New Roman"/>
          <w:color w:val="000000"/>
          <w:kern w:val="0"/>
          <w:sz w:val="36"/>
          <w:szCs w:val="21"/>
        </w:rPr>
      </w:pPr>
    </w:p>
    <w:p>
      <w:pPr>
        <w:pStyle w:val="8"/>
        <w:rPr>
          <w:rFonts w:ascii="Times New Roman" w:hAnsi="Times New Roman" w:eastAsia="方正小标宋_GBK" w:cs="Times New Roman"/>
          <w:color w:val="000000"/>
          <w:kern w:val="0"/>
          <w:sz w:val="36"/>
          <w:szCs w:val="21"/>
        </w:rPr>
      </w:pPr>
    </w:p>
    <w:p>
      <w:pPr>
        <w:pStyle w:val="4"/>
        <w:rPr>
          <w:rFonts w:ascii="Times New Roman" w:hAnsi="Times New Roman" w:eastAsia="方正小标宋_GBK" w:cs="Times New Roman"/>
          <w:color w:val="000000"/>
          <w:kern w:val="0"/>
          <w:sz w:val="36"/>
          <w:szCs w:val="21"/>
        </w:rPr>
      </w:pPr>
    </w:p>
    <w:p>
      <w:pPr>
        <w:rPr>
          <w:rFonts w:ascii="Times New Roman" w:hAnsi="Times New Roman" w:eastAsia="方正小标宋_GBK" w:cs="Times New Roman"/>
          <w:color w:val="000000"/>
          <w:kern w:val="0"/>
          <w:sz w:val="36"/>
          <w:szCs w:val="21"/>
        </w:rPr>
      </w:pPr>
    </w:p>
    <w:p>
      <w:pPr>
        <w:pStyle w:val="8"/>
        <w:rPr>
          <w:rFonts w:ascii="Times New Roman" w:hAnsi="Times New Roman" w:eastAsia="方正小标宋_GBK" w:cs="Times New Roman"/>
          <w:color w:val="000000"/>
          <w:kern w:val="0"/>
          <w:sz w:val="36"/>
          <w:szCs w:val="21"/>
        </w:rPr>
      </w:pPr>
    </w:p>
    <w:p>
      <w:pPr>
        <w:pStyle w:val="4"/>
        <w:rPr>
          <w:rFonts w:ascii="Times New Roman" w:hAnsi="Times New Roman" w:eastAsia="方正小标宋_GBK" w:cs="Times New Roman"/>
          <w:color w:val="000000"/>
          <w:kern w:val="0"/>
          <w:sz w:val="36"/>
          <w:szCs w:val="21"/>
        </w:rPr>
      </w:pPr>
    </w:p>
    <w:p>
      <w:pPr>
        <w:rPr>
          <w:rFonts w:ascii="Times New Roman" w:hAnsi="Times New Roman" w:eastAsia="方正小标宋_GBK" w:cs="Times New Roman"/>
          <w:color w:val="000000"/>
          <w:kern w:val="0"/>
          <w:sz w:val="36"/>
          <w:szCs w:val="21"/>
        </w:rPr>
      </w:pPr>
    </w:p>
    <w:p>
      <w:pPr>
        <w:pStyle w:val="4"/>
        <w:ind w:left="0" w:leftChars="0" w:firstLine="0" w:firstLineChars="0"/>
        <w:rPr>
          <w:rFonts w:ascii="Times New Roman" w:hAnsi="Times New Roman" w:eastAsia="方正小标宋_GBK" w:cs="Times New Roman"/>
          <w:color w:val="000000"/>
          <w:kern w:val="0"/>
          <w:sz w:val="36"/>
          <w:szCs w:val="21"/>
        </w:rPr>
      </w:pPr>
    </w:p>
    <w:p/>
    <w:tbl>
      <w:tblPr>
        <w:tblStyle w:val="9"/>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Times New Roman" w:hAnsi="Times New Roman" w:eastAsia="仿宋_GB2312" w:cs="Times New Roman"/>
                <w:color w:val="000000"/>
                <w:kern w:val="0"/>
                <w:szCs w:val="21"/>
                <w:lang w:val="en-US" w:eastAsia="zh-CN"/>
              </w:rPr>
              <w:t>道县畜牧水产事务中心</w:t>
            </w:r>
            <w:r>
              <w:rPr>
                <w:rFonts w:ascii="Times New Roman" w:hAnsi="Times New Roman" w:eastAsia="仿宋_GB2312" w:cs="Times New Roman"/>
                <w:color w:val="000000"/>
                <w:kern w:val="0"/>
                <w:szCs w:val="21"/>
              </w:rPr>
              <w:t xml:space="preserve">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1811.39</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33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987</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34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35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36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37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38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39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60.05</w:t>
            </w: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60.05</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29.31</w:t>
            </w: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29.31</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1529.82</w:t>
            </w: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1529.82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lang w:val="en-US" w:eastAsia="zh-CN"/>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184.21</w:t>
            </w: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184.21</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987</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987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57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27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2798.39</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28</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29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30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31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32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2798.39</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64</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2798.39</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1811.39</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b/>
                <w:bCs/>
                <w:kern w:val="0"/>
                <w:sz w:val="22"/>
                <w:lang w:val="en-US" w:eastAsia="zh-CN"/>
              </w:rPr>
            </w:pPr>
            <w:r>
              <w:rPr>
                <w:rFonts w:hint="eastAsia" w:ascii="宋体" w:hAnsi="宋体" w:eastAsia="宋体" w:cs="宋体"/>
                <w:b/>
                <w:bCs/>
                <w:kern w:val="0"/>
                <w:sz w:val="22"/>
                <w:lang w:val="en-US" w:eastAsia="zh-CN"/>
              </w:rPr>
              <w:t>987</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pStyle w:val="8"/>
        <w:rPr>
          <w:rFonts w:ascii="Times New Roman" w:hAnsi="Times New Roman" w:eastAsia="方正小标宋_GBK" w:cs="Times New Roman"/>
          <w:kern w:val="0"/>
          <w:sz w:val="36"/>
          <w:szCs w:val="36"/>
        </w:rPr>
      </w:pPr>
    </w:p>
    <w:p>
      <w:pPr>
        <w:pStyle w:val="4"/>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8"/>
        <w:rPr>
          <w:rFonts w:ascii="Times New Roman" w:hAnsi="Times New Roman" w:eastAsia="方正小标宋_GBK" w:cs="Times New Roman"/>
          <w:kern w:val="0"/>
          <w:sz w:val="36"/>
          <w:szCs w:val="36"/>
        </w:rPr>
      </w:pPr>
    </w:p>
    <w:p>
      <w:pPr>
        <w:pStyle w:val="4"/>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val="en-US" w:eastAsia="zh-CN"/>
        </w:rPr>
        <w:t>道县畜牧水产事务中心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2798.39</w:t>
            </w:r>
            <w:r>
              <w:rPr>
                <w:rFonts w:hint="eastAsia" w:ascii="宋体" w:hAnsi="宋体" w:eastAsia="宋体" w:cs="宋体"/>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692.78</w:t>
            </w:r>
            <w:r>
              <w:rPr>
                <w:rFonts w:hint="eastAsia" w:ascii="宋体" w:hAnsi="宋体" w:eastAsia="宋体" w:cs="宋体"/>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2105.61</w:t>
            </w: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64.43</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64.43</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3.62</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3.62</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事业单位医疗</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29.31</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29.31</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2130104</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事业运行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595.42</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595.42</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2130106</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科技转化与推广服务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36.74</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36.74</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2130108</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病虫害控制</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269.78</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269.78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2130122</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农业生产发展</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华文中宋" w:hAnsi="华文中宋" w:eastAsia="华文中宋"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598.69</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华文中宋" w:hAnsi="华文中宋" w:eastAsia="华文中宋" w:cs="宋体"/>
                <w:kern w:val="2"/>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598.69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2130135</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农业生态资源保护</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19.46</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2"/>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19.46</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2130148</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渔业发展</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9.73</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2"/>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9.73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2160299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184.21</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2"/>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184.21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987</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2"/>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987</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0" w:type="auto"/>
        <w:tblInd w:w="0" w:type="dxa"/>
        <w:tblLayout w:type="fixed"/>
        <w:tblCellMar>
          <w:top w:w="0" w:type="dxa"/>
          <w:left w:w="108" w:type="dxa"/>
          <w:bottom w:w="0" w:type="dxa"/>
          <w:right w:w="108" w:type="dxa"/>
        </w:tblCellMar>
      </w:tblPr>
      <w:tblGrid>
        <w:gridCol w:w="980"/>
        <w:gridCol w:w="239"/>
        <w:gridCol w:w="93"/>
        <w:gridCol w:w="2309"/>
        <w:gridCol w:w="970"/>
        <w:gridCol w:w="581"/>
        <w:gridCol w:w="348"/>
        <w:gridCol w:w="1193"/>
        <w:gridCol w:w="302"/>
        <w:gridCol w:w="1953"/>
        <w:gridCol w:w="126"/>
        <w:gridCol w:w="758"/>
        <w:gridCol w:w="1230"/>
        <w:gridCol w:w="155"/>
        <w:gridCol w:w="2063"/>
        <w:gridCol w:w="1218"/>
        <w:gridCol w:w="847"/>
        <w:gridCol w:w="249"/>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val="en-US" w:eastAsia="zh-CN"/>
              </w:rPr>
              <w:t>道县畜牧水产事务中心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557" w:hRule="atLeast"/>
        </w:trPr>
        <w:tc>
          <w:tcPr>
            <w:tcW w:w="131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7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2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5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8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3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436"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9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655.52</w:t>
            </w: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18.36</w:t>
            </w: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293.83</w:t>
            </w: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0.93</w:t>
            </w: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101.19</w:t>
            </w: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133.03</w:t>
            </w: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30204</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手续费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r>
      <w:tr>
        <w:tblPrEx>
          <w:tblCellMar>
            <w:top w:w="0" w:type="dxa"/>
            <w:left w:w="108" w:type="dxa"/>
            <w:bottom w:w="0" w:type="dxa"/>
            <w:right w:w="108" w:type="dxa"/>
          </w:tblCellMar>
        </w:tblPrEx>
        <w:trPr>
          <w:trHeight w:val="286"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30205</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水费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30206</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电费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67.18</w:t>
            </w: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30207</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邮电费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30208</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取暖费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35.36</w:t>
            </w: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30209</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物业管理费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30211</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差旅费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4.64</w:t>
            </w: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30212</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因公出国（境）费用</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20.3</w:t>
            </w: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30213</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维修（护）费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30214</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租赁费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30215</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会议费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18.9</w:t>
            </w: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30216</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培训费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30217</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公务接待费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14.03</w:t>
            </w: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30218</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专用材料费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30224</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被装购置费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3.62</w:t>
            </w: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30225</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专用燃料费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30226</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劳务费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30227</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委托业务费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30228</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工会经费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1.07</w:t>
            </w: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30229</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福利费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0.32</w:t>
            </w: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30231</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公务用车运行维护费</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2.82</w:t>
            </w: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30239</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其他交通费用</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13.22</w:t>
            </w: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30240</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税金及附加费用</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2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1.25</w:t>
            </w:r>
          </w:p>
        </w:tc>
        <w:tc>
          <w:tcPr>
            <w:tcW w:w="119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30299</w:t>
            </w:r>
          </w:p>
        </w:tc>
        <w:tc>
          <w:tcPr>
            <w:tcW w:w="22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其他商品和服务支出</w:t>
            </w:r>
          </w:p>
        </w:tc>
        <w:tc>
          <w:tcPr>
            <w:tcW w:w="88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43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59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92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674.426</w:t>
            </w:r>
          </w:p>
        </w:tc>
        <w:tc>
          <w:tcPr>
            <w:tcW w:w="8998"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0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rPr>
              <w:t>　</w:t>
            </w:r>
            <w:r>
              <w:rPr>
                <w:rFonts w:hint="eastAsia" w:ascii="宋体" w:hAnsi="宋体" w:eastAsia="宋体" w:cs="宋体"/>
                <w:color w:val="000000"/>
                <w:kern w:val="0"/>
                <w:szCs w:val="18"/>
                <w:lang w:val="en-US" w:eastAsia="zh-CN"/>
              </w:rPr>
              <w:t>18.36</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690" w:hRule="atLeast"/>
        </w:trPr>
        <w:tc>
          <w:tcPr>
            <w:tcW w:w="15365"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345" w:hRule="atLeast"/>
        </w:trPr>
        <w:tc>
          <w:tcPr>
            <w:tcW w:w="98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39"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55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843"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7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43"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63"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65"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690" w:hRule="atLeast"/>
        </w:trPr>
        <w:tc>
          <w:tcPr>
            <w:tcW w:w="980"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9"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r>
              <w:rPr>
                <w:rFonts w:hint="eastAsia" w:ascii="Times New Roman" w:hAnsi="Times New Roman" w:eastAsia="仿宋_GB2312" w:cs="Times New Roman"/>
                <w:color w:val="000000"/>
                <w:kern w:val="0"/>
                <w:szCs w:val="21"/>
                <w:lang w:val="en-US" w:eastAsia="zh-CN"/>
              </w:rPr>
              <w:t>道县畜牧水产事务中心</w:t>
            </w:r>
            <w:r>
              <w:rPr>
                <w:rFonts w:ascii="Times New Roman" w:hAnsi="Times New Roman" w:eastAsia="仿宋_GB2312" w:cs="Times New Roman"/>
                <w:color w:val="000000"/>
                <w:kern w:val="0"/>
                <w:szCs w:val="21"/>
              </w:rPr>
              <w:t xml:space="preserve"> </w:t>
            </w:r>
          </w:p>
        </w:tc>
        <w:tc>
          <w:tcPr>
            <w:tcW w:w="155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843"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7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43"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63"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65"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459" w:hRule="atLeast"/>
        </w:trPr>
        <w:tc>
          <w:tcPr>
            <w:tcW w:w="36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6"/>
                <w:lang w:val="en-US" w:eastAsia="zh-CN" w:bidi="ar"/>
              </w:rPr>
              <w:t xml:space="preserve">   </w:t>
            </w:r>
            <w:r>
              <w:rPr>
                <w:rStyle w:val="17"/>
                <w:lang w:val="en-US" w:eastAsia="zh-CN" w:bidi="ar"/>
              </w:rPr>
              <w:t>目</w:t>
            </w:r>
          </w:p>
        </w:tc>
        <w:tc>
          <w:tcPr>
            <w:tcW w:w="15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18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0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609" w:hRule="atLeast"/>
        </w:trPr>
        <w:tc>
          <w:tcPr>
            <w:tcW w:w="12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4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0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0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409" w:hRule="atLeast"/>
        </w:trPr>
        <w:tc>
          <w:tcPr>
            <w:tcW w:w="12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509" w:hRule="atLeast"/>
        </w:trPr>
        <w:tc>
          <w:tcPr>
            <w:tcW w:w="12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5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509" w:hRule="atLeast"/>
        </w:trPr>
        <w:tc>
          <w:tcPr>
            <w:tcW w:w="36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8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509" w:hRule="atLeast"/>
        </w:trPr>
        <w:tc>
          <w:tcPr>
            <w:tcW w:w="36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509" w:hRule="atLeast"/>
        </w:trPr>
        <w:tc>
          <w:tcPr>
            <w:tcW w:w="1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2290402</w:t>
            </w:r>
          </w:p>
        </w:tc>
        <w:tc>
          <w:tcPr>
            <w:tcW w:w="2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其他地方自行试点项目收益专项债收入安排的支出</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987</w:t>
            </w:r>
          </w:p>
        </w:tc>
        <w:tc>
          <w:tcPr>
            <w:tcW w:w="20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987</w:t>
            </w: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987</w:t>
            </w: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509" w:hRule="atLeast"/>
        </w:trPr>
        <w:tc>
          <w:tcPr>
            <w:tcW w:w="1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509" w:hRule="atLeast"/>
        </w:trPr>
        <w:tc>
          <w:tcPr>
            <w:tcW w:w="1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509" w:hRule="atLeast"/>
        </w:trPr>
        <w:tc>
          <w:tcPr>
            <w:tcW w:w="1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509" w:hRule="atLeast"/>
        </w:trPr>
        <w:tc>
          <w:tcPr>
            <w:tcW w:w="1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509" w:hRule="atLeast"/>
        </w:trPr>
        <w:tc>
          <w:tcPr>
            <w:tcW w:w="1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9" w:type="dxa"/>
          <w:trHeight w:val="725" w:hRule="atLeast"/>
        </w:trPr>
        <w:tc>
          <w:tcPr>
            <w:tcW w:w="15365"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253"/>
        <w:gridCol w:w="2740"/>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5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7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5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7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r>
              <w:rPr>
                <w:rFonts w:hint="eastAsia" w:ascii="Times New Roman" w:hAnsi="Times New Roman" w:eastAsia="仿宋_GB2312" w:cs="Times New Roman"/>
                <w:color w:val="000000"/>
                <w:kern w:val="0"/>
                <w:szCs w:val="21"/>
                <w:lang w:val="en-US" w:eastAsia="zh-CN"/>
              </w:rPr>
              <w:t>道县畜牧水产事务中心</w:t>
            </w:r>
            <w:r>
              <w:rPr>
                <w:rFonts w:ascii="Times New Roman" w:hAnsi="Times New Roman" w:eastAsia="仿宋_GB2312" w:cs="Times New Roman"/>
                <w:color w:val="000000"/>
                <w:kern w:val="0"/>
                <w:szCs w:val="21"/>
              </w:rPr>
              <w:t xml:space="preserve"> </w:t>
            </w: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8"/>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157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15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15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15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15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15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15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15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15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7"/>
        <w:gridCol w:w="1987"/>
        <w:gridCol w:w="998"/>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both"/>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9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8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998"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97"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98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r>
              <w:rPr>
                <w:rFonts w:hint="eastAsia" w:ascii="Times New Roman" w:hAnsi="Times New Roman" w:eastAsia="仿宋_GB2312" w:cs="Times New Roman"/>
                <w:color w:val="000000"/>
                <w:kern w:val="0"/>
                <w:szCs w:val="21"/>
                <w:lang w:val="en-US" w:eastAsia="zh-CN"/>
              </w:rPr>
              <w:t>道县畜牧水产事务中心</w:t>
            </w:r>
            <w:r>
              <w:rPr>
                <w:rFonts w:ascii="Times New Roman" w:hAnsi="Times New Roman" w:eastAsia="仿宋_GB2312" w:cs="Times New Roman"/>
                <w:color w:val="000000"/>
                <w:kern w:val="0"/>
                <w:szCs w:val="21"/>
              </w:rPr>
              <w:t xml:space="preserve"> </w:t>
            </w:r>
          </w:p>
        </w:tc>
        <w:tc>
          <w:tcPr>
            <w:tcW w:w="998"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7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9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5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7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2.83</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2.83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2.82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2.83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kern w:val="2"/>
                <w:sz w:val="22"/>
                <w:szCs w:val="22"/>
                <w:u w:val="none"/>
                <w:lang w:val="en-US" w:eastAsia="zh-CN" w:bidi="ar-SA"/>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2.82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kern w:val="2"/>
                <w:sz w:val="22"/>
                <w:szCs w:val="22"/>
                <w:u w:val="none"/>
                <w:lang w:val="en-US" w:eastAsia="zh-CN" w:bidi="ar-SA"/>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2.82</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p>
    <w:p>
      <w:pPr>
        <w:pStyle w:val="13"/>
        <w:rPr>
          <w:sz w:val="72"/>
          <w:szCs w:val="72"/>
        </w:rPr>
      </w:pPr>
    </w:p>
    <w:p>
      <w:pPr>
        <w:pStyle w:val="13"/>
        <w:rPr>
          <w:sz w:val="72"/>
          <w:szCs w:val="72"/>
        </w:rPr>
      </w:pPr>
    </w:p>
    <w:p>
      <w:pPr>
        <w:pStyle w:val="13"/>
        <w:rPr>
          <w:sz w:val="72"/>
          <w:szCs w:val="72"/>
        </w:rPr>
      </w:pPr>
    </w:p>
    <w:p>
      <w:pPr>
        <w:pStyle w:val="13"/>
        <w:rPr>
          <w:sz w:val="72"/>
          <w:szCs w:val="72"/>
        </w:rPr>
      </w:pPr>
    </w:p>
    <w:p>
      <w:pPr>
        <w:pStyle w:val="13"/>
        <w:jc w:val="center"/>
        <w:rPr>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lang w:eastAsia="zh-CN"/>
        </w:rPr>
        <w:t>年</w:t>
      </w:r>
      <w:r>
        <w:rPr>
          <w:rFonts w:hint="eastAsia" w:ascii="方正小标宋_GBK" w:hAnsi="方正小标宋_GBK" w:eastAsia="方正小标宋_GBK" w:cs="方正小标宋_GBK"/>
          <w:sz w:val="70"/>
          <w:szCs w:val="70"/>
        </w:rPr>
        <w:t>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2798.39</w:t>
      </w:r>
      <w:r>
        <w:rPr>
          <w:rFonts w:hint="eastAsia" w:ascii="Times New Roman" w:hAnsi="Times New Roman" w:eastAsia="仿宋_GB2312"/>
          <w:sz w:val="32"/>
          <w:szCs w:val="32"/>
        </w:rPr>
        <w:t>万元。与上年相比，减少</w:t>
      </w:r>
      <w:r>
        <w:rPr>
          <w:rFonts w:hint="eastAsia" w:ascii="Times New Roman" w:hAnsi="Times New Roman" w:eastAsia="仿宋_GB2312"/>
          <w:sz w:val="32"/>
          <w:szCs w:val="32"/>
          <w:lang w:val="en-US" w:eastAsia="zh-CN"/>
        </w:rPr>
        <w:t>720.47</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21</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项目专项债的减少。</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2798.39</w:t>
      </w:r>
      <w:r>
        <w:rPr>
          <w:rFonts w:hint="eastAsia" w:ascii="Times New Roman" w:hAnsi="Times New Roman" w:eastAsia="仿宋_GB2312"/>
          <w:sz w:val="32"/>
          <w:szCs w:val="32"/>
        </w:rPr>
        <w:t>万元，其中：一般公共预算财政拨款</w:t>
      </w:r>
      <w:r>
        <w:rPr>
          <w:rFonts w:hint="eastAsia" w:ascii="Times New Roman" w:hAnsi="Times New Roman" w:eastAsia="仿宋_GB2312"/>
          <w:sz w:val="32"/>
          <w:szCs w:val="32"/>
          <w:lang w:val="en-US" w:eastAsia="zh-CN"/>
        </w:rPr>
        <w:t>收入1811.39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65</w:t>
      </w:r>
      <w:r>
        <w:rPr>
          <w:rFonts w:hint="eastAsia" w:ascii="Times New Roman" w:hAnsi="Times New Roman" w:eastAsia="仿宋_GB2312"/>
          <w:sz w:val="32"/>
          <w:szCs w:val="32"/>
        </w:rPr>
        <w:t>%；政府性基金预算财政拨款</w:t>
      </w:r>
      <w:r>
        <w:rPr>
          <w:rFonts w:hint="eastAsia" w:ascii="Times New Roman" w:hAnsi="Times New Roman" w:eastAsia="仿宋_GB2312"/>
          <w:sz w:val="32"/>
          <w:szCs w:val="32"/>
          <w:lang w:val="en-US" w:eastAsia="zh-CN"/>
        </w:rPr>
        <w:t>收入987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2798.39</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692.78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2105.61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75</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3"/>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度财政拨款收、支总计</w:t>
      </w:r>
      <w:r>
        <w:rPr>
          <w:rFonts w:hint="eastAsia" w:ascii="Times New Roman" w:hAnsi="Times New Roman" w:eastAsia="仿宋_GB2312"/>
          <w:sz w:val="32"/>
          <w:szCs w:val="32"/>
          <w:lang w:val="en-US" w:eastAsia="zh-CN"/>
        </w:rPr>
        <w:t>2798.39</w:t>
      </w:r>
      <w:r>
        <w:rPr>
          <w:rFonts w:hint="eastAsia" w:ascii="Times New Roman" w:hAnsi="Times New Roman" w:eastAsia="仿宋_GB2312"/>
          <w:sz w:val="32"/>
          <w:szCs w:val="32"/>
        </w:rPr>
        <w:t>万元，与上年相比，减少</w:t>
      </w:r>
      <w:r>
        <w:rPr>
          <w:rFonts w:hint="eastAsia" w:ascii="Times New Roman" w:hAnsi="Times New Roman" w:eastAsia="仿宋_GB2312"/>
          <w:sz w:val="32"/>
          <w:szCs w:val="32"/>
          <w:lang w:val="en-US" w:eastAsia="zh-CN"/>
        </w:rPr>
        <w:t>720.47</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21</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项目及专项债的减少。</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1811.39</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%，与上年相比，财政拨款支出减少</w:t>
      </w:r>
      <w:r>
        <w:rPr>
          <w:rFonts w:hint="eastAsia" w:ascii="Times New Roman" w:hAnsi="Times New Roman" w:eastAsia="仿宋_GB2312"/>
          <w:sz w:val="32"/>
          <w:szCs w:val="32"/>
          <w:lang w:val="en-US" w:eastAsia="zh-CN"/>
        </w:rPr>
        <w:t>720.47</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21</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项目及专项债的减少。</w:t>
      </w:r>
    </w:p>
    <w:p>
      <w:pPr>
        <w:pStyle w:val="13"/>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1811.39</w:t>
      </w:r>
      <w:r>
        <w:rPr>
          <w:rFonts w:hint="eastAsia" w:ascii="Times New Roman" w:hAnsi="Times New Roman" w:eastAsia="仿宋_GB2312"/>
          <w:sz w:val="32"/>
          <w:szCs w:val="32"/>
        </w:rPr>
        <w:t>万元，主要用于以下方面：</w:t>
      </w:r>
      <w:r>
        <w:rPr>
          <w:rFonts w:hint="eastAsia"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68.05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0.04</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卫生健康支出</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29.31万元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0.01</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；农林水支出</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1529.82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88.96</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商业服务业等支出</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184.21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0.11</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度财政拨款支出年初预算数为</w:t>
      </w:r>
      <w:r>
        <w:rPr>
          <w:rFonts w:hint="eastAsia" w:ascii="Times New Roman" w:hAnsi="Times New Roman" w:eastAsia="仿宋_GB2312"/>
          <w:sz w:val="32"/>
          <w:szCs w:val="32"/>
          <w:lang w:val="en-US" w:eastAsia="zh-CN"/>
        </w:rPr>
        <w:t>1811.39</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1811.39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机关事业单位基本养老保险费支出</w:t>
      </w:r>
      <w:r>
        <w:rPr>
          <w:rFonts w:hint="eastAsia" w:ascii="Times New Roman" w:hAnsi="Times New Roman" w:eastAsia="仿宋_GB2312"/>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64.43</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无法计算完成比率</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val="en-US" w:eastAsia="zh-CN"/>
        </w:rPr>
        <w:t>单位基本养老保险缴费。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抚恤</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死亡抚恤</w:t>
      </w:r>
      <w:r>
        <w:rPr>
          <w:rFonts w:hint="eastAsia" w:ascii="Times New Roman" w:hAnsi="Times New Roman" w:eastAsia="仿宋_GB2312"/>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3.62</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无法计算完成比率</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val="en-US" w:eastAsia="zh-CN"/>
        </w:rPr>
        <w:t>遗属抚恤金。</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事业单位医疗</w:t>
      </w:r>
      <w:r>
        <w:rPr>
          <w:rFonts w:hint="eastAsia" w:ascii="Times New Roman" w:hAnsi="Times New Roman" w:eastAsia="仿宋_GB2312"/>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29.31</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无法计算完成比率</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val="en-US" w:eastAsia="zh-CN"/>
        </w:rPr>
        <w:t>单位医疗保险。</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农林水支出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农业农村</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事业运行</w:t>
      </w:r>
      <w:r>
        <w:rPr>
          <w:rFonts w:hint="eastAsia" w:ascii="Times New Roman" w:hAnsi="Times New Roman" w:eastAsia="仿宋_GB2312"/>
          <w:sz w:val="32"/>
          <w:szCs w:val="32"/>
        </w:rPr>
        <w:t>（项）。</w:t>
      </w:r>
    </w:p>
    <w:p>
      <w:pPr>
        <w:keepNext w:val="0"/>
        <w:keepLines w:val="0"/>
        <w:widowControl/>
        <w:suppressLineNumbers w:val="0"/>
        <w:jc w:val="left"/>
        <w:rPr>
          <w:rFonts w:ascii="仿宋" w:hAnsi="仿宋" w:eastAsia="仿宋" w:cs="仿宋"/>
          <w:color w:val="000000"/>
          <w:kern w:val="0"/>
          <w:sz w:val="32"/>
          <w:szCs w:val="32"/>
          <w:lang w:val="en-US" w:eastAsia="zh-CN" w:bidi="ar"/>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536.35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595.42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于年初预算数的主要原因是：</w:t>
      </w:r>
      <w:r>
        <w:rPr>
          <w:rFonts w:ascii="仿宋" w:hAnsi="仿宋" w:eastAsia="仿宋" w:cs="仿宋"/>
          <w:color w:val="000000"/>
          <w:kern w:val="0"/>
          <w:sz w:val="32"/>
          <w:szCs w:val="32"/>
          <w:lang w:val="en-US" w:eastAsia="zh-CN" w:bidi="ar"/>
        </w:rPr>
        <w:t>人员调动，工资调整。</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农林水支出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农业农村</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科技转化与推广服务</w:t>
      </w:r>
      <w:r>
        <w:rPr>
          <w:rFonts w:hint="eastAsia" w:ascii="Times New Roman" w:hAnsi="Times New Roman" w:eastAsia="仿宋_GB2312"/>
          <w:sz w:val="32"/>
          <w:szCs w:val="32"/>
        </w:rPr>
        <w:t>（项）。</w:t>
      </w:r>
    </w:p>
    <w:p>
      <w:pPr>
        <w:keepNext w:val="0"/>
        <w:keepLines w:val="0"/>
        <w:widowControl/>
        <w:suppressLineNumbers w:val="0"/>
        <w:jc w:val="left"/>
        <w:rPr>
          <w:rFonts w:ascii="仿宋" w:hAnsi="仿宋" w:eastAsia="仿宋" w:cs="仿宋"/>
          <w:color w:val="000000"/>
          <w:kern w:val="0"/>
          <w:sz w:val="32"/>
          <w:szCs w:val="32"/>
          <w:lang w:val="en-US" w:eastAsia="zh-CN" w:bidi="ar"/>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36.74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61</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val="en-US" w:eastAsia="zh-CN"/>
        </w:rPr>
        <w:t>全县特色养殖业支出。</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农林水支出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农业农村</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病虫害控制</w:t>
      </w:r>
      <w:r>
        <w:rPr>
          <w:rFonts w:hint="eastAsia" w:ascii="Times New Roman" w:hAnsi="Times New Roman" w:eastAsia="仿宋_GB2312"/>
          <w:sz w:val="32"/>
          <w:szCs w:val="32"/>
        </w:rPr>
        <w:t>（项）。</w:t>
      </w:r>
    </w:p>
    <w:p>
      <w:pPr>
        <w:keepNext w:val="0"/>
        <w:keepLines w:val="0"/>
        <w:widowControl/>
        <w:suppressLineNumbers w:val="0"/>
        <w:jc w:val="left"/>
        <w:rPr>
          <w:rFonts w:ascii="仿宋" w:hAnsi="仿宋" w:eastAsia="仿宋" w:cs="仿宋"/>
          <w:color w:val="000000"/>
          <w:kern w:val="0"/>
          <w:sz w:val="32"/>
          <w:szCs w:val="32"/>
          <w:lang w:val="en-US" w:eastAsia="zh-CN" w:bidi="ar"/>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500.03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269.78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53</w:t>
      </w:r>
      <w:r>
        <w:rPr>
          <w:rFonts w:hint="eastAsia" w:ascii="Times New Roman" w:hAnsi="Times New Roman" w:eastAsia="仿宋_GB2312"/>
          <w:sz w:val="32"/>
          <w:szCs w:val="32"/>
        </w:rPr>
        <w:t>%，决算数小于年初预算数的主要原因是：</w:t>
      </w:r>
      <w:r>
        <w:rPr>
          <w:rFonts w:ascii="仿宋" w:hAnsi="仿宋" w:eastAsia="仿宋" w:cs="仿宋"/>
          <w:color w:val="000000"/>
          <w:kern w:val="0"/>
          <w:sz w:val="32"/>
          <w:szCs w:val="32"/>
          <w:lang w:val="en-US" w:eastAsia="zh-CN" w:bidi="ar"/>
        </w:rPr>
        <w:t>全县动物疫病防控控制</w:t>
      </w:r>
      <w:r>
        <w:rPr>
          <w:rFonts w:hint="eastAsia" w:ascii="仿宋" w:hAnsi="仿宋" w:eastAsia="仿宋" w:cs="仿宋"/>
          <w:color w:val="000000"/>
          <w:kern w:val="0"/>
          <w:sz w:val="32"/>
          <w:szCs w:val="32"/>
          <w:lang w:val="en-US" w:eastAsia="zh-CN" w:bidi="ar"/>
        </w:rPr>
        <w:t>支出</w:t>
      </w:r>
      <w:r>
        <w:rPr>
          <w:rFonts w:ascii="仿宋" w:hAnsi="仿宋" w:eastAsia="仿宋" w:cs="仿宋"/>
          <w:color w:val="000000"/>
          <w:kern w:val="0"/>
          <w:sz w:val="32"/>
          <w:szCs w:val="32"/>
          <w:lang w:val="en-US" w:eastAsia="zh-CN" w:bidi="ar"/>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农林水支出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农业农村</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农业生产发展</w:t>
      </w:r>
      <w:r>
        <w:rPr>
          <w:rFonts w:hint="eastAsia" w:ascii="Times New Roman" w:hAnsi="Times New Roman" w:eastAsia="仿宋_GB2312"/>
          <w:sz w:val="32"/>
          <w:szCs w:val="32"/>
        </w:rPr>
        <w:t>（项）。</w:t>
      </w:r>
    </w:p>
    <w:p>
      <w:pPr>
        <w:keepNext w:val="0"/>
        <w:keepLines w:val="0"/>
        <w:widowControl/>
        <w:suppressLineNumbers w:val="0"/>
        <w:jc w:val="left"/>
        <w:rPr>
          <w:rFonts w:ascii="仿宋" w:hAnsi="仿宋" w:eastAsia="仿宋" w:cs="仿宋"/>
          <w:color w:val="000000"/>
          <w:kern w:val="0"/>
          <w:sz w:val="32"/>
          <w:szCs w:val="32"/>
          <w:lang w:val="en-US" w:eastAsia="zh-CN" w:bidi="ar"/>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1040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598.69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57</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val="en-US" w:eastAsia="zh-CN"/>
        </w:rPr>
        <w:t>用于生猪良种补贴</w:t>
      </w:r>
      <w:r>
        <w:rPr>
          <w:rFonts w:ascii="仿宋" w:hAnsi="仿宋" w:eastAsia="仿宋" w:cs="仿宋"/>
          <w:color w:val="000000"/>
          <w:kern w:val="0"/>
          <w:sz w:val="32"/>
          <w:szCs w:val="32"/>
          <w:lang w:val="en-US" w:eastAsia="zh-CN" w:bidi="ar"/>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农林水支出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农业农村</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农业生态资源保护</w:t>
      </w:r>
      <w:r>
        <w:rPr>
          <w:rFonts w:hint="eastAsia" w:ascii="Times New Roman" w:hAnsi="Times New Roman" w:eastAsia="仿宋_GB2312"/>
          <w:sz w:val="32"/>
          <w:szCs w:val="32"/>
        </w:rPr>
        <w:t>（项）。</w:t>
      </w:r>
    </w:p>
    <w:p>
      <w:pPr>
        <w:keepNext w:val="0"/>
        <w:keepLines w:val="0"/>
        <w:widowControl/>
        <w:suppressLineNumbers w:val="0"/>
        <w:jc w:val="left"/>
        <w:rPr>
          <w:rFonts w:ascii="仿宋" w:hAnsi="仿宋" w:eastAsia="仿宋" w:cs="仿宋"/>
          <w:color w:val="000000"/>
          <w:kern w:val="0"/>
          <w:sz w:val="32"/>
          <w:szCs w:val="32"/>
          <w:lang w:val="en-US" w:eastAsia="zh-CN" w:bidi="ar"/>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229.56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19.46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0.08</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val="en-US" w:eastAsia="zh-CN"/>
        </w:rPr>
        <w:t>用于道州灰鹅保种支出</w:t>
      </w:r>
      <w:r>
        <w:rPr>
          <w:rFonts w:ascii="仿宋" w:hAnsi="仿宋" w:eastAsia="仿宋" w:cs="仿宋"/>
          <w:color w:val="000000"/>
          <w:kern w:val="0"/>
          <w:sz w:val="32"/>
          <w:szCs w:val="32"/>
          <w:lang w:val="en-US" w:eastAsia="zh-CN" w:bidi="ar"/>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农林水支出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农业农村</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渔业发展</w:t>
      </w:r>
      <w:r>
        <w:rPr>
          <w:rFonts w:hint="eastAsia" w:ascii="Times New Roman" w:hAnsi="Times New Roman" w:eastAsia="仿宋_GB2312"/>
          <w:sz w:val="32"/>
          <w:szCs w:val="32"/>
        </w:rPr>
        <w:t>（项）。</w:t>
      </w:r>
    </w:p>
    <w:p>
      <w:pPr>
        <w:keepNext w:val="0"/>
        <w:keepLines w:val="0"/>
        <w:widowControl/>
        <w:suppressLineNumbers w:val="0"/>
        <w:jc w:val="left"/>
        <w:rPr>
          <w:rFonts w:ascii="仿宋" w:hAnsi="仿宋" w:eastAsia="仿宋" w:cs="仿宋"/>
          <w:color w:val="000000"/>
          <w:kern w:val="0"/>
          <w:sz w:val="32"/>
          <w:szCs w:val="32"/>
          <w:lang w:val="en-US" w:eastAsia="zh-CN" w:bidi="ar"/>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9.73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0.19</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val="en-US" w:eastAsia="zh-CN"/>
        </w:rPr>
        <w:t>用于全县水产养殖建设改造</w:t>
      </w:r>
      <w:r>
        <w:rPr>
          <w:rFonts w:ascii="仿宋" w:hAnsi="仿宋" w:eastAsia="仿宋" w:cs="仿宋"/>
          <w:color w:val="000000"/>
          <w:kern w:val="0"/>
          <w:sz w:val="32"/>
          <w:szCs w:val="32"/>
          <w:lang w:val="en-US" w:eastAsia="zh-CN" w:bidi="ar"/>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商品服务业等支出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商业流通事务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其他商业流通事务支出</w:t>
      </w:r>
      <w:r>
        <w:rPr>
          <w:rFonts w:hint="eastAsia" w:ascii="Times New Roman" w:hAnsi="Times New Roman" w:eastAsia="仿宋_GB2312"/>
          <w:sz w:val="32"/>
          <w:szCs w:val="32"/>
        </w:rPr>
        <w:t>（项）。</w:t>
      </w:r>
    </w:p>
    <w:p>
      <w:pPr>
        <w:keepNext w:val="0"/>
        <w:keepLines w:val="0"/>
        <w:widowControl/>
        <w:suppressLineNumbers w:val="0"/>
        <w:jc w:val="left"/>
        <w:rPr>
          <w:rFonts w:ascii="仿宋" w:hAnsi="仿宋" w:eastAsia="仿宋" w:cs="仿宋"/>
          <w:color w:val="000000"/>
          <w:kern w:val="0"/>
          <w:sz w:val="32"/>
          <w:szCs w:val="32"/>
          <w:lang w:val="en-US" w:eastAsia="zh-CN" w:bidi="ar"/>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1246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184.21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0.14</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val="en-US" w:eastAsia="zh-CN"/>
        </w:rPr>
        <w:t>用于全县生猪调出大县支出</w:t>
      </w:r>
      <w:r>
        <w:rPr>
          <w:rFonts w:ascii="仿宋" w:hAnsi="仿宋" w:eastAsia="仿宋" w:cs="仿宋"/>
          <w:color w:val="000000"/>
          <w:kern w:val="0"/>
          <w:sz w:val="32"/>
          <w:szCs w:val="32"/>
          <w:lang w:val="en-US" w:eastAsia="zh-CN" w:bidi="ar"/>
        </w:rPr>
        <w:t>。</w:t>
      </w:r>
    </w:p>
    <w:p>
      <w:pPr>
        <w:pStyle w:val="8"/>
        <w:rPr>
          <w:lang w:val="en-US" w:eastAsia="zh-CN"/>
        </w:rPr>
      </w:pP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692.78</w:t>
      </w:r>
      <w:r>
        <w:rPr>
          <w:rFonts w:hint="eastAsia" w:ascii="Times New Roman" w:hAnsi="Times New Roman" w:eastAsia="仿宋_GB2312"/>
          <w:sz w:val="32"/>
          <w:szCs w:val="32"/>
        </w:rPr>
        <w:t>万元，其中：</w:t>
      </w:r>
    </w:p>
    <w:p>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674.42</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97</w:t>
      </w:r>
      <w:r>
        <w:rPr>
          <w:rFonts w:hint="eastAsia" w:ascii="Times New Roman" w:hAnsi="Times New Roman" w:eastAsia="仿宋_GB2312"/>
          <w:sz w:val="32"/>
          <w:szCs w:val="32"/>
        </w:rPr>
        <w:t>%,</w:t>
      </w:r>
      <w:r>
        <w:rPr>
          <w:rFonts w:hint="eastAsia" w:ascii="Times New Roman" w:hAnsi="Times New Roman" w:eastAsia="仿宋_GB2312" w:cs="黑体"/>
          <w:color w:val="000000"/>
          <w:kern w:val="0"/>
          <w:sz w:val="32"/>
          <w:szCs w:val="32"/>
          <w:lang w:val="en-US" w:eastAsia="zh-CN" w:bidi="ar-SA"/>
        </w:rPr>
        <w:t xml:space="preserve">主要包括基本工资、津贴补 </w:t>
      </w:r>
    </w:p>
    <w:p>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贴、奖金、机关事业单位基本养老保险缴费、职工基本医疗保险缴费、其他社会保障缴费、住房公积金、退休费、抚恤金、其他对个人和家庭的补助。</w:t>
      </w:r>
    </w:p>
    <w:p>
      <w:pPr>
        <w:keepNext w:val="0"/>
        <w:keepLines w:val="0"/>
        <w:widowControl/>
        <w:suppressLineNumbers w:val="0"/>
        <w:ind w:firstLine="640" w:firstLineChars="200"/>
        <w:jc w:val="left"/>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18.36</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%，主要包括</w:t>
      </w:r>
      <w:r>
        <w:rPr>
          <w:rFonts w:ascii="仿宋" w:hAnsi="仿宋" w:eastAsia="仿宋" w:cs="仿宋"/>
          <w:color w:val="000000"/>
          <w:kern w:val="0"/>
          <w:sz w:val="32"/>
          <w:szCs w:val="32"/>
          <w:lang w:val="en-US" w:eastAsia="zh-CN" w:bidi="ar"/>
        </w:rPr>
        <w:t>办公费、</w:t>
      </w:r>
      <w:r>
        <w:rPr>
          <w:rFonts w:hint="eastAsia" w:ascii="仿宋" w:hAnsi="仿宋" w:eastAsia="仿宋" w:cs="仿宋"/>
          <w:color w:val="000000"/>
          <w:kern w:val="0"/>
          <w:sz w:val="32"/>
          <w:szCs w:val="32"/>
          <w:lang w:val="en-US" w:eastAsia="zh-CN" w:bidi="ar"/>
        </w:rPr>
        <w:t>工会经费、 福利费、公务用车运行维护费、其他交通费。</w:t>
      </w:r>
    </w:p>
    <w:p>
      <w:pPr>
        <w:pStyle w:val="13"/>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pPr>
        <w:pStyle w:val="13"/>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2.83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2.83</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预算数的主要原因是</w:t>
      </w:r>
      <w:r>
        <w:rPr>
          <w:rFonts w:hint="eastAsia" w:ascii="Times New Roman" w:hAnsi="Times New Roman" w:eastAsia="仿宋_GB2312" w:cs="Times New Roman"/>
          <w:color w:val="auto"/>
          <w:sz w:val="32"/>
          <w:szCs w:val="32"/>
          <w:u w:val="none"/>
          <w:lang w:val="en-US" w:eastAsia="zh-CN"/>
        </w:rPr>
        <w:t>实施公务用车制度，加强公务用车管理，规范公务接待活动等，使得“三公”经费各单项支出明显下降</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4.52</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38</w:t>
      </w:r>
      <w:r>
        <w:rPr>
          <w:rFonts w:hint="eastAsia" w:ascii="Times New Roman" w:hAnsi="Times New Roman" w:eastAsia="仿宋_GB2312"/>
          <w:sz w:val="32"/>
          <w:szCs w:val="32"/>
        </w:rPr>
        <w:t>%,减少的主要原因是</w:t>
      </w:r>
      <w:r>
        <w:rPr>
          <w:rFonts w:hint="eastAsia" w:ascii="Times New Roman" w:hAnsi="Times New Roman" w:eastAsia="仿宋_GB2312" w:cs="Times New Roman"/>
          <w:color w:val="auto"/>
          <w:sz w:val="32"/>
          <w:szCs w:val="32"/>
          <w:u w:val="none"/>
          <w:lang w:val="en-US" w:eastAsia="zh-CN"/>
        </w:rPr>
        <w:t>实施公务用车制度，加强公务用车管理，规范公务接待活动等，使得“三公”经费各单项支出均明显下降</w:t>
      </w:r>
      <w:r>
        <w:rPr>
          <w:rFonts w:hint="eastAsia" w:ascii="仿宋_GB2312" w:eastAsia="仿宋_GB2312"/>
          <w:sz w:val="32"/>
          <w:szCs w:val="32"/>
        </w:rPr>
        <w:t>。</w:t>
      </w:r>
      <w:r>
        <w:rPr>
          <w:rFonts w:hint="eastAsia" w:ascii="Times New Roman" w:hAnsi="Times New Roman" w:eastAsia="仿宋_GB2312"/>
          <w:sz w:val="32"/>
          <w:szCs w:val="32"/>
        </w:rPr>
        <w:t>其中：</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%，决算数大于（小于）预算数的主要原因是</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，与上年相比减少（增加）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万元，减少（增长）</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%,减少（增长）的主要原因是</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预算数的主要原因是</w:t>
      </w:r>
      <w:r>
        <w:rPr>
          <w:rFonts w:hint="eastAsia" w:ascii="Times New Roman" w:hAnsi="Times New Roman" w:eastAsia="仿宋_GB2312" w:cs="Times New Roman"/>
          <w:color w:val="auto"/>
          <w:sz w:val="32"/>
          <w:szCs w:val="32"/>
          <w:u w:val="none"/>
          <w:lang w:val="en-US" w:eastAsia="zh-CN"/>
        </w:rPr>
        <w:t>实施公务用车制度，加强公务用车管理，规范公务接待活动等，使得“三公”经费各单项支出均明显下降</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与上年相</w:t>
      </w:r>
      <w:r>
        <w:rPr>
          <w:rFonts w:hint="eastAsia" w:ascii="Times New Roman" w:hAnsi="Times New Roman" w:eastAsia="仿宋_GB2312"/>
          <w:sz w:val="32"/>
          <w:szCs w:val="32"/>
          <w:lang w:val="en-US" w:eastAsia="zh-CN"/>
        </w:rPr>
        <w:t>减少4.53</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rPr>
        <w:t>的主要原因是</w:t>
      </w:r>
      <w:r>
        <w:rPr>
          <w:rFonts w:hint="eastAsia" w:ascii="Times New Roman" w:hAnsi="Times New Roman" w:eastAsia="仿宋_GB2312" w:cs="Times New Roman"/>
          <w:color w:val="auto"/>
          <w:sz w:val="32"/>
          <w:szCs w:val="32"/>
          <w:u w:val="none"/>
          <w:lang w:val="en-US" w:eastAsia="zh-CN"/>
        </w:rPr>
        <w:t>实施公务用车制度，加强公务用车管理，规范公务接待活动等，使得“三公”经费各单项支出均明显下降</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%，决算数大于（小于）预算数的主要原因是</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，与上年相比减少（增加）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万元，减少（增长）</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%,减少（增长）的主要原因是</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2.82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2.82</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预算数的主要原因是</w:t>
      </w:r>
      <w:r>
        <w:rPr>
          <w:rFonts w:hint="eastAsia" w:ascii="Times New Roman" w:hAnsi="Times New Roman" w:eastAsia="仿宋_GB2312" w:cs="Times New Roman"/>
          <w:color w:val="auto"/>
          <w:sz w:val="32"/>
          <w:szCs w:val="32"/>
          <w:u w:val="none"/>
          <w:lang w:val="en-US" w:eastAsia="zh-CN"/>
        </w:rPr>
        <w:t>实施公务用车制度，加强公务用车管理，规范公务接待活动等，使得“三公”经费各单项支出持平</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2.82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人次，主要是</w:t>
      </w:r>
      <w:r>
        <w:rPr>
          <w:rFonts w:hint="eastAsia" w:ascii="仿宋" w:hAnsi="仿宋" w:eastAsia="仿宋" w:cs="仿宋"/>
          <w:color w:val="000000"/>
          <w:kern w:val="0"/>
          <w:sz w:val="32"/>
          <w:szCs w:val="32"/>
          <w:lang w:val="en-US" w:eastAsia="zh-CN" w:bidi="ar"/>
        </w:rPr>
        <w:t>无</w:t>
      </w:r>
      <w:r>
        <w:rPr>
          <w:rFonts w:hint="eastAsia" w:ascii="Times New Roman" w:hAnsi="Times New Roman" w:eastAsia="仿宋_GB2312"/>
          <w:sz w:val="32"/>
          <w:szCs w:val="32"/>
        </w:rPr>
        <w:t>。</w:t>
      </w:r>
    </w:p>
    <w:p>
      <w:pPr>
        <w:keepNext w:val="0"/>
        <w:keepLines w:val="0"/>
        <w:widowControl/>
        <w:suppressLineNumbers w:val="0"/>
        <w:ind w:firstLine="640" w:firstLineChars="200"/>
        <w:jc w:val="left"/>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2.82</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2.82</w:t>
      </w:r>
      <w:r>
        <w:rPr>
          <w:rFonts w:hint="eastAsia" w:ascii="Times New Roman" w:hAnsi="Times New Roman" w:eastAsia="仿宋_GB2312"/>
          <w:sz w:val="32"/>
          <w:szCs w:val="32"/>
        </w:rPr>
        <w:t>万元，主要</w:t>
      </w:r>
      <w:r>
        <w:rPr>
          <w:rFonts w:ascii="仿宋" w:hAnsi="仿宋" w:eastAsia="仿宋" w:cs="仿宋"/>
          <w:color w:val="000000"/>
          <w:kern w:val="0"/>
          <w:sz w:val="32"/>
          <w:szCs w:val="32"/>
          <w:lang w:val="en-US" w:eastAsia="zh-CN" w:bidi="ar"/>
        </w:rPr>
        <w:t>是维修、保险、汽油</w:t>
      </w:r>
      <w:r>
        <w:rPr>
          <w:rFonts w:hint="eastAsia" w:ascii="Times New Roman" w:hAnsi="Times New Roman" w:eastAsia="仿宋_GB2312"/>
          <w:sz w:val="32"/>
          <w:szCs w:val="32"/>
        </w:rPr>
        <w:t>支出，截止202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3"/>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度政府性基金预算财政拨款收入</w:t>
      </w:r>
      <w:r>
        <w:rPr>
          <w:rFonts w:hint="eastAsia" w:ascii="Times New Roman" w:hAnsi="Times New Roman" w:eastAsia="仿宋_GB2312"/>
          <w:sz w:val="32"/>
          <w:szCs w:val="32"/>
          <w:lang w:val="en-US" w:eastAsia="zh-CN"/>
        </w:rPr>
        <w:t>987</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987</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p>
    <w:p>
      <w:pPr>
        <w:pStyle w:val="13"/>
        <w:keepNext w:val="0"/>
        <w:keepLines w:val="0"/>
        <w:pageBreakBefore w:val="0"/>
        <w:widowControl w:val="0"/>
        <w:kinsoku/>
        <w:wordWrap/>
        <w:overflowPunct/>
        <w:topLinePunct w:val="0"/>
        <w:bidi w:val="0"/>
        <w:snapToGrid/>
        <w:spacing w:line="360" w:lineRule="auto"/>
        <w:ind w:firstLine="800" w:firstLineChars="250"/>
        <w:textAlignment w:val="auto"/>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sz w:val="32"/>
          <w:szCs w:val="32"/>
          <w:lang w:val="en-US" w:eastAsia="zh-CN"/>
        </w:rPr>
        <w:t>1</w:t>
      </w:r>
      <w:r>
        <w:rPr>
          <w:rFonts w:hint="eastAsia" w:ascii="Times New Roman" w:hAnsi="Times New Roman" w:eastAsia="仿宋_GB2312" w:cstheme="minorBidi"/>
          <w:color w:val="auto"/>
          <w:kern w:val="2"/>
          <w:sz w:val="32"/>
          <w:szCs w:val="32"/>
          <w:lang w:val="en-US" w:eastAsia="zh-CN" w:bidi="ar-SA"/>
        </w:rPr>
        <w:t>、其他支出（类）其他政府性基金及对应专项债务收入安排的支出（款）其他地方自行试点项目收益专项债券收入安排的支出（项）。</w:t>
      </w:r>
    </w:p>
    <w:p>
      <w:pPr>
        <w:pStyle w:val="8"/>
        <w:keepNext w:val="0"/>
        <w:keepLines w:val="0"/>
        <w:pageBreakBefore w:val="0"/>
        <w:widowControl w:val="0"/>
        <w:kinsoku/>
        <w:wordWrap/>
        <w:overflowPunct/>
        <w:topLinePunct w:val="0"/>
        <w:bidi w:val="0"/>
        <w:spacing w:line="360" w:lineRule="auto"/>
        <w:textAlignment w:val="auto"/>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年初预算为0万元，支出决算为987万元，</w:t>
      </w:r>
      <w:r>
        <w:rPr>
          <w:rFonts w:ascii="仿宋" w:hAnsi="仿宋" w:eastAsia="仿宋" w:cs="仿宋"/>
          <w:color w:val="000000"/>
          <w:kern w:val="0"/>
          <w:sz w:val="32"/>
          <w:szCs w:val="32"/>
          <w:lang w:val="en-US" w:eastAsia="zh-CN" w:bidi="ar"/>
        </w:rPr>
        <w:t>无法计算完成比率</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cstheme="minorBidi"/>
          <w:color w:val="auto"/>
          <w:kern w:val="2"/>
          <w:sz w:val="32"/>
          <w:szCs w:val="32"/>
          <w:lang w:val="en-US" w:eastAsia="zh-CN" w:bidi="ar-SA"/>
        </w:rPr>
        <w:t>：用于</w:t>
      </w:r>
      <w:r>
        <w:rPr>
          <w:rFonts w:hint="eastAsia" w:ascii="Times New Roman" w:hAnsi="Times New Roman" w:eastAsia="仿宋_GB2312"/>
          <w:sz w:val="32"/>
          <w:szCs w:val="32"/>
          <w:lang w:val="en-US" w:eastAsia="zh-CN"/>
        </w:rPr>
        <w:t>优质淡水鱼示范基地繁育专项债的项目支出增加</w:t>
      </w:r>
      <w:r>
        <w:rPr>
          <w:rFonts w:hint="eastAsia" w:ascii="Times New Roman" w:hAnsi="Times New Roman" w:eastAsia="仿宋_GB2312" w:cstheme="minorBidi"/>
          <w:color w:val="auto"/>
          <w:kern w:val="2"/>
          <w:sz w:val="32"/>
          <w:szCs w:val="32"/>
          <w:lang w:val="en-US" w:eastAsia="zh-CN" w:bidi="ar-SA"/>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keepNext w:val="0"/>
        <w:keepLines w:val="0"/>
        <w:widowControl/>
        <w:suppressLineNumbers w:val="0"/>
        <w:jc w:val="left"/>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18.36</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比上年决算数减少</w:t>
      </w:r>
      <w:r>
        <w:rPr>
          <w:rFonts w:hint="eastAsia" w:ascii="Times New Roman" w:hAnsi="Times New Roman" w:eastAsia="仿宋_GB2312"/>
          <w:sz w:val="32"/>
          <w:szCs w:val="32"/>
          <w:lang w:val="en-US" w:eastAsia="zh-CN"/>
        </w:rPr>
        <w:t>40.67</w:t>
      </w:r>
      <w:r>
        <w:rPr>
          <w:rFonts w:hint="eastAsia" w:ascii="Times New Roman" w:hAnsi="Times New Roman" w:eastAsia="仿宋_GB2312"/>
          <w:sz w:val="32"/>
          <w:szCs w:val="32"/>
        </w:rPr>
        <w:t>万元，降低</w:t>
      </w:r>
      <w:r>
        <w:rPr>
          <w:rFonts w:hint="eastAsia" w:ascii="Times New Roman" w:hAnsi="Times New Roman" w:eastAsia="仿宋_GB2312"/>
          <w:sz w:val="32"/>
          <w:szCs w:val="32"/>
          <w:lang w:val="en-US" w:eastAsia="zh-CN"/>
        </w:rPr>
        <w:t>69</w:t>
      </w:r>
      <w:r>
        <w:rPr>
          <w:rFonts w:hint="eastAsia" w:ascii="Times New Roman" w:hAnsi="Times New Roman" w:eastAsia="仿宋_GB2312"/>
          <w:sz w:val="32"/>
          <w:szCs w:val="32"/>
        </w:rPr>
        <w:t>%。主要包括</w:t>
      </w:r>
      <w:r>
        <w:rPr>
          <w:rFonts w:ascii="仿宋" w:hAnsi="仿宋" w:eastAsia="仿宋" w:cs="仿宋"/>
          <w:color w:val="000000"/>
          <w:kern w:val="0"/>
          <w:sz w:val="32"/>
          <w:szCs w:val="32"/>
          <w:lang w:val="en-US" w:eastAsia="zh-CN" w:bidi="ar"/>
        </w:rPr>
        <w:t>办公费、</w:t>
      </w:r>
      <w:r>
        <w:rPr>
          <w:rFonts w:hint="eastAsia" w:ascii="仿宋" w:hAnsi="仿宋" w:eastAsia="仿宋" w:cs="仿宋"/>
          <w:color w:val="000000"/>
          <w:kern w:val="0"/>
          <w:sz w:val="32"/>
          <w:szCs w:val="32"/>
          <w:lang w:val="en-US" w:eastAsia="zh-CN" w:bidi="ar"/>
        </w:rPr>
        <w:t>工会经费、 福利费、公务用车运行维护费、其他交通费。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keepNext w:val="0"/>
        <w:keepLines w:val="0"/>
        <w:widowControl/>
        <w:suppressLineNumbers w:val="0"/>
        <w:jc w:val="left"/>
        <w:rPr>
          <w:rFonts w:hint="eastAsia" w:ascii="楷体" w:hAnsi="楷体" w:eastAsia="仿宋_GB2312" w:cs="楷体"/>
          <w:b/>
          <w:bCs/>
          <w:i/>
          <w:color w:val="auto"/>
          <w:kern w:val="0"/>
          <w:sz w:val="32"/>
          <w:szCs w:val="32"/>
          <w:lang w:val="en-US" w:eastAsia="zh-CN" w:bidi="ar-SA"/>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万元，用于</w:t>
      </w:r>
      <w:r>
        <w:rPr>
          <w:rFonts w:hint="eastAsia" w:ascii="仿宋" w:hAnsi="仿宋" w:eastAsia="仿宋" w:cs="仿宋"/>
          <w:color w:val="000000"/>
          <w:kern w:val="0"/>
          <w:sz w:val="32"/>
          <w:szCs w:val="32"/>
          <w:lang w:val="en-US" w:eastAsia="zh-CN" w:bidi="ar"/>
        </w:rPr>
        <w:t>无</w:t>
      </w:r>
      <w:r>
        <w:rPr>
          <w:rFonts w:hint="eastAsia" w:ascii="Times New Roman" w:hAnsi="Times New Roman" w:eastAsia="仿宋_GB2312"/>
          <w:sz w:val="32"/>
          <w:szCs w:val="32"/>
        </w:rPr>
        <w:t>，人数</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25.6</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25.6</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年</w:t>
      </w:r>
      <w:r>
        <w:rPr>
          <w:rFonts w:hint="eastAsia" w:ascii="Times New Roman" w:hAnsi="Times New Roman" w:eastAsia="仿宋_GB2312"/>
          <w:color w:val="auto"/>
          <w:sz w:val="32"/>
          <w:szCs w:val="32"/>
        </w:rPr>
        <w:t>12月31日，</w:t>
      </w:r>
      <w:r>
        <w:rPr>
          <w:rFonts w:hint="eastAsia" w:ascii="Times New Roman" w:hAnsi="Times New Roman" w:eastAsia="仿宋_GB2312"/>
          <w:color w:val="auto"/>
          <w:sz w:val="32"/>
          <w:szCs w:val="32"/>
          <w:lang w:eastAsia="zh-CN"/>
        </w:rPr>
        <w:t>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辆，其他用车主要是</w:t>
      </w:r>
      <w:r>
        <w:rPr>
          <w:rFonts w:hint="eastAsia" w:ascii="Times New Roman" w:hAnsi="Times New Roman" w:eastAsia="仿宋_GB2312"/>
          <w:color w:val="auto"/>
          <w:sz w:val="32"/>
          <w:szCs w:val="32"/>
          <w:lang w:val="en-US" w:eastAsia="zh-CN"/>
        </w:rPr>
        <w:t>生产用车</w:t>
      </w:r>
      <w:r>
        <w:rPr>
          <w:rFonts w:hint="eastAsia" w:ascii="Times New Roman" w:hAnsi="Times New Roman" w:eastAsia="仿宋_GB2312"/>
          <w:color w:val="auto"/>
          <w:sz w:val="32"/>
          <w:szCs w:val="32"/>
        </w:rPr>
        <w:t>；单位价值100万元以上设备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2024</w:t>
      </w:r>
      <w:r>
        <w:rPr>
          <w:rFonts w:hint="eastAsia" w:ascii="Times New Roman" w:hAnsi="Times New Roman" w:eastAsia="仿宋_GB2312"/>
          <w:b/>
          <w:bCs/>
          <w:color w:val="auto"/>
          <w:sz w:val="32"/>
          <w:szCs w:val="32"/>
          <w:lang w:eastAsia="zh-CN"/>
        </w:rPr>
        <w:t>年</w:t>
      </w:r>
      <w:r>
        <w:rPr>
          <w:rFonts w:hint="eastAsia" w:ascii="黑体" w:hAnsi="黑体" w:eastAsia="黑体" w:cs="黑体"/>
          <w:b w:val="0"/>
          <w:bCs/>
          <w:color w:val="auto"/>
          <w:sz w:val="32"/>
          <w:szCs w:val="32"/>
        </w:rPr>
        <w:t>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keepNext w:val="0"/>
        <w:keepLines w:val="0"/>
        <w:widowControl/>
        <w:suppressLineNumbers w:val="0"/>
        <w:ind w:firstLine="640" w:firstLineChars="200"/>
        <w:jc w:val="left"/>
      </w:pPr>
      <w:r>
        <w:rPr>
          <w:rFonts w:ascii="仿宋" w:hAnsi="仿宋" w:eastAsia="仿宋" w:cs="仿宋"/>
          <w:color w:val="000000"/>
          <w:kern w:val="0"/>
          <w:sz w:val="32"/>
          <w:szCs w:val="32"/>
          <w:lang w:val="en-US" w:eastAsia="zh-CN" w:bidi="ar"/>
        </w:rPr>
        <w:t>本部门预算绩效管理开展情况、绩效目标和绩效评价报告等见附</w:t>
      </w:r>
      <w:r>
        <w:rPr>
          <w:rFonts w:hint="eastAsia" w:ascii="仿宋" w:hAnsi="仿宋" w:eastAsia="仿宋" w:cs="仿宋"/>
          <w:color w:val="000000"/>
          <w:kern w:val="0"/>
          <w:sz w:val="32"/>
          <w:szCs w:val="32"/>
          <w:lang w:val="en-US" w:eastAsia="zh-CN" w:bidi="ar"/>
        </w:rPr>
        <w:t>件</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13"/>
        <w:ind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一、健全规章制度、规范操作流程。</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二、强化宣传培训、提高公开质量。</w:t>
      </w:r>
    </w:p>
    <w:p>
      <w:pPr>
        <w:pStyle w:val="13"/>
        <w:jc w:val="both"/>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keepNext w:val="0"/>
        <w:keepLines w:val="0"/>
        <w:widowControl/>
        <w:suppressLineNumbers w:val="0"/>
        <w:jc w:val="left"/>
      </w:pPr>
      <w:r>
        <w:rPr>
          <w:rFonts w:hint="eastAsia" w:cs="黑体" w:asciiTheme="minorEastAsia" w:hAnsiTheme="minorEastAsia"/>
          <w:color w:val="000000"/>
          <w:kern w:val="0"/>
          <w:sz w:val="32"/>
          <w:szCs w:val="32"/>
        </w:rPr>
        <w:t>一、</w:t>
      </w:r>
      <w:r>
        <w:rPr>
          <w:rFonts w:ascii="仿宋" w:hAnsi="仿宋" w:eastAsia="仿宋" w:cs="仿宋"/>
          <w:color w:val="000000"/>
          <w:kern w:val="0"/>
          <w:sz w:val="32"/>
          <w:szCs w:val="32"/>
          <w:lang w:val="en-US" w:eastAsia="zh-CN" w:bidi="ar"/>
        </w:rPr>
        <w:t xml:space="preserve">财政拨款收入：指单位本年度从同级财政部门取得的各类财政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拨款。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二、机关运行经费：指行政单位（含参照公务员法管理的事业单位）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使用一般公共预算安排的基本支出中的公用经费支出，包括办公及印刷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费、邮电费、差旅费、会议费、福利费、日常维修费、专用材料及一般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设备购置费、办公用房水电费、办公用房取暖费、办公用房物业管理费、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公务用车运行维护费及其他费用。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三、事业收入：指事业单位开展专业业务活动及其辅助活动取得的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收入，事业单位收到的财政专户实际核拨的教育收费等资金在此反映。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四、经营收入：指事业单位在专业业务活动及其辅助活动之外开展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非独立核算经营活动取得的收入。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五、附属单位上缴收入：指事业单位附属独立核算单位按照有关规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定上缴的收入。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六、其他收入：指单位取得的除上述“财政拨款收入”、“事业收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入”、“经营收入”等以外的各项收入。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七、使用非财政拨款结余：指事业单位使用非财政拨款结余（原事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业基金）弥补当年收支差额的数额。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八、年初结转和结余：指单位上年结转本年使用的基本支出结转、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项目支出结转和结余和经营结余。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九、结余分配：指事业单位按规定对非财政拨款结余资金提取的专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用基金、缴纳的所得税和转入非财政拨款结余等。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十、年末结转和结余资金：指本年度或以前年度预算安排、因客观条件发生变化无法按原计划实施，需要延迟到以后年度按有关规定继续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使用的资金。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十一、基本支出：指为保障机构正常运转、完成日常工作任务而发生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的支出，包括人员经费和公用经费。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十二、项目支出：指在为完成特定的工作任务和事业发展目标所发生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的支出。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十三、上缴上级支出：指事业单位按照财政部门和主管部门的规定上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缴上级单位的支出。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十四、经营支出：指事业单位在专业业务活动及其辅助活动之外开展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非独立核算经营活动发生的支出。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十五、对附属单位补助支出：指事业单位用财政拨款收入之外的收入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对附属单位补助发生的支出。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十六、“三公”经费：指单位用一般公共预算财政拨款安排的因公出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国（境）费、公务用车购置及运行维护费和公务接待费。其中，因公出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国（境）费反映单位公务出国（境）的国际旅费、国外城市间交通费、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住宿费、伙食费、培训费、公杂费等支出；公务用车购置及运行维护费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反映单位公务用车购置支出（含车辆购置税、牌照费）以及按规定保留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的公务用车燃料费、维修费、过路过桥费、保险费、安全奖励费用等支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出；公务接待费反映单位按规定开支的各类公务接待（含外宾接待）费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用。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十七、上级补助收入：指事业单位从主管部门和上级单位取得的非财 </w:t>
      </w:r>
    </w:p>
    <w:p>
      <w:pPr>
        <w:keepNext w:val="0"/>
        <w:keepLines w:val="0"/>
        <w:widowControl/>
        <w:suppressLineNumbers w:val="0"/>
        <w:jc w:val="left"/>
        <w:rPr>
          <w:sz w:val="72"/>
          <w:szCs w:val="72"/>
        </w:rPr>
      </w:pPr>
      <w:r>
        <w:rPr>
          <w:rFonts w:hint="eastAsia" w:ascii="仿宋" w:hAnsi="仿宋" w:eastAsia="仿宋" w:cs="仿宋"/>
          <w:color w:val="000000"/>
          <w:kern w:val="0"/>
          <w:sz w:val="32"/>
          <w:szCs w:val="32"/>
          <w:lang w:val="en-US" w:eastAsia="zh-CN" w:bidi="ar"/>
        </w:rPr>
        <w:t xml:space="preserve">政补助收入。 </w:t>
      </w:r>
    </w:p>
    <w:p>
      <w:pPr>
        <w:pStyle w:val="13"/>
        <w:jc w:val="center"/>
        <w:rPr>
          <w:sz w:val="72"/>
          <w:szCs w:val="72"/>
        </w:rPr>
      </w:pPr>
    </w:p>
    <w:p>
      <w:pPr>
        <w:pStyle w:val="13"/>
        <w:jc w:val="center"/>
        <w:rPr>
          <w:sz w:val="72"/>
          <w:szCs w:val="72"/>
        </w:rPr>
      </w:pPr>
    </w:p>
    <w:p>
      <w:pPr>
        <w:pStyle w:val="4"/>
        <w:ind w:left="0" w:leftChars="0" w:firstLine="0" w:firstLineChars="0"/>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pStyle w:val="13"/>
        <w:keepNext w:val="0"/>
        <w:keepLines w:val="0"/>
        <w:pageBreakBefore w:val="0"/>
        <w:widowControl w:val="0"/>
        <w:kinsoku/>
        <w:wordWrap/>
        <w:overflowPunct/>
        <w:topLinePunct w:val="0"/>
        <w:bidi w:val="0"/>
        <w:snapToGrid/>
        <w:spacing w:line="600" w:lineRule="exact"/>
        <w:jc w:val="left"/>
        <w:textAlignment w:val="auto"/>
        <w:rPr>
          <w:rFonts w:hint="eastAsia" w:ascii="Times New Roman" w:hAnsi="Times New Roman" w:eastAsia="仿宋_GB2312"/>
          <w:sz w:val="32"/>
          <w:szCs w:val="32"/>
          <w:lang w:val="en-US" w:eastAsia="zh-CN"/>
        </w:rPr>
      </w:pPr>
      <w:bookmarkStart w:id="3" w:name="_GoBack"/>
      <w:bookmarkEnd w:id="3"/>
    </w:p>
    <w:p>
      <w:pPr>
        <w:ind w:firstLine="640" w:firstLineChars="200"/>
        <w:jc w:val="center"/>
        <w:rPr>
          <w:rFonts w:hint="eastAsia" w:ascii="黑体" w:hAnsi="黑体" w:eastAsia="黑体" w:cs="黑体"/>
          <w:color w:val="000000"/>
          <w:kern w:val="0"/>
          <w:sz w:val="32"/>
          <w:szCs w:val="32"/>
        </w:rPr>
      </w:pPr>
      <w:r>
        <w:rPr>
          <w:rFonts w:hint="eastAsia" w:ascii="黑体" w:hAnsi="黑体" w:eastAsia="黑体"/>
          <w:kern w:val="0"/>
          <w:sz w:val="32"/>
          <w:szCs w:val="32"/>
          <w:lang w:val="en-US" w:eastAsia="zh-CN"/>
        </w:rPr>
        <w:t>2025</w:t>
      </w:r>
      <w:r>
        <w:rPr>
          <w:rFonts w:hint="eastAsia" w:ascii="黑体" w:hAnsi="黑体" w:eastAsia="黑体" w:cs="黑体"/>
          <w:color w:val="000000"/>
          <w:kern w:val="0"/>
          <w:sz w:val="32"/>
          <w:szCs w:val="32"/>
        </w:rPr>
        <w:t>年度部门整体支出绩效评价报告</w:t>
      </w:r>
    </w:p>
    <w:p>
      <w:pPr>
        <w:numPr>
          <w:ilvl w:val="0"/>
          <w:numId w:val="3"/>
        </w:numPr>
        <w:rPr>
          <w:rFonts w:hint="eastAsia"/>
          <w:b/>
          <w:bCs/>
          <w:sz w:val="36"/>
          <w:szCs w:val="36"/>
          <w:lang w:val="en-US" w:eastAsia="zh-CN"/>
        </w:rPr>
      </w:pPr>
      <w:r>
        <w:rPr>
          <w:rFonts w:hint="eastAsia"/>
          <w:b/>
          <w:bCs/>
          <w:sz w:val="36"/>
          <w:szCs w:val="36"/>
          <w:lang w:val="en-US" w:eastAsia="zh-CN"/>
        </w:rPr>
        <w:t>基本情况</w:t>
      </w:r>
    </w:p>
    <w:p>
      <w:pPr>
        <w:pStyle w:val="2"/>
        <w:numPr>
          <w:ilvl w:val="0"/>
          <w:numId w:val="4"/>
        </w:numPr>
        <w:rPr>
          <w:rFonts w:hint="eastAsia" w:eastAsia="宋体" w:cs="Times New Roman"/>
          <w:kern w:val="2"/>
          <w:sz w:val="30"/>
          <w:szCs w:val="30"/>
          <w:lang w:val="en-US" w:eastAsia="zh-CN" w:bidi="ar-SA"/>
        </w:rPr>
      </w:pPr>
      <w:r>
        <w:rPr>
          <w:rFonts w:hint="eastAsia" w:eastAsia="宋体" w:cs="Times New Roman"/>
          <w:kern w:val="2"/>
          <w:sz w:val="30"/>
          <w:szCs w:val="30"/>
          <w:lang w:val="en-US" w:eastAsia="zh-CN" w:bidi="ar-SA"/>
        </w:rPr>
        <w:t>单位基本情况</w:t>
      </w:r>
    </w:p>
    <w:p>
      <w:pPr>
        <w:ind w:firstLine="640" w:firstLineChars="200"/>
        <w:rPr>
          <w:rFonts w:hint="eastAsia" w:ascii="仿宋_GB2312" w:eastAsia="仿宋_GB2312"/>
          <w:sz w:val="32"/>
          <w:szCs w:val="32"/>
        </w:rPr>
      </w:pPr>
      <w:r>
        <w:rPr>
          <w:rFonts w:hint="eastAsia" w:ascii="仿宋_GB2312" w:hAnsi="Times New Roman" w:eastAsia="仿宋_GB2312" w:cs="Times New Roman"/>
          <w:sz w:val="32"/>
          <w:szCs w:val="32"/>
          <w:lang w:val="en-US" w:eastAsia="zh-CN"/>
        </w:rPr>
        <w:t>道县</w:t>
      </w:r>
      <w:r>
        <w:rPr>
          <w:rFonts w:hint="eastAsia" w:ascii="仿宋_GB2312" w:eastAsia="仿宋_GB2312"/>
          <w:sz w:val="32"/>
          <w:szCs w:val="32"/>
        </w:rPr>
        <w:t>畜牧水产事务中心核定全额拨款事业编制19名。核定主任1名(正科级）、副主任2名(副科级)；内设机构正股</w:t>
      </w:r>
    </w:p>
    <w:p>
      <w:pPr>
        <w:ind w:firstLine="640" w:firstLineChars="200"/>
        <w:rPr>
          <w:rFonts w:hint="eastAsia" w:ascii="仿宋_GB2312" w:eastAsia="仿宋_GB2312"/>
          <w:sz w:val="32"/>
          <w:szCs w:val="32"/>
        </w:rPr>
      </w:pPr>
      <w:r>
        <w:rPr>
          <w:rFonts w:hint="eastAsia" w:ascii="仿宋_GB2312" w:eastAsia="仿宋_GB2312"/>
          <w:sz w:val="32"/>
          <w:szCs w:val="32"/>
        </w:rPr>
        <w:t>1.道县畜牧水产科技推广站。道县畜牧水产科技推广中心更名为道县畜牧水产科技推广站，为正股级公益一类事业单位，核定全额拨款事业编制17名，设站长1名，副站长1名。</w:t>
      </w:r>
    </w:p>
    <w:p>
      <w:pPr>
        <w:widowControl/>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2.道县动物卫生监督所。按省、市、县农业综合行政执法改革要求，原承担的行政执法职责划入农业领域综合行政执法机构，保留设置为副科级公益一类事业单位。随职责相应划出全额拨款事业编制7名，划出后核定全额拨款事业编制10名，设所长1名，副所长1名。</w:t>
      </w:r>
      <w:r>
        <w:rPr>
          <w:rFonts w:hint="eastAsia" w:ascii="Times New Roman" w:hAnsi="Times New Roman" w:eastAsia="仿宋_GB2312" w:cs="仿宋_GB2312"/>
          <w:bCs/>
          <w:kern w:val="0"/>
          <w:sz w:val="32"/>
          <w:szCs w:val="32"/>
          <w:lang w:val="en-US" w:eastAsia="zh-CN"/>
        </w:rPr>
        <w:t>设立“道县动物疫病预防控制中心”，加挂“道县动物卫生监督所”牌子，为县农业农村局所属副科级公益一类事业单位:设主任1名;核定全额拨款事业编制20名(将原县动物卫生监督所的10名划入，从县畜牧水产科技推广站划入10名)</w:t>
      </w:r>
    </w:p>
    <w:p>
      <w:pPr>
        <w:widowControl/>
        <w:spacing w:line="600" w:lineRule="exact"/>
        <w:ind w:firstLine="640" w:firstLineChars="200"/>
        <w:rPr>
          <w:rFonts w:hint="default"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单位职能职责：</w:t>
      </w:r>
    </w:p>
    <w:p>
      <w:pPr>
        <w:ind w:firstLine="640" w:firstLineChars="200"/>
        <w:rPr>
          <w:rFonts w:hint="eastAsia" w:ascii="仿宋_GB2312" w:eastAsia="仿宋_GB2312"/>
          <w:sz w:val="32"/>
          <w:szCs w:val="32"/>
        </w:rPr>
      </w:pPr>
      <w:r>
        <w:rPr>
          <w:rFonts w:hint="eastAsia" w:ascii="仿宋_GB2312" w:eastAsia="仿宋_GB2312"/>
          <w:sz w:val="32"/>
          <w:szCs w:val="32"/>
        </w:rPr>
        <w:t>(一)按照养殖业有关法律法规和方针政策的要求，为全县畜牧业、渔业发展提供技术支撑和服务保障。</w:t>
      </w:r>
    </w:p>
    <w:p>
      <w:pPr>
        <w:ind w:firstLine="640" w:firstLineChars="200"/>
        <w:rPr>
          <w:rFonts w:hint="eastAsia" w:ascii="仿宋_GB2312" w:eastAsia="仿宋_GB2312"/>
          <w:sz w:val="32"/>
          <w:szCs w:val="32"/>
        </w:rPr>
      </w:pPr>
      <w:r>
        <w:rPr>
          <w:rFonts w:hint="eastAsia" w:ascii="仿宋_GB2312" w:eastAsia="仿宋_GB2312"/>
          <w:sz w:val="32"/>
          <w:szCs w:val="32"/>
        </w:rPr>
        <w:t>(二)为养殖业生产、市场信息监测提供技术、信息服务，开展统计分析工作。研究提出畜牧业、渔业产业发展与资源保护建议，承担产业项目有关技术性工作。</w:t>
      </w:r>
    </w:p>
    <w:p>
      <w:pPr>
        <w:ind w:firstLine="640" w:firstLineChars="200"/>
        <w:rPr>
          <w:rFonts w:hint="eastAsia" w:ascii="仿宋_GB2312" w:eastAsia="仿宋_GB2312"/>
          <w:sz w:val="32"/>
          <w:szCs w:val="32"/>
        </w:rPr>
      </w:pPr>
      <w:r>
        <w:rPr>
          <w:rFonts w:hint="eastAsia" w:ascii="仿宋_GB2312" w:eastAsia="仿宋_GB2312"/>
          <w:sz w:val="32"/>
          <w:szCs w:val="32"/>
        </w:rPr>
        <w:t>（三）研究提出全县养殖业技术推广规划和体系建设规划意见，协助组织开展全县养殖业技术推广和专业技术人员培训。参与畜牧水产相关项目的实施、验收。</w:t>
      </w:r>
    </w:p>
    <w:p>
      <w:pPr>
        <w:ind w:firstLine="640" w:firstLineChars="200"/>
        <w:rPr>
          <w:rFonts w:hint="eastAsia" w:ascii="仿宋_GB2312" w:eastAsia="仿宋_GB2312"/>
          <w:sz w:val="32"/>
          <w:szCs w:val="32"/>
        </w:rPr>
      </w:pPr>
      <w:r>
        <w:rPr>
          <w:rFonts w:hint="eastAsia" w:ascii="仿宋_GB2312" w:eastAsia="仿宋_GB2312"/>
          <w:sz w:val="32"/>
          <w:szCs w:val="32"/>
        </w:rPr>
        <w:t>(四）承担全县畜牧业、渔业、饲料、兽药调查研究，收集、预测并发布全县养殖业生产形势、生产资料供应、产品供求情况等经济信息。</w:t>
      </w:r>
    </w:p>
    <w:p>
      <w:pPr>
        <w:ind w:firstLine="640" w:firstLineChars="200"/>
        <w:rPr>
          <w:rFonts w:hint="eastAsia" w:ascii="仿宋_GB2312" w:eastAsia="仿宋_GB2312"/>
          <w:sz w:val="32"/>
          <w:szCs w:val="32"/>
        </w:rPr>
      </w:pPr>
      <w:r>
        <w:rPr>
          <w:rFonts w:hint="eastAsia" w:ascii="仿宋_GB2312" w:eastAsia="仿宋_GB2312"/>
          <w:sz w:val="32"/>
          <w:szCs w:val="32"/>
        </w:rPr>
        <w:t>（五）承担重大动物疫病(包括人畜共患病）防控和动物诊疗机构及其从业人员管理等相关技术性、事务性工作。</w:t>
      </w:r>
    </w:p>
    <w:p>
      <w:pPr>
        <w:ind w:firstLine="640" w:firstLineChars="200"/>
        <w:rPr>
          <w:rFonts w:hint="eastAsia" w:ascii="仿宋_GB2312" w:eastAsia="仿宋_GB2312"/>
          <w:sz w:val="32"/>
          <w:szCs w:val="32"/>
        </w:rPr>
      </w:pPr>
      <w:r>
        <w:rPr>
          <w:rFonts w:hint="eastAsia" w:ascii="仿宋_GB2312" w:eastAsia="仿宋_GB2312"/>
          <w:sz w:val="32"/>
          <w:szCs w:val="32"/>
        </w:rPr>
        <w:t>(六）承担畜禽、水产、牧草、饲料品种资源调查等工作；组织实施相关品种的申报、登记、引进、繁育、推广工作；协助组织开展地方特色养殖品种的保护和开发利用。</w:t>
      </w:r>
    </w:p>
    <w:p>
      <w:pPr>
        <w:ind w:firstLine="640" w:firstLineChars="200"/>
        <w:rPr>
          <w:rFonts w:hint="eastAsia" w:ascii="仿宋_GB2312" w:eastAsia="仿宋_GB2312"/>
          <w:sz w:val="32"/>
          <w:szCs w:val="32"/>
        </w:rPr>
      </w:pPr>
      <w:r>
        <w:rPr>
          <w:rFonts w:hint="eastAsia" w:ascii="仿宋_GB2312" w:eastAsia="仿宋_GB2312"/>
          <w:sz w:val="32"/>
          <w:szCs w:val="32"/>
        </w:rPr>
        <w:t>(七）承担畜禽屠宰行业发展相关技术性、事务性工作。</w:t>
      </w:r>
    </w:p>
    <w:p>
      <w:pPr>
        <w:ind w:firstLine="640" w:firstLineChars="200"/>
        <w:rPr>
          <w:rFonts w:hint="eastAsia" w:ascii="仿宋_GB2312" w:eastAsia="仿宋_GB2312"/>
          <w:sz w:val="32"/>
          <w:szCs w:val="32"/>
        </w:rPr>
      </w:pPr>
      <w:r>
        <w:rPr>
          <w:rFonts w:hint="eastAsia" w:ascii="仿宋_GB2312" w:eastAsia="仿宋_GB2312"/>
          <w:sz w:val="32"/>
          <w:szCs w:val="32"/>
        </w:rPr>
        <w:t>(八）对乡镇、街道畜牧水产事务进行业务指导。</w:t>
      </w:r>
    </w:p>
    <w:p>
      <w:pPr>
        <w:ind w:firstLine="640" w:firstLineChars="200"/>
        <w:rPr>
          <w:rFonts w:hint="default"/>
          <w:lang w:val="en-US" w:eastAsia="zh-CN"/>
        </w:rPr>
      </w:pPr>
      <w:r>
        <w:rPr>
          <w:rFonts w:hint="eastAsia" w:ascii="仿宋_GB2312" w:eastAsia="仿宋_GB2312"/>
          <w:sz w:val="32"/>
          <w:szCs w:val="32"/>
        </w:rPr>
        <w:t>（九）承担县农业农村局交办的其他工作。</w:t>
      </w:r>
    </w:p>
    <w:p>
      <w:pPr>
        <w:ind w:firstLine="640" w:firstLineChars="200"/>
        <w:rPr>
          <w:rFonts w:hint="eastAsia" w:ascii="仿宋_GB2312" w:eastAsia="仿宋_GB2312"/>
          <w:sz w:val="32"/>
          <w:szCs w:val="32"/>
          <w:lang w:val="en-US" w:eastAsia="zh-CN"/>
        </w:rPr>
      </w:pPr>
    </w:p>
    <w:p>
      <w:pPr>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（二）单位年度整体支出绩效目标</w:t>
      </w:r>
    </w:p>
    <w:p>
      <w:pPr>
        <w:ind w:firstLine="640" w:firstLineChars="200"/>
        <w:rPr>
          <w:rFonts w:hint="default" w:ascii="仿宋_GB2312" w:eastAsia="仿宋_GB2312"/>
          <w:sz w:val="32"/>
          <w:szCs w:val="32"/>
          <w:lang w:val="en-US" w:eastAsia="zh-CN"/>
        </w:rPr>
      </w:pPr>
      <w:r>
        <w:rPr>
          <w:rFonts w:hint="default" w:ascii="仿宋_GB2312" w:eastAsia="仿宋_GB2312"/>
          <w:sz w:val="32"/>
          <w:szCs w:val="32"/>
          <w:lang w:val="en-US" w:eastAsia="zh-CN"/>
        </w:rPr>
        <w:t>1、抓好重大动物疫病防控。2、抓好生猪生产恢复。3、抓好质量安全监管。4、全力推进动物防疫、畜产品安全、渔业发展和科技服务等主要业务工作，实现养殖业健康稳步发展。</w:t>
      </w:r>
    </w:p>
    <w:p>
      <w:pPr>
        <w:ind w:firstLine="640" w:firstLineChars="200"/>
        <w:rPr>
          <w:rFonts w:hint="default" w:ascii="仿宋_GB2312" w:eastAsia="仿宋_GB2312"/>
          <w:b/>
          <w:bCs/>
          <w:sz w:val="32"/>
          <w:szCs w:val="32"/>
          <w:lang w:val="en-US" w:eastAsia="zh-CN"/>
        </w:rPr>
      </w:pPr>
      <w:r>
        <w:rPr>
          <w:rFonts w:hint="default" w:ascii="仿宋_GB2312" w:eastAsia="仿宋_GB2312"/>
          <w:b/>
          <w:bCs/>
          <w:sz w:val="32"/>
          <w:szCs w:val="32"/>
          <w:lang w:val="en-US" w:eastAsia="zh-CN"/>
        </w:rPr>
        <w:t xml:space="preserve"> 二、一般公共预算支出情况</w:t>
      </w:r>
    </w:p>
    <w:p>
      <w:pPr>
        <w:ind w:firstLine="640" w:firstLineChars="200"/>
        <w:rPr>
          <w:rFonts w:hint="default" w:ascii="仿宋_GB2312" w:eastAsia="仿宋_GB2312"/>
          <w:sz w:val="32"/>
          <w:szCs w:val="32"/>
          <w:lang w:val="en-US" w:eastAsia="zh-CN"/>
        </w:rPr>
      </w:pPr>
      <w:r>
        <w:rPr>
          <w:rFonts w:hint="default" w:ascii="仿宋_GB2312" w:eastAsia="仿宋_GB2312"/>
          <w:sz w:val="32"/>
          <w:szCs w:val="32"/>
          <w:lang w:val="en-US" w:eastAsia="zh-CN"/>
        </w:rPr>
        <w:t>（一）基本支出情况</w:t>
      </w:r>
    </w:p>
    <w:p>
      <w:pPr>
        <w:widowControl/>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2025年畜牧水产事务中心基本支出692.78万元</w:t>
      </w:r>
    </w:p>
    <w:p>
      <w:pPr>
        <w:widowControl/>
        <w:numPr>
          <w:ilvl w:val="0"/>
          <w:numId w:val="5"/>
        </w:num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基本工资支出：基本工资293.83万元、津贴补贴101.19万元、奖金133.03万元、基本养老保险金67.18万元、基本医疗保险35.36万元、其他社会保障缴费4.64万元、住房公积金20.30万元。</w:t>
      </w:r>
    </w:p>
    <w:p>
      <w:pPr>
        <w:widowControl/>
        <w:numPr>
          <w:ilvl w:val="0"/>
          <w:numId w:val="5"/>
        </w:numPr>
        <w:spacing w:line="600" w:lineRule="exact"/>
        <w:ind w:left="0" w:leftChars="0"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机关运行经费支出：办公费0.93万元、工会经费1.07万元、福利费0.32万元、公务用车运行维护费2.82万元、其他交通费13.22万元。</w:t>
      </w:r>
    </w:p>
    <w:p>
      <w:pPr>
        <w:pStyle w:val="2"/>
        <w:numPr>
          <w:ilvl w:val="0"/>
          <w:numId w:val="5"/>
        </w:numPr>
        <w:ind w:left="0" w:leftChars="0"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对个人和家庭的补助支出：抚恤金3.62万元、退休费14.03万元、其他对个人和家庭的补助支出1.25万元。</w:t>
      </w:r>
    </w:p>
    <w:p>
      <w:pPr>
        <w:widowControl/>
        <w:spacing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4、2025年度一般公共预算财政拨款“三公”经费4万元，其中：公务接待为：0万元，公务用车运行费：2.82万元。比较上年决算数减少4.42万元，</w:t>
      </w:r>
      <w:r>
        <w:rPr>
          <w:rFonts w:hint="eastAsia" w:ascii="仿宋_GB2312" w:eastAsia="仿宋_GB2312"/>
          <w:sz w:val="32"/>
          <w:szCs w:val="32"/>
        </w:rPr>
        <w:t>这是</w:t>
      </w:r>
      <w:r>
        <w:rPr>
          <w:rFonts w:hint="eastAsia" w:ascii="Times New Roman" w:hAnsi="Times New Roman" w:eastAsia="仿宋_GB2312" w:cs="Times New Roman"/>
          <w:color w:val="auto"/>
          <w:sz w:val="32"/>
          <w:szCs w:val="32"/>
          <w:u w:val="none"/>
          <w:lang w:val="en-US" w:eastAsia="zh-CN"/>
        </w:rPr>
        <w:t>实施公务用车制度，加强公务用车管理，</w:t>
      </w:r>
      <w:r>
        <w:rPr>
          <w:rFonts w:hint="eastAsia" w:eastAsia="仿宋_GB2312" w:cs="Times New Roman"/>
          <w:color w:val="auto"/>
          <w:sz w:val="32"/>
          <w:szCs w:val="32"/>
          <w:u w:val="none"/>
          <w:lang w:val="en-US" w:eastAsia="zh-CN"/>
        </w:rPr>
        <w:t>实施零招待</w:t>
      </w:r>
      <w:r>
        <w:rPr>
          <w:rFonts w:hint="eastAsia" w:ascii="Times New Roman" w:hAnsi="Times New Roman" w:eastAsia="仿宋_GB2312" w:cs="Times New Roman"/>
          <w:color w:val="auto"/>
          <w:sz w:val="32"/>
          <w:szCs w:val="32"/>
          <w:u w:val="none"/>
          <w:lang w:val="en-US" w:eastAsia="zh-CN"/>
        </w:rPr>
        <w:t>等，使得“三公”经费各单项支出均明显下降</w:t>
      </w:r>
      <w:r>
        <w:rPr>
          <w:rFonts w:hint="eastAsia" w:ascii="仿宋_GB2312" w:eastAsia="仿宋_GB2312"/>
          <w:sz w:val="32"/>
          <w:szCs w:val="32"/>
        </w:rPr>
        <w:t>。</w:t>
      </w:r>
    </w:p>
    <w:p>
      <w:pPr>
        <w:widowControl/>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公务用车购置数0台，车辆保有量</w:t>
      </w:r>
      <w:r>
        <w:rPr>
          <w:rFonts w:hint="eastAsia" w:ascii="仿宋_GB2312" w:eastAsia="仿宋_GB2312"/>
          <w:sz w:val="32"/>
          <w:szCs w:val="32"/>
          <w:lang w:val="en-US" w:eastAsia="zh-CN"/>
        </w:rPr>
        <w:t>1</w:t>
      </w:r>
      <w:r>
        <w:rPr>
          <w:rFonts w:hint="eastAsia" w:ascii="仿宋_GB2312" w:eastAsia="仿宋_GB2312"/>
          <w:sz w:val="32"/>
          <w:szCs w:val="32"/>
        </w:rPr>
        <w:t>台，国内公务接待</w:t>
      </w:r>
      <w:r>
        <w:rPr>
          <w:rFonts w:hint="eastAsia" w:ascii="仿宋_GB2312" w:eastAsia="仿宋_GB2312"/>
          <w:sz w:val="32"/>
          <w:szCs w:val="32"/>
          <w:lang w:val="en-US" w:eastAsia="zh-CN"/>
        </w:rPr>
        <w:t>0</w:t>
      </w:r>
      <w:r>
        <w:rPr>
          <w:rFonts w:hint="eastAsia" w:ascii="仿宋_GB2312" w:eastAsia="仿宋_GB2312"/>
          <w:sz w:val="32"/>
          <w:szCs w:val="32"/>
        </w:rPr>
        <w:t>批次，接待人数</w:t>
      </w:r>
      <w:r>
        <w:rPr>
          <w:rFonts w:hint="eastAsia" w:ascii="仿宋_GB2312" w:eastAsia="仿宋_GB2312"/>
          <w:sz w:val="32"/>
          <w:szCs w:val="32"/>
          <w:lang w:val="en-US" w:eastAsia="zh-CN"/>
        </w:rPr>
        <w:t>0</w:t>
      </w:r>
      <w:r>
        <w:rPr>
          <w:rFonts w:hint="eastAsia" w:ascii="仿宋_GB2312" w:eastAsia="仿宋_GB2312"/>
          <w:sz w:val="32"/>
          <w:szCs w:val="32"/>
        </w:rPr>
        <w:t>人次。比上年</w:t>
      </w:r>
      <w:r>
        <w:rPr>
          <w:rFonts w:hint="eastAsia" w:ascii="仿宋_GB2312" w:eastAsia="仿宋_GB2312"/>
          <w:sz w:val="32"/>
          <w:szCs w:val="32"/>
          <w:lang w:val="en-US" w:eastAsia="zh-CN"/>
        </w:rPr>
        <w:t>减少4.42万元，</w:t>
      </w:r>
      <w:r>
        <w:rPr>
          <w:rFonts w:hint="eastAsia" w:ascii="仿宋_GB2312" w:eastAsia="仿宋_GB2312"/>
          <w:sz w:val="32"/>
          <w:szCs w:val="32"/>
        </w:rPr>
        <w:t>这是</w:t>
      </w:r>
      <w:r>
        <w:rPr>
          <w:rFonts w:hint="eastAsia" w:ascii="Times New Roman" w:hAnsi="Times New Roman" w:eastAsia="仿宋_GB2312" w:cs="Times New Roman"/>
          <w:color w:val="auto"/>
          <w:sz w:val="32"/>
          <w:szCs w:val="32"/>
          <w:u w:val="none"/>
          <w:lang w:val="en-US" w:eastAsia="zh-CN"/>
        </w:rPr>
        <w:t>实施公务用车制度，加强公务用车管理，</w:t>
      </w:r>
      <w:r>
        <w:rPr>
          <w:rFonts w:hint="eastAsia" w:eastAsia="仿宋_GB2312" w:cs="Times New Roman"/>
          <w:color w:val="auto"/>
          <w:sz w:val="32"/>
          <w:szCs w:val="32"/>
          <w:u w:val="none"/>
          <w:lang w:val="en-US" w:eastAsia="zh-CN"/>
        </w:rPr>
        <w:t>实施零招待</w:t>
      </w:r>
      <w:r>
        <w:rPr>
          <w:rFonts w:hint="eastAsia" w:ascii="Times New Roman" w:hAnsi="Times New Roman" w:eastAsia="仿宋_GB2312" w:cs="Times New Roman"/>
          <w:color w:val="auto"/>
          <w:sz w:val="32"/>
          <w:szCs w:val="32"/>
          <w:u w:val="none"/>
          <w:lang w:val="en-US" w:eastAsia="zh-CN"/>
        </w:rPr>
        <w:t>等，使得“三公”经费各单项支出均明显下降</w:t>
      </w:r>
      <w:r>
        <w:rPr>
          <w:rFonts w:hint="eastAsia" w:ascii="仿宋_GB2312" w:eastAsia="仿宋_GB2312"/>
          <w:sz w:val="32"/>
          <w:szCs w:val="32"/>
        </w:rPr>
        <w:t>。</w:t>
      </w:r>
    </w:p>
    <w:p>
      <w:pPr>
        <w:pStyle w:val="2"/>
        <w:numPr>
          <w:ilvl w:val="0"/>
          <w:numId w:val="4"/>
        </w:numPr>
        <w:ind w:left="0" w:leftChars="0" w:firstLine="0" w:firstLineChars="0"/>
        <w:rPr>
          <w:rFonts w:hint="default" w:ascii="仿宋_GB2312" w:hAnsi="Times New Roman" w:eastAsia="仿宋_GB2312" w:cs="Times New Roman"/>
          <w:kern w:val="2"/>
          <w:sz w:val="32"/>
          <w:szCs w:val="32"/>
          <w:lang w:val="en-US" w:eastAsia="zh-CN" w:bidi="ar-SA"/>
        </w:rPr>
      </w:pPr>
      <w:r>
        <w:rPr>
          <w:rFonts w:hint="default" w:ascii="仿宋_GB2312" w:hAnsi="Times New Roman" w:eastAsia="仿宋_GB2312" w:cs="Times New Roman"/>
          <w:kern w:val="2"/>
          <w:sz w:val="32"/>
          <w:szCs w:val="32"/>
          <w:lang w:val="en-US" w:eastAsia="zh-CN" w:bidi="ar-SA"/>
        </w:rPr>
        <w:t>项目支出情况</w:t>
      </w:r>
    </w:p>
    <w:p>
      <w:pPr>
        <w:pStyle w:val="2"/>
        <w:numPr>
          <w:ilvl w:val="0"/>
          <w:numId w:val="6"/>
        </w:numPr>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项目支出</w:t>
      </w:r>
      <w:r>
        <w:rPr>
          <w:rFonts w:hint="eastAsia" w:ascii="仿宋_GB2312" w:eastAsia="仿宋_GB2312" w:cs="Times New Roman"/>
          <w:sz w:val="32"/>
          <w:szCs w:val="32"/>
          <w:lang w:val="en-US" w:eastAsia="zh-CN"/>
        </w:rPr>
        <w:t>2105.62</w:t>
      </w:r>
      <w:r>
        <w:rPr>
          <w:rFonts w:hint="eastAsia" w:ascii="仿宋_GB2312" w:hAnsi="Times New Roman" w:eastAsia="仿宋_GB2312" w:cs="Times New Roman"/>
          <w:sz w:val="32"/>
          <w:szCs w:val="32"/>
          <w:lang w:val="en-US" w:eastAsia="zh-CN"/>
        </w:rPr>
        <w:t>万元。</w:t>
      </w:r>
    </w:p>
    <w:p>
      <w:pPr>
        <w:widowControl/>
        <w:spacing w:line="600" w:lineRule="exact"/>
        <w:ind w:firstLine="640" w:firstLineChars="200"/>
        <w:rPr>
          <w:rFonts w:hint="eastAsia" w:eastAsia="仿宋_GB2312" w:cs="Times New Roman"/>
          <w:color w:val="auto"/>
          <w:sz w:val="32"/>
          <w:szCs w:val="32"/>
          <w:u w:val="none"/>
          <w:lang w:val="en-US" w:eastAsia="zh-CN"/>
        </w:rPr>
      </w:pPr>
      <w:r>
        <w:rPr>
          <w:rFonts w:hint="eastAsia" w:eastAsia="仿宋_GB2312" w:cs="Times New Roman"/>
          <w:color w:val="auto"/>
          <w:sz w:val="32"/>
          <w:szCs w:val="32"/>
          <w:u w:val="none"/>
          <w:lang w:val="en-US" w:eastAsia="zh-CN"/>
        </w:rPr>
        <w:t>科技转化与推广服务36.75万元、病虫害控制269.78万元、农业生产发展598.69万元、农业生态资源保护19.46万元、渔业发展9.73万元、其他商业流通事务支出184.21万元、其他支出987万元。</w:t>
      </w:r>
    </w:p>
    <w:p>
      <w:pPr>
        <w:pStyle w:val="2"/>
        <w:numPr>
          <w:ilvl w:val="0"/>
          <w:numId w:val="0"/>
        </w:numPr>
        <w:ind w:leftChars="0"/>
        <w:rPr>
          <w:rFonts w:hint="default"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三、</w:t>
      </w:r>
      <w:r>
        <w:rPr>
          <w:rFonts w:hint="default" w:ascii="Times New Roman" w:hAnsi="Times New Roman" w:eastAsia="仿宋_GB2312" w:cs="Times New Roman"/>
          <w:b/>
          <w:bCs/>
          <w:color w:val="auto"/>
          <w:kern w:val="2"/>
          <w:sz w:val="32"/>
          <w:szCs w:val="32"/>
          <w:lang w:val="en-US" w:eastAsia="zh-CN" w:bidi="ar-SA"/>
        </w:rPr>
        <w:t>政府性基金预算支出情况</w:t>
      </w:r>
    </w:p>
    <w:p>
      <w:pPr>
        <w:numPr>
          <w:ilvl w:val="0"/>
          <w:numId w:val="0"/>
        </w:numPr>
        <w:ind w:leftChars="0" w:firstLine="640" w:firstLineChars="200"/>
        <w:rPr>
          <w:rFonts w:hint="eastAsia"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 xml:space="preserve"> </w:t>
      </w:r>
      <w:r>
        <w:rPr>
          <w:rFonts w:hint="eastAsia" w:ascii="Times New Roman" w:hAnsi="Times New Roman" w:eastAsia="仿宋_GB2312" w:cs="Times New Roman"/>
          <w:b w:val="0"/>
          <w:bCs w:val="0"/>
          <w:color w:val="auto"/>
          <w:kern w:val="2"/>
          <w:sz w:val="32"/>
          <w:szCs w:val="32"/>
          <w:lang w:val="en-US" w:eastAsia="zh-CN" w:bidi="ar-SA"/>
        </w:rPr>
        <w:t>202</w:t>
      </w:r>
      <w:r>
        <w:rPr>
          <w:rFonts w:hint="eastAsia" w:eastAsia="仿宋_GB2312" w:cs="Times New Roman"/>
          <w:b w:val="0"/>
          <w:bCs w:val="0"/>
          <w:color w:val="auto"/>
          <w:kern w:val="2"/>
          <w:sz w:val="32"/>
          <w:szCs w:val="32"/>
          <w:lang w:val="en-US" w:eastAsia="zh-CN" w:bidi="ar-SA"/>
        </w:rPr>
        <w:t>5</w:t>
      </w:r>
      <w:r>
        <w:rPr>
          <w:rFonts w:hint="eastAsia" w:ascii="Times New Roman" w:hAnsi="Times New Roman" w:eastAsia="仿宋_GB2312" w:cs="Times New Roman"/>
          <w:b w:val="0"/>
          <w:bCs w:val="0"/>
          <w:color w:val="auto"/>
          <w:kern w:val="2"/>
          <w:sz w:val="32"/>
          <w:szCs w:val="32"/>
          <w:lang w:val="en-US" w:eastAsia="zh-CN" w:bidi="ar-SA"/>
        </w:rPr>
        <w:t>年</w:t>
      </w:r>
      <w:r>
        <w:rPr>
          <w:rFonts w:hint="default" w:ascii="Times New Roman" w:hAnsi="Times New Roman" w:eastAsia="仿宋_GB2312" w:cs="Times New Roman"/>
          <w:b w:val="0"/>
          <w:bCs w:val="0"/>
          <w:color w:val="auto"/>
          <w:kern w:val="2"/>
          <w:sz w:val="32"/>
          <w:szCs w:val="32"/>
          <w:lang w:val="en-US" w:eastAsia="zh-CN" w:bidi="ar-SA"/>
        </w:rPr>
        <w:t>其他</w:t>
      </w:r>
      <w:r>
        <w:rPr>
          <w:rFonts w:hint="eastAsia" w:eastAsia="仿宋_GB2312" w:cs="Times New Roman"/>
          <w:b w:val="0"/>
          <w:bCs w:val="0"/>
          <w:color w:val="auto"/>
          <w:kern w:val="2"/>
          <w:sz w:val="32"/>
          <w:szCs w:val="32"/>
          <w:lang w:val="en-US" w:eastAsia="zh-CN" w:bidi="ar-SA"/>
        </w:rPr>
        <w:t>地方自行试点项目收益专项债券</w:t>
      </w:r>
      <w:r>
        <w:rPr>
          <w:rFonts w:hint="default" w:ascii="Times New Roman" w:hAnsi="Times New Roman" w:eastAsia="仿宋_GB2312" w:cs="Times New Roman"/>
          <w:b w:val="0"/>
          <w:bCs w:val="0"/>
          <w:color w:val="auto"/>
          <w:kern w:val="2"/>
          <w:sz w:val="32"/>
          <w:szCs w:val="32"/>
          <w:lang w:val="en-US" w:eastAsia="zh-CN" w:bidi="ar-SA"/>
        </w:rPr>
        <w:t>收入安排的支出</w:t>
      </w:r>
      <w:r>
        <w:rPr>
          <w:rFonts w:hint="eastAsia" w:eastAsia="仿宋_GB2312" w:cs="Times New Roman"/>
          <w:b w:val="0"/>
          <w:bCs w:val="0"/>
          <w:color w:val="auto"/>
          <w:kern w:val="2"/>
          <w:sz w:val="32"/>
          <w:szCs w:val="32"/>
          <w:lang w:val="en-US" w:eastAsia="zh-CN" w:bidi="ar-SA"/>
        </w:rPr>
        <w:t>987</w:t>
      </w:r>
      <w:r>
        <w:rPr>
          <w:rFonts w:hint="eastAsia" w:ascii="Times New Roman" w:hAnsi="Times New Roman" w:eastAsia="仿宋_GB2312" w:cs="Times New Roman"/>
          <w:b w:val="0"/>
          <w:bCs w:val="0"/>
          <w:color w:val="auto"/>
          <w:kern w:val="2"/>
          <w:sz w:val="32"/>
          <w:szCs w:val="32"/>
          <w:lang w:val="en-US" w:eastAsia="zh-CN" w:bidi="ar-SA"/>
        </w:rPr>
        <w:t>万元。</w:t>
      </w:r>
    </w:p>
    <w:p>
      <w:pPr>
        <w:pStyle w:val="2"/>
        <w:numPr>
          <w:ilvl w:val="0"/>
          <w:numId w:val="7"/>
        </w:numPr>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国有资本经营预算支出情况</w:t>
      </w:r>
    </w:p>
    <w:p>
      <w:pPr>
        <w:pStyle w:val="13"/>
        <w:spacing w:line="600" w:lineRule="exact"/>
        <w:rPr>
          <w:rFonts w:hint="default"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2025</w:t>
      </w:r>
      <w:r>
        <w:rPr>
          <w:rFonts w:hint="default" w:ascii="Times New Roman" w:hAnsi="Times New Roman" w:eastAsia="仿宋_GB2312" w:cs="Times New Roman"/>
          <w:b w:val="0"/>
          <w:bCs w:val="0"/>
          <w:color w:val="auto"/>
          <w:kern w:val="2"/>
          <w:sz w:val="32"/>
          <w:szCs w:val="32"/>
          <w:lang w:val="en-US" w:eastAsia="zh-CN" w:bidi="ar-SA"/>
        </w:rPr>
        <w:t>年度本单位无国有资本经营收支</w:t>
      </w:r>
    </w:p>
    <w:p>
      <w:pPr>
        <w:pStyle w:val="2"/>
        <w:numPr>
          <w:ilvl w:val="0"/>
          <w:numId w:val="7"/>
        </w:numPr>
        <w:ind w:left="0" w:leftChars="0" w:firstLine="0" w:firstLineChars="0"/>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社会保险基金预算支出情况</w:t>
      </w:r>
    </w:p>
    <w:p>
      <w:pPr>
        <w:pStyle w:val="14"/>
        <w:widowControl/>
        <w:numPr>
          <w:ilvl w:val="0"/>
          <w:numId w:val="0"/>
        </w:numPr>
        <w:spacing w:line="600" w:lineRule="exact"/>
        <w:jc w:val="left"/>
        <w:rPr>
          <w:rFonts w:hint="eastAsia"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2</w:t>
      </w:r>
      <w:r>
        <w:rPr>
          <w:rFonts w:hint="eastAsia" w:ascii="Times New Roman" w:hAnsi="Times New Roman" w:eastAsia="仿宋_GB2312" w:cs="Times New Roman"/>
          <w:b w:val="0"/>
          <w:bCs w:val="0"/>
          <w:color w:val="auto"/>
          <w:kern w:val="2"/>
          <w:sz w:val="32"/>
          <w:szCs w:val="32"/>
          <w:lang w:val="en-US" w:eastAsia="zh-CN" w:bidi="ar-SA"/>
        </w:rPr>
        <w:t>025无社会保险基金预算支出</w:t>
      </w:r>
    </w:p>
    <w:p>
      <w:pPr>
        <w:pStyle w:val="14"/>
        <w:widowControl/>
        <w:numPr>
          <w:ilvl w:val="0"/>
          <w:numId w:val="7"/>
        </w:numPr>
        <w:spacing w:line="600" w:lineRule="exact"/>
        <w:ind w:left="0" w:leftChars="0" w:firstLine="0" w:firstLineChars="0"/>
        <w:jc w:val="left"/>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部门整体支出绩效情况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CESI仿宋-GB2312" w:eastAsia="仿宋_GB2312" w:cs="CESI仿宋-GB2312"/>
          <w:color w:val="auto"/>
          <w:sz w:val="32"/>
          <w:szCs w:val="32"/>
          <w:lang w:val="en-US" w:eastAsia="zh-CN"/>
        </w:rPr>
      </w:pPr>
      <w:r>
        <w:rPr>
          <w:rFonts w:hint="eastAsia" w:ascii="仿宋_GB2312" w:hAnsi="CESI仿宋-GB2312" w:eastAsia="仿宋_GB2312" w:cs="CESI仿宋-GB2312"/>
          <w:color w:val="auto"/>
          <w:sz w:val="32"/>
          <w:szCs w:val="32"/>
          <w:lang w:val="en-US" w:eastAsia="zh-CN"/>
        </w:rPr>
        <w:t>全县生猪出栏72.8万头、肉牛出栏8万头、山羊出栏18.6万只、家禽出笼617万羽、禽蛋产量1.2万吨、水产品起水量3.1万吨，预计可分别完成市定任务的93.33%、98.77%、100%、100%、100%、100%。县内畜禽水产品供给稳定充足，无畜禽水产品质量安全事件，重大动物疫情持续保持平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s="Times New Roman" w:hAnsiTheme="minorHAnsi"/>
          <w:b w:val="0"/>
          <w:bCs/>
          <w:color w:val="auto"/>
          <w:sz w:val="32"/>
          <w:szCs w:val="32"/>
          <w:highlight w:val="none"/>
          <w:lang w:val="en-US" w:eastAsia="zh-CN"/>
        </w:rPr>
      </w:pPr>
      <w:r>
        <w:rPr>
          <w:rFonts w:hint="eastAsia" w:ascii="楷体" w:hAnsi="楷体" w:eastAsia="楷体"/>
          <w:b/>
          <w:color w:val="auto"/>
          <w:sz w:val="32"/>
          <w:szCs w:val="32"/>
        </w:rPr>
        <w:t>（一）生猪产业产能稳定。</w:t>
      </w:r>
      <w:r>
        <w:rPr>
          <w:rFonts w:hint="eastAsia" w:ascii="仿宋_GB2312" w:hAnsi="CESI仿宋-GB2312" w:eastAsia="仿宋_GB2312" w:cs="CESI仿宋-GB2312"/>
          <w:color w:val="auto"/>
          <w:sz w:val="32"/>
          <w:szCs w:val="32"/>
          <w:lang w:val="en-US" w:eastAsia="zh-CN"/>
        </w:rPr>
        <w:t>由于生猪价低持续低迷，散养户亏损严重，退养加剧。道县通过统筹实施生猪调出大县奖励资金项目、生猪良种补贴项目等项目及县级专项资金，深入实施优质湘猪产业集群发展，打造涵盖生产、加工、流通、科技、服务等一体的生猪产业集群，推动生猪产业高质量发展。预计12月底，全县能繁母猪存栏5.11万头，规模猪场189家（年出栏生猪万头以上的21家）。今年新建投产规模猪场7家，设计产能超过5万头；在建规模猪场6家，设计产能超过4万头，预计2026年初建成投产；正在选址或办理审批手续的养殖场9家，设计产能7万头。规模养殖比重进一步提升，散养户退出导致的产能得到有效填补，生猪养殖相对稳定。</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CESI仿宋-GB2312" w:eastAsia="仿宋_GB2312" w:cs="CESI仿宋-GB2312"/>
          <w:color w:val="auto"/>
          <w:sz w:val="32"/>
          <w:szCs w:val="32"/>
          <w:lang w:val="en-US" w:eastAsia="zh-CN"/>
        </w:rPr>
      </w:pPr>
      <w:r>
        <w:rPr>
          <w:rFonts w:hint="eastAsia" w:ascii="楷体" w:hAnsi="楷体" w:eastAsia="楷体"/>
          <w:b/>
          <w:color w:val="auto"/>
          <w:sz w:val="32"/>
          <w:szCs w:val="32"/>
        </w:rPr>
        <w:t>（</w:t>
      </w:r>
      <w:r>
        <w:rPr>
          <w:rFonts w:hint="eastAsia" w:ascii="楷体" w:hAnsi="楷体" w:eastAsia="楷体"/>
          <w:b/>
          <w:color w:val="auto"/>
          <w:sz w:val="32"/>
          <w:szCs w:val="32"/>
          <w:lang w:eastAsia="zh-CN"/>
        </w:rPr>
        <w:t>二</w:t>
      </w:r>
      <w:r>
        <w:rPr>
          <w:rFonts w:hint="eastAsia" w:ascii="楷体" w:hAnsi="楷体" w:eastAsia="楷体"/>
          <w:b/>
          <w:color w:val="auto"/>
          <w:sz w:val="32"/>
          <w:szCs w:val="32"/>
        </w:rPr>
        <w:t>）牛羊产业发展稳健。</w:t>
      </w:r>
      <w:r>
        <w:rPr>
          <w:rFonts w:hint="eastAsia" w:ascii="仿宋_GB2312" w:hAnsi="CESI仿宋-GB2312" w:eastAsia="仿宋_GB2312" w:cs="CESI仿宋-GB2312"/>
          <w:color w:val="auto"/>
          <w:sz w:val="32"/>
          <w:szCs w:val="32"/>
          <w:lang w:val="en-US" w:eastAsia="zh-CN"/>
        </w:rPr>
        <w:t>道县通过项目实施带动、开展养殖模式推广、建立草畜协同机制、拓展技术支撑途径、加大政策保障等，助力牛羊产业降本提质增效。预计2025年，全县出栏肉牛8万头、出栏山羊18.6万只。全县有肉牛养殖（场）户3100余家，存栏10头基础母牛以上的养殖（场）户400余家，年出栏50头以上的规模养殖场110家，2025年新（扩）建规模牛场16家，目前正在建设的规模养牛场8家，正在选址办理手续的规模养牛场3家，预计2026年上半年全县新增规模养牛场35家以上。山羊养殖场（户）超过600家，其中年出栏山羊200只以上的规模场120家。2025年新建规模山羊养殖场1家，目前正在建设的规模羊场5家，正在选址办理手续的规模羊场2家，计划发展山羊规模养殖场的农户有5家。</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eastAsia="仿宋_GB2312"/>
          <w:color w:val="auto"/>
          <w:sz w:val="32"/>
          <w:szCs w:val="32"/>
          <w:highlight w:val="none"/>
          <w:lang w:val="en-US" w:eastAsia="zh-CN"/>
        </w:rPr>
      </w:pPr>
      <w:r>
        <w:rPr>
          <w:rFonts w:hint="eastAsia" w:ascii="楷体" w:hAnsi="楷体" w:eastAsia="楷体"/>
          <w:b/>
          <w:color w:val="auto"/>
          <w:sz w:val="32"/>
          <w:szCs w:val="32"/>
        </w:rPr>
        <w:t>（</w:t>
      </w:r>
      <w:r>
        <w:rPr>
          <w:rFonts w:hint="eastAsia" w:ascii="楷体" w:hAnsi="楷体" w:eastAsia="楷体"/>
          <w:b/>
          <w:color w:val="auto"/>
          <w:sz w:val="32"/>
          <w:szCs w:val="32"/>
          <w:lang w:eastAsia="zh-CN"/>
        </w:rPr>
        <w:t>三</w:t>
      </w:r>
      <w:r>
        <w:rPr>
          <w:rFonts w:hint="eastAsia" w:ascii="楷体" w:hAnsi="楷体" w:eastAsia="楷体"/>
          <w:b/>
          <w:color w:val="auto"/>
          <w:sz w:val="32"/>
          <w:szCs w:val="32"/>
        </w:rPr>
        <w:t>）灰鹅品种逐年振兴。</w:t>
      </w:r>
      <w:r>
        <w:rPr>
          <w:rFonts w:hint="eastAsia" w:ascii="仿宋_GB2312" w:hAnsi="CESI仿宋-GB2312" w:eastAsia="仿宋_GB2312" w:cs="CESI仿宋-GB2312"/>
          <w:color w:val="auto"/>
          <w:sz w:val="32"/>
          <w:szCs w:val="32"/>
          <w:lang w:val="en-US" w:eastAsia="zh-CN"/>
        </w:rPr>
        <w:t>道州灰鹅是国家畜禽遗传资源品种，为永州市三个品种之一（东安鸡、九嶷山兔、道州灰鹅）。</w:t>
      </w:r>
      <w:r>
        <w:rPr>
          <w:rFonts w:hint="eastAsia" w:ascii="仿宋_GB2312" w:hAnsi="CESI仿宋-GB2312" w:eastAsia="仿宋_GB2312" w:cs="CESI仿宋-GB2312"/>
          <w:b/>
          <w:bCs/>
          <w:color w:val="auto"/>
          <w:sz w:val="32"/>
          <w:szCs w:val="32"/>
          <w:lang w:val="en-US" w:eastAsia="zh-CN"/>
        </w:rPr>
        <w:t>一是</w:t>
      </w:r>
      <w:r>
        <w:rPr>
          <w:rFonts w:hint="eastAsia" w:ascii="仿宋_GB2312" w:hAnsi="CESI仿宋-GB2312" w:eastAsia="仿宋_GB2312" w:cs="CESI仿宋-GB2312"/>
          <w:color w:val="auto"/>
          <w:sz w:val="32"/>
          <w:szCs w:val="32"/>
          <w:lang w:val="en-US" w:eastAsia="zh-CN"/>
        </w:rPr>
        <w:t>道州灰鹅保种场产能得到提升。全县2个道州灰鹅保种场（湘瑃保种场和合丰保种场）在省农业厅戴仲求博士专家团队的指导下高标准提纯复状120组家系正常生产，预计2025年孵化鹅苗2.4万羽，除了供应己建成的上关街道东方村道州灰鹅扩繁场外，还向社会供应了一大批鹅苗。</w:t>
      </w:r>
      <w:r>
        <w:rPr>
          <w:rFonts w:hint="eastAsia" w:ascii="仿宋_GB2312" w:hAnsi="CESI仿宋-GB2312" w:eastAsia="仿宋_GB2312" w:cs="CESI仿宋-GB2312"/>
          <w:b/>
          <w:bCs/>
          <w:color w:val="auto"/>
          <w:sz w:val="32"/>
          <w:szCs w:val="32"/>
          <w:lang w:val="en-US" w:eastAsia="zh-CN"/>
        </w:rPr>
        <w:t>二是</w:t>
      </w:r>
      <w:r>
        <w:rPr>
          <w:rFonts w:hint="eastAsia" w:ascii="仿宋_GB2312" w:hAnsi="CESI仿宋-GB2312" w:eastAsia="仿宋_GB2312" w:cs="CESI仿宋-GB2312"/>
          <w:color w:val="auto"/>
          <w:sz w:val="32"/>
          <w:szCs w:val="32"/>
          <w:lang w:val="en-US" w:eastAsia="zh-CN"/>
        </w:rPr>
        <w:t>道州灰鹅扩繁场有新进展。除上关街道东方村扩繁场外，白芒铺镇下洞村、白芒铺镇杨家村2个扩繁场已进行了选址，年底准备开工建设。</w:t>
      </w:r>
      <w:r>
        <w:rPr>
          <w:rFonts w:hint="eastAsia" w:ascii="仿宋_GB2312" w:hAnsi="CESI仿宋-GB2312" w:eastAsia="仿宋_GB2312" w:cs="CESI仿宋-GB2312"/>
          <w:b/>
          <w:bCs/>
          <w:color w:val="auto"/>
          <w:sz w:val="32"/>
          <w:szCs w:val="32"/>
          <w:lang w:val="en-US" w:eastAsia="zh-CN"/>
        </w:rPr>
        <w:t>三是</w:t>
      </w:r>
      <w:r>
        <w:rPr>
          <w:rFonts w:hint="eastAsia" w:ascii="仿宋_GB2312" w:hAnsi="CESI仿宋-GB2312" w:eastAsia="仿宋_GB2312" w:cs="CESI仿宋-GB2312"/>
          <w:color w:val="auto"/>
          <w:sz w:val="32"/>
          <w:szCs w:val="32"/>
          <w:lang w:val="en-US" w:eastAsia="zh-CN"/>
        </w:rPr>
        <w:t>积极推进道州灰鹅养殖户与道州灰鹅屠宰加工产业企业合作，把道州灰鹅产品进行深加工，打造优质名片，营造生产、加工双赢局面，为道州灰鹅可持续发展打下基础。</w:t>
      </w:r>
    </w:p>
    <w:p>
      <w:pPr>
        <w:spacing w:line="600" w:lineRule="exact"/>
        <w:ind w:firstLine="640" w:firstLineChars="200"/>
        <w:jc w:val="left"/>
        <w:rPr>
          <w:rFonts w:hint="eastAsia" w:ascii="仿宋_GB2312" w:hAnsi="CESI仿宋-GB2312" w:eastAsia="仿宋_GB2312" w:cs="CESI仿宋-GB2312"/>
          <w:color w:val="auto"/>
          <w:sz w:val="32"/>
          <w:szCs w:val="32"/>
          <w:lang w:val="en-US" w:eastAsia="zh-CN"/>
        </w:rPr>
      </w:pP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eastAsia="zh-CN"/>
        </w:rPr>
        <w:t>四</w:t>
      </w: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渔业高质量发展。</w:t>
      </w:r>
      <w:r>
        <w:rPr>
          <w:rFonts w:hint="eastAsia" w:ascii="仿宋_GB2312" w:hAnsi="CESI仿宋-GB2312" w:eastAsia="仿宋_GB2312" w:cs="CESI仿宋-GB2312"/>
          <w:color w:val="auto"/>
          <w:sz w:val="32"/>
          <w:szCs w:val="32"/>
          <w:lang w:val="en-US" w:eastAsia="zh-CN"/>
        </w:rPr>
        <w:t>全县渔业高质量发展项目建设进度快、建设质量高，得到县、市领导的肯定。</w:t>
      </w:r>
      <w:r>
        <w:rPr>
          <w:rFonts w:hint="eastAsia" w:ascii="仿宋_GB2312" w:hAnsi="CESI仿宋-GB2312" w:eastAsia="仿宋_GB2312" w:cs="CESI仿宋-GB2312"/>
          <w:b/>
          <w:bCs/>
          <w:color w:val="auto"/>
          <w:sz w:val="32"/>
          <w:szCs w:val="32"/>
          <w:lang w:val="en-US" w:eastAsia="zh-CN"/>
        </w:rPr>
        <w:t>一是</w:t>
      </w:r>
      <w:r>
        <w:rPr>
          <w:rFonts w:hint="eastAsia" w:ascii="仿宋_GB2312" w:hAnsi="CESI仿宋-GB2312" w:eastAsia="仿宋_GB2312" w:cs="CESI仿宋-GB2312"/>
          <w:color w:val="auto"/>
          <w:sz w:val="32"/>
          <w:szCs w:val="32"/>
          <w:lang w:val="en-US" w:eastAsia="zh-CN"/>
        </w:rPr>
        <w:t>福丰农业发展有限公司的鳗鱼养殖基地建设，今年1月份开工，克服上半年雨季的不利条件，抢抓工期，已完成养殖池、蓄水池、办公楼等建设内容的主体工程、设施设备的安装调试，已于今年11月份投产；</w:t>
      </w:r>
      <w:r>
        <w:rPr>
          <w:rFonts w:hint="eastAsia" w:ascii="仿宋_GB2312" w:hAnsi="CESI仿宋-GB2312" w:eastAsia="仿宋_GB2312" w:cs="CESI仿宋-GB2312"/>
          <w:b/>
          <w:bCs/>
          <w:color w:val="auto"/>
          <w:sz w:val="32"/>
          <w:szCs w:val="32"/>
          <w:lang w:val="en-US" w:eastAsia="zh-CN"/>
        </w:rPr>
        <w:t>二是</w:t>
      </w:r>
      <w:r>
        <w:rPr>
          <w:rFonts w:hint="eastAsia" w:ascii="仿宋_GB2312" w:hAnsi="CESI仿宋-GB2312" w:eastAsia="仿宋_GB2312" w:cs="CESI仿宋-GB2312"/>
          <w:color w:val="auto"/>
          <w:sz w:val="32"/>
          <w:szCs w:val="32"/>
          <w:lang w:val="en-US" w:eastAsia="zh-CN"/>
        </w:rPr>
        <w:t>湖南曜宇农业发展有限公司建设的优质淡水鱼繁育示范基地，经与村民做了大量的工作后，完成了土地流转，正在进行样板池塘地开挖；2000万元的专项债建设项目已完成项目招标、确定了监理公司，下一步将与招标单位签订施工合同，预计12月底开工建设，项目建成后由湖南曜宇农业发展有限公司整体回购。预计2026年底完成项目建设；</w:t>
      </w:r>
      <w:r>
        <w:rPr>
          <w:rFonts w:hint="eastAsia" w:ascii="仿宋_GB2312" w:hAnsi="CESI仿宋-GB2312" w:eastAsia="仿宋_GB2312" w:cs="CESI仿宋-GB2312"/>
          <w:b/>
          <w:bCs/>
          <w:color w:val="auto"/>
          <w:sz w:val="32"/>
          <w:szCs w:val="32"/>
          <w:lang w:val="en-US" w:eastAsia="zh-CN"/>
        </w:rPr>
        <w:t>三是</w:t>
      </w:r>
      <w:r>
        <w:rPr>
          <w:rFonts w:hint="eastAsia" w:ascii="仿宋_GB2312" w:hAnsi="CESI仿宋-GB2312" w:eastAsia="仿宋_GB2312" w:cs="CESI仿宋-GB2312"/>
          <w:color w:val="auto"/>
          <w:sz w:val="32"/>
          <w:szCs w:val="32"/>
          <w:lang w:val="en-US" w:eastAsia="zh-CN"/>
        </w:rPr>
        <w:t>稻渔综合种养项目建设，寿雁镇芽洞村千亩稻-螺综合种养基地投放种螺20万斤，预计当年可产商品螺200余吨，在湖南曜宇农业科技有限公司的加持下，与柳州螺蛳粉、广东蚝客水产加工有限公司、雨田（广州）农业有限公司签订了销售协议，打通了销售关，可将稻-螺综合种养打造成我县可复制、可推广的渔业高质量发展模式，近年来，道县涌现了永州贝丰农业开发有限公司、湖南易弘农业发展有限公司等规模户从事稻-螺综合种养，稻-螺综合种养模式成为道县渔业高质量发展的新业态、农民增产增收的新路径。</w:t>
      </w:r>
    </w:p>
    <w:p>
      <w:pPr>
        <w:keepNext w:val="0"/>
        <w:keepLines w:val="0"/>
        <w:pageBreakBefore w:val="0"/>
        <w:kinsoku/>
        <w:wordWrap/>
        <w:overflowPunct/>
        <w:topLinePunct w:val="0"/>
        <w:autoSpaceDN/>
        <w:bidi w:val="0"/>
        <w:spacing w:line="560" w:lineRule="exact"/>
        <w:ind w:firstLine="640" w:firstLineChars="200"/>
        <w:textAlignment w:val="auto"/>
        <w:rPr>
          <w:rFonts w:hint="eastAsia" w:ascii="仿宋_GB2312" w:hAnsi="CESI仿宋-GB2312" w:eastAsia="仿宋_GB2312" w:cs="CESI仿宋-GB2312"/>
          <w:color w:val="auto"/>
          <w:sz w:val="32"/>
          <w:szCs w:val="32"/>
          <w:lang w:val="en-US" w:eastAsia="zh-CN"/>
        </w:rPr>
      </w:pPr>
      <w:r>
        <w:rPr>
          <w:rFonts w:hint="eastAsia" w:ascii="楷体" w:hAnsi="楷体" w:eastAsia="楷体"/>
          <w:b/>
          <w:color w:val="auto"/>
          <w:sz w:val="32"/>
          <w:szCs w:val="32"/>
        </w:rPr>
        <w:t>（</w:t>
      </w:r>
      <w:r>
        <w:rPr>
          <w:rFonts w:hint="eastAsia" w:ascii="楷体" w:hAnsi="楷体" w:eastAsia="楷体"/>
          <w:b/>
          <w:color w:val="auto"/>
          <w:sz w:val="32"/>
          <w:szCs w:val="32"/>
          <w:lang w:eastAsia="zh-CN"/>
        </w:rPr>
        <w:t>五</w:t>
      </w:r>
      <w:r>
        <w:rPr>
          <w:rFonts w:hint="eastAsia" w:ascii="楷体" w:hAnsi="楷体" w:eastAsia="楷体"/>
          <w:b/>
          <w:color w:val="auto"/>
          <w:sz w:val="32"/>
          <w:szCs w:val="32"/>
        </w:rPr>
        <w:t>）</w:t>
      </w:r>
      <w:r>
        <w:rPr>
          <w:rFonts w:hint="eastAsia" w:ascii="楷体" w:hAnsi="楷体" w:eastAsia="楷体"/>
          <w:b/>
          <w:color w:val="auto"/>
          <w:sz w:val="32"/>
          <w:szCs w:val="32"/>
          <w:lang w:val="en-US" w:eastAsia="zh-CN"/>
        </w:rPr>
        <w:t>重大动物疫病防控有力有效。</w:t>
      </w:r>
      <w:r>
        <w:rPr>
          <w:rFonts w:hint="eastAsia" w:ascii="仿宋_GB2312" w:hAnsi="CESI仿宋-GB2312" w:eastAsia="仿宋_GB2312" w:cs="CESI仿宋-GB2312"/>
          <w:b/>
          <w:bCs/>
          <w:color w:val="auto"/>
          <w:sz w:val="32"/>
          <w:szCs w:val="32"/>
          <w:lang w:val="en-US" w:eastAsia="zh-CN"/>
        </w:rPr>
        <w:t>一是</w:t>
      </w:r>
      <w:r>
        <w:rPr>
          <w:rFonts w:hint="eastAsia" w:ascii="仿宋_GB2312" w:hAnsi="CESI仿宋-GB2312" w:eastAsia="仿宋_GB2312" w:cs="CESI仿宋-GB2312"/>
          <w:color w:val="auto"/>
          <w:sz w:val="32"/>
          <w:szCs w:val="32"/>
          <w:lang w:val="en-US" w:eastAsia="zh-CN"/>
        </w:rPr>
        <w:t>突出强制免疫。按照应免尽免的要求，2025年春秋防共免疫家禽禽流感186.76万羽，免疫口蹄疫猪73.79万头、牛3.72万头、羊3.88万只，小反刍兽2.31万只。应免畜禽免疫率、免疫建档率分别达100%，免疫效果达标。</w:t>
      </w:r>
      <w:r>
        <w:rPr>
          <w:rFonts w:hint="eastAsia" w:ascii="仿宋_GB2312" w:hAnsi="CESI仿宋-GB2312" w:eastAsia="仿宋_GB2312" w:cs="CESI仿宋-GB2312"/>
          <w:b/>
          <w:bCs/>
          <w:color w:val="auto"/>
          <w:sz w:val="32"/>
          <w:szCs w:val="32"/>
          <w:lang w:val="en-US" w:eastAsia="zh-CN"/>
        </w:rPr>
        <w:t>二是</w:t>
      </w:r>
      <w:r>
        <w:rPr>
          <w:rFonts w:hint="eastAsia" w:ascii="仿宋_GB2312" w:hAnsi="CESI仿宋-GB2312" w:eastAsia="仿宋_GB2312" w:cs="CESI仿宋-GB2312"/>
          <w:color w:val="auto"/>
          <w:sz w:val="32"/>
          <w:szCs w:val="32"/>
          <w:lang w:val="en-US" w:eastAsia="zh-CN"/>
        </w:rPr>
        <w:t>突出疫情监测。对存栏生猪500头以上的养殖场进行专项监测，共采集样品1000余份，及时预警疫情。温氏万家庄种猪场3次采集血清（组织）和环境样品共计600余份送省市级监测，监测结果全部达标。全县共检测4500余份家禽拭子对及环境样品，及时处置交易市场环境禽流感病毒核酸阳性2起，阻断疫病传播途径。</w:t>
      </w:r>
      <w:r>
        <w:rPr>
          <w:rFonts w:hint="eastAsia" w:ascii="仿宋_GB2312" w:hAnsi="CESI仿宋-GB2312" w:eastAsia="仿宋_GB2312" w:cs="CESI仿宋-GB2312"/>
          <w:b/>
          <w:bCs/>
          <w:color w:val="auto"/>
          <w:sz w:val="32"/>
          <w:szCs w:val="32"/>
          <w:lang w:val="en-US" w:eastAsia="zh-CN"/>
        </w:rPr>
        <w:t>三是</w:t>
      </w:r>
      <w:r>
        <w:rPr>
          <w:rFonts w:hint="eastAsia" w:ascii="仿宋_GB2312" w:hAnsi="CESI仿宋-GB2312" w:eastAsia="仿宋_GB2312" w:cs="CESI仿宋-GB2312"/>
          <w:color w:val="auto"/>
          <w:sz w:val="32"/>
          <w:szCs w:val="32"/>
          <w:lang w:val="en-US" w:eastAsia="zh-CN"/>
        </w:rPr>
        <w:t>强化专题宣传。累计印发新《动物防疫法》《动物防疫知识宣传手册》6000余册，张贴禽流感、布病和狂犬病等宣传挂图2000余份和发放其他宣传资料1000余份。</w:t>
      </w:r>
      <w:r>
        <w:rPr>
          <w:rFonts w:hint="eastAsia" w:ascii="仿宋_GB2312" w:hAnsi="CESI仿宋-GB2312" w:eastAsia="仿宋_GB2312" w:cs="CESI仿宋-GB2312"/>
          <w:b/>
          <w:bCs/>
          <w:color w:val="auto"/>
          <w:sz w:val="32"/>
          <w:szCs w:val="32"/>
          <w:lang w:val="en-US" w:eastAsia="zh-CN"/>
        </w:rPr>
        <w:t>四是</w:t>
      </w:r>
      <w:r>
        <w:rPr>
          <w:rFonts w:hint="eastAsia" w:ascii="仿宋_GB2312" w:hAnsi="CESI仿宋-GB2312" w:eastAsia="仿宋_GB2312" w:cs="CESI仿宋-GB2312"/>
          <w:color w:val="auto"/>
          <w:sz w:val="32"/>
          <w:szCs w:val="32"/>
          <w:lang w:val="en-US" w:eastAsia="zh-CN"/>
        </w:rPr>
        <w:t>严格规范动物产品证明的出证。认真落实“证章标志”管理制度，同时认真督促屠宰企业做好落地检工作，2025年入场查验生猪90000余头。</w:t>
      </w:r>
      <w:r>
        <w:rPr>
          <w:rFonts w:hint="eastAsia" w:ascii="仿宋_GB2312" w:hAnsi="CESI仿宋-GB2312" w:eastAsia="仿宋_GB2312" w:cs="CESI仿宋-GB2312"/>
          <w:b/>
          <w:bCs/>
          <w:color w:val="auto"/>
          <w:sz w:val="32"/>
          <w:szCs w:val="32"/>
          <w:lang w:val="en-US" w:eastAsia="zh-CN"/>
        </w:rPr>
        <w:t>五是</w:t>
      </w:r>
      <w:r>
        <w:rPr>
          <w:rFonts w:hint="eastAsia" w:ascii="仿宋_GB2312" w:hAnsi="CESI仿宋-GB2312" w:eastAsia="仿宋_GB2312" w:cs="CESI仿宋-GB2312"/>
          <w:color w:val="auto"/>
          <w:sz w:val="32"/>
          <w:szCs w:val="32"/>
          <w:lang w:val="en-US" w:eastAsia="zh-CN"/>
        </w:rPr>
        <w:t>6月18日道县代表湖南省接受农业部春季重大动物疫病防控情况调研组调研，农业农村部一行先后实地调研了规模畜禽养殖场、省级动物入境指定通道、片区产地检疫申报点、无害化处理中心、新建屠宰场，全县动物防疫各项工作得到农业部调研组充分肯定。</w:t>
      </w:r>
      <w:r>
        <w:rPr>
          <w:rFonts w:hint="eastAsia" w:ascii="仿宋_GB2312" w:hAnsi="CESI仿宋-GB2312" w:eastAsia="仿宋_GB2312" w:cs="CESI仿宋-GB2312"/>
          <w:b/>
          <w:bCs/>
          <w:color w:val="auto"/>
          <w:sz w:val="32"/>
          <w:szCs w:val="32"/>
          <w:lang w:val="en-US" w:eastAsia="zh-CN"/>
        </w:rPr>
        <w:t>六是</w:t>
      </w:r>
      <w:r>
        <w:rPr>
          <w:rFonts w:hint="eastAsia" w:ascii="仿宋_GB2312" w:hAnsi="CESI仿宋-GB2312" w:eastAsia="仿宋_GB2312" w:cs="CESI仿宋-GB2312"/>
          <w:color w:val="auto"/>
          <w:sz w:val="32"/>
          <w:szCs w:val="32"/>
          <w:lang w:val="en-US" w:eastAsia="zh-CN"/>
        </w:rPr>
        <w:t>道县屠宰配套冷链物流建设项目占地面积80余亩，建设标准化、现代化畜禽屠宰、冷链仓储、食品加工及配套设施，设计年屠宰生猪100万头、家禽2000万羽。项目于8月完成建设，10月28日投产运营，全面助推全县畜禽屠宰行业转型升级。</w:t>
      </w:r>
      <w:r>
        <w:rPr>
          <w:rFonts w:hint="eastAsia" w:ascii="仿宋_GB2312" w:hAnsi="CESI仿宋-GB2312" w:eastAsia="仿宋_GB2312" w:cs="CESI仿宋-GB2312"/>
          <w:b/>
          <w:bCs/>
          <w:color w:val="auto"/>
          <w:sz w:val="32"/>
          <w:szCs w:val="32"/>
          <w:lang w:val="en-US" w:eastAsia="zh-CN"/>
        </w:rPr>
        <w:t>七是</w:t>
      </w:r>
      <w:r>
        <w:rPr>
          <w:rFonts w:hint="eastAsia" w:ascii="仿宋_GB2312" w:hAnsi="CESI仿宋-GB2312" w:eastAsia="仿宋_GB2312" w:cs="CESI仿宋-GB2312"/>
          <w:color w:val="auto"/>
          <w:sz w:val="32"/>
          <w:szCs w:val="32"/>
          <w:lang w:val="en-US" w:eastAsia="zh-CN"/>
        </w:rPr>
        <w:t>加强病死猪无害化处理监管。</w:t>
      </w:r>
      <w:r>
        <w:rPr>
          <w:rFonts w:hint="default" w:ascii="仿宋_GB2312" w:hAnsi="CESI仿宋-GB2312" w:eastAsia="仿宋_GB2312" w:cs="CESI仿宋-GB2312"/>
          <w:color w:val="auto"/>
          <w:sz w:val="32"/>
          <w:szCs w:val="32"/>
          <w:lang w:val="en-US" w:eastAsia="zh-CN"/>
        </w:rPr>
        <w:t>完成了一个</w:t>
      </w:r>
      <w:r>
        <w:rPr>
          <w:rFonts w:hint="eastAsia" w:ascii="仿宋_GB2312" w:hAnsi="CESI仿宋-GB2312" w:eastAsia="仿宋_GB2312" w:cs="CESI仿宋-GB2312"/>
          <w:color w:val="auto"/>
          <w:sz w:val="32"/>
          <w:szCs w:val="32"/>
          <w:lang w:val="en-US" w:eastAsia="zh-CN"/>
        </w:rPr>
        <w:t>病死猪收集</w:t>
      </w:r>
      <w:r>
        <w:rPr>
          <w:rFonts w:hint="default" w:ascii="仿宋_GB2312" w:hAnsi="CESI仿宋-GB2312" w:eastAsia="仿宋_GB2312" w:cs="CESI仿宋-GB2312"/>
          <w:color w:val="auto"/>
          <w:sz w:val="32"/>
          <w:szCs w:val="32"/>
          <w:lang w:val="en-US" w:eastAsia="zh-CN"/>
        </w:rPr>
        <w:t>转运中心、二个</w:t>
      </w:r>
      <w:r>
        <w:rPr>
          <w:rFonts w:hint="eastAsia" w:ascii="仿宋_GB2312" w:hAnsi="CESI仿宋-GB2312" w:eastAsia="仿宋_GB2312" w:cs="CESI仿宋-GB2312"/>
          <w:color w:val="auto"/>
          <w:sz w:val="32"/>
          <w:szCs w:val="32"/>
          <w:lang w:val="en-US" w:eastAsia="zh-CN"/>
        </w:rPr>
        <w:t>收集车辆</w:t>
      </w:r>
      <w:r>
        <w:rPr>
          <w:rFonts w:hint="default" w:ascii="仿宋_GB2312" w:hAnsi="CESI仿宋-GB2312" w:eastAsia="仿宋_GB2312" w:cs="CESI仿宋-GB2312"/>
          <w:color w:val="auto"/>
          <w:sz w:val="32"/>
          <w:szCs w:val="32"/>
          <w:lang w:val="en-US" w:eastAsia="zh-CN"/>
        </w:rPr>
        <w:t>洗消点和24个病死猪收集暂存冷库</w:t>
      </w:r>
      <w:r>
        <w:rPr>
          <w:rFonts w:hint="eastAsia" w:ascii="仿宋_GB2312" w:hAnsi="CESI仿宋-GB2312" w:eastAsia="仿宋_GB2312" w:cs="CESI仿宋-GB2312"/>
          <w:color w:val="auto"/>
          <w:sz w:val="32"/>
          <w:szCs w:val="32"/>
          <w:lang w:val="en-US" w:eastAsia="zh-CN"/>
        </w:rPr>
        <w:t>建设，辖区内</w:t>
      </w:r>
      <w:r>
        <w:rPr>
          <w:rFonts w:hint="default" w:ascii="仿宋_GB2312" w:hAnsi="CESI仿宋-GB2312" w:eastAsia="仿宋_GB2312" w:cs="CESI仿宋-GB2312"/>
          <w:color w:val="auto"/>
          <w:sz w:val="32"/>
          <w:szCs w:val="32"/>
          <w:lang w:val="en-US" w:eastAsia="zh-CN"/>
        </w:rPr>
        <w:t>种猪场、规模养殖场</w:t>
      </w:r>
      <w:r>
        <w:rPr>
          <w:rFonts w:hint="eastAsia" w:ascii="仿宋_GB2312" w:hAnsi="CESI仿宋-GB2312" w:eastAsia="仿宋_GB2312" w:cs="CESI仿宋-GB2312"/>
          <w:color w:val="auto"/>
          <w:sz w:val="32"/>
          <w:szCs w:val="32"/>
          <w:lang w:val="en-US" w:eastAsia="zh-CN"/>
        </w:rPr>
        <w:t>的</w:t>
      </w:r>
      <w:r>
        <w:rPr>
          <w:rFonts w:hint="default" w:ascii="仿宋_GB2312" w:hAnsi="CESI仿宋-GB2312" w:eastAsia="仿宋_GB2312" w:cs="CESI仿宋-GB2312"/>
          <w:color w:val="auto"/>
          <w:sz w:val="32"/>
          <w:szCs w:val="32"/>
          <w:lang w:val="en-US" w:eastAsia="zh-CN"/>
        </w:rPr>
        <w:t>病死猪</w:t>
      </w:r>
      <w:r>
        <w:rPr>
          <w:rFonts w:hint="eastAsia" w:ascii="仿宋_GB2312" w:hAnsi="CESI仿宋-GB2312" w:eastAsia="仿宋_GB2312" w:cs="CESI仿宋-GB2312"/>
          <w:color w:val="auto"/>
          <w:sz w:val="32"/>
          <w:szCs w:val="32"/>
          <w:lang w:val="en-US" w:eastAsia="zh-CN"/>
        </w:rPr>
        <w:t>全部由无害化处理企业统一收集，集中处理，做到“应收尽收，应处尽处”，全年共无害化处理病死猪7.2万头。</w:t>
      </w:r>
    </w:p>
    <w:p>
      <w:pPr>
        <w:keepNext w:val="0"/>
        <w:keepLines w:val="0"/>
        <w:pageBreakBefore w:val="0"/>
        <w:kinsoku/>
        <w:wordWrap/>
        <w:overflowPunct/>
        <w:topLinePunct w:val="0"/>
        <w:autoSpaceDE/>
        <w:autoSpaceDN/>
        <w:bidi w:val="0"/>
        <w:spacing w:line="560" w:lineRule="exact"/>
        <w:ind w:firstLine="523"/>
        <w:jc w:val="left"/>
        <w:textAlignment w:val="auto"/>
        <w:rPr>
          <w:rFonts w:hint="eastAsia" w:ascii="仿宋_GB2312" w:hAnsi="CESI仿宋-GB2312" w:eastAsia="仿宋_GB2312" w:cs="CESI仿宋-GB2312"/>
          <w:color w:val="auto"/>
          <w:sz w:val="32"/>
          <w:szCs w:val="32"/>
          <w:lang w:val="en-US" w:eastAsia="zh-CN"/>
        </w:rPr>
      </w:pPr>
      <w:r>
        <w:rPr>
          <w:rFonts w:hint="eastAsia" w:ascii="楷体" w:hAnsi="楷体" w:eastAsia="楷体"/>
          <w:b/>
          <w:color w:val="auto"/>
          <w:sz w:val="32"/>
          <w:szCs w:val="32"/>
          <w:lang w:val="en-US" w:eastAsia="zh-CN"/>
        </w:rPr>
        <w:t>（六）养殖污染防治。</w:t>
      </w:r>
      <w:r>
        <w:rPr>
          <w:rFonts w:hint="eastAsia" w:ascii="仿宋_GB2312" w:hAnsi="CESI仿宋-GB2312" w:eastAsia="仿宋_GB2312" w:cs="CESI仿宋-GB2312"/>
          <w:color w:val="auto"/>
          <w:sz w:val="32"/>
          <w:szCs w:val="32"/>
          <w:lang w:val="en-US" w:eastAsia="zh-CN"/>
        </w:rPr>
        <w:t>积极落实省市县养殖污染防治整治工作安排。</w:t>
      </w:r>
      <w:r>
        <w:rPr>
          <w:rFonts w:hint="eastAsia" w:ascii="仿宋_GB2312" w:hAnsi="CESI仿宋-GB2312" w:eastAsia="仿宋_GB2312" w:cs="CESI仿宋-GB2312"/>
          <w:b/>
          <w:bCs/>
          <w:color w:val="auto"/>
          <w:sz w:val="32"/>
          <w:szCs w:val="32"/>
          <w:lang w:val="en-US" w:eastAsia="zh-CN"/>
        </w:rPr>
        <w:t>一是</w:t>
      </w:r>
      <w:r>
        <w:rPr>
          <w:rFonts w:hint="eastAsia" w:ascii="仿宋_GB2312" w:hAnsi="CESI仿宋-GB2312" w:eastAsia="仿宋_GB2312" w:cs="CESI仿宋-GB2312"/>
          <w:color w:val="auto"/>
          <w:sz w:val="32"/>
          <w:szCs w:val="32"/>
          <w:lang w:val="en-US" w:eastAsia="zh-CN"/>
        </w:rPr>
        <w:t>开展养殖污染排查整治行动。今年以来，县畜牧水产事务中心联合农业农村、生态环境等部门成立畜禽养殖污染防治整治工作小组，对畜禽养殖污染防治问题共开展2次地毯式排查，对排查出污染隐患的养殖场要求限期彻底整改完成。累计排查养殖场户772家，共发现问题581个，已完成整改581个，整改到位率100%。</w:t>
      </w:r>
      <w:r>
        <w:rPr>
          <w:rFonts w:hint="eastAsia" w:ascii="仿宋_GB2312" w:hAnsi="CESI仿宋-GB2312" w:eastAsia="仿宋_GB2312" w:cs="CESI仿宋-GB2312"/>
          <w:b/>
          <w:bCs/>
          <w:color w:val="auto"/>
          <w:sz w:val="32"/>
          <w:szCs w:val="32"/>
          <w:lang w:val="en-US" w:eastAsia="zh-CN"/>
        </w:rPr>
        <w:t>二是</w:t>
      </w:r>
      <w:r>
        <w:rPr>
          <w:rFonts w:hint="eastAsia" w:ascii="仿宋_GB2312" w:hAnsi="CESI仿宋-GB2312" w:eastAsia="仿宋_GB2312" w:cs="CESI仿宋-GB2312"/>
          <w:color w:val="auto"/>
          <w:sz w:val="32"/>
          <w:szCs w:val="32"/>
          <w:lang w:val="en-US" w:eastAsia="zh-CN"/>
        </w:rPr>
        <w:t>积极配合环保部门完成畜禽养殖场污染投诉销号工作，配合县人大等部门完成全县畜禽养殖污染调研整改工作。</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CESI仿宋-GB2312" w:eastAsia="仿宋_GB2312" w:cs="CESI仿宋-GB2312"/>
          <w:color w:val="auto"/>
          <w:sz w:val="32"/>
          <w:szCs w:val="32"/>
          <w:lang w:val="en-US" w:eastAsia="zh-CN"/>
        </w:rPr>
      </w:pPr>
      <w:r>
        <w:rPr>
          <w:rFonts w:hint="eastAsia" w:ascii="楷体" w:hAnsi="楷体" w:eastAsia="楷体"/>
          <w:b/>
          <w:color w:val="auto"/>
          <w:sz w:val="32"/>
          <w:szCs w:val="32"/>
          <w:lang w:val="en-US" w:eastAsia="zh-CN"/>
        </w:rPr>
        <w:t>（七）农业废弃物资源化利用项目有序推进。</w:t>
      </w:r>
      <w:r>
        <w:rPr>
          <w:rFonts w:hint="eastAsia" w:ascii="仿宋_GB2312" w:hAnsi="CESI仿宋-GB2312" w:eastAsia="仿宋_GB2312" w:cs="CESI仿宋-GB2312"/>
          <w:color w:val="auto"/>
          <w:sz w:val="32"/>
          <w:szCs w:val="32"/>
          <w:lang w:val="en-US" w:eastAsia="zh-CN"/>
        </w:rPr>
        <w:t>昆山元创环保科技有限公司计划在道县投资3.5亿元，打造农业废弃物资源利用化项目，开展畜禽粪污集中处理。计划两年内建设10条生产线，年处理固体畜禽粪便（90%含水率）及秸秆40万立方，年产有机肥及饲料添加剂合计18万吨。项目一期工程在道县祥霖铺镇流转农用地200亩，建设高温高压水分解畜禽粪便处理厂、粪污处理池、秸秆堆放和有机肥成品仓库、生产设备及附属设施等。已完成用地、环评等工作，生产车间框架已完成，完成投资1亿元，</w:t>
      </w:r>
      <w:r>
        <w:rPr>
          <w:rFonts w:hint="eastAsia" w:ascii="仿宋_GB2312" w:hAnsi="CESI仿宋-GB2312" w:eastAsia="仿宋_GB2312" w:cs="CESI仿宋-GB2312"/>
          <w:color w:val="auto"/>
          <w:sz w:val="32"/>
          <w:szCs w:val="32"/>
          <w:highlight w:val="none"/>
          <w:lang w:val="en-US" w:eastAsia="zh-CN"/>
        </w:rPr>
        <w:t>4</w:t>
      </w:r>
      <w:r>
        <w:rPr>
          <w:rFonts w:hint="eastAsia" w:ascii="仿宋_GB2312" w:hAnsi="CESI仿宋-GB2312" w:eastAsia="仿宋_GB2312" w:cs="CESI仿宋-GB2312"/>
          <w:color w:val="auto"/>
          <w:sz w:val="32"/>
          <w:szCs w:val="32"/>
          <w:lang w:val="en-US" w:eastAsia="zh-CN"/>
        </w:rPr>
        <w:t>条生产线的设施设备正在安装调试中，大功率用电问题预计12月底可解决，基础排水设施正待完善建设。</w:t>
      </w:r>
    </w:p>
    <w:p>
      <w:pPr>
        <w:pStyle w:val="14"/>
        <w:widowControl/>
        <w:numPr>
          <w:ilvl w:val="0"/>
          <w:numId w:val="0"/>
        </w:numPr>
        <w:spacing w:line="600" w:lineRule="exact"/>
        <w:ind w:leftChars="0"/>
        <w:jc w:val="left"/>
        <w:rPr>
          <w:rFonts w:hint="eastAsia" w:ascii="Times New Roman" w:hAnsi="Times New Roman" w:eastAsia="仿宋_GB2312" w:cs="Times New Roman"/>
          <w:b/>
          <w:bCs/>
          <w:kern w:val="0"/>
          <w:sz w:val="32"/>
          <w:szCs w:val="32"/>
          <w:lang w:val="en-US" w:eastAsia="zh-CN"/>
        </w:rPr>
      </w:pPr>
      <w:r>
        <w:rPr>
          <w:rFonts w:hint="eastAsia" w:ascii="Times New Roman" w:hAnsi="Times New Roman" w:eastAsia="仿宋_GB2312" w:cs="Times New Roman"/>
          <w:b/>
          <w:bCs/>
          <w:color w:val="auto"/>
          <w:kern w:val="2"/>
          <w:sz w:val="32"/>
          <w:szCs w:val="32"/>
          <w:lang w:val="en-US" w:eastAsia="zh-CN" w:bidi="ar-SA"/>
        </w:rPr>
        <w:t>七、</w:t>
      </w:r>
      <w:r>
        <w:rPr>
          <w:rFonts w:hint="default" w:ascii="Times New Roman" w:hAnsi="Times New Roman" w:eastAsia="仿宋_GB2312" w:cs="Times New Roman"/>
          <w:b/>
          <w:bCs/>
          <w:color w:val="auto"/>
          <w:kern w:val="2"/>
          <w:sz w:val="32"/>
          <w:szCs w:val="32"/>
          <w:lang w:val="en-US" w:eastAsia="zh-CN" w:bidi="ar-SA"/>
        </w:rPr>
        <w:t>存在的问题及原因分析</w:t>
      </w:r>
    </w:p>
    <w:p>
      <w:pPr>
        <w:pStyle w:val="14"/>
        <w:widowControl/>
        <w:numPr>
          <w:ilvl w:val="0"/>
          <w:numId w:val="0"/>
        </w:numPr>
        <w:spacing w:line="600" w:lineRule="exact"/>
        <w:ind w:leftChars="0" w:firstLine="320" w:firstLineChars="100"/>
        <w:jc w:val="left"/>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重视程度不够、绩效目标设定不合理、管理措施不到位。</w:t>
      </w:r>
    </w:p>
    <w:p>
      <w:pPr>
        <w:pStyle w:val="14"/>
        <w:widowControl/>
        <w:numPr>
          <w:ilvl w:val="0"/>
          <w:numId w:val="0"/>
        </w:numPr>
        <w:spacing w:line="600" w:lineRule="exact"/>
        <w:ind w:leftChars="0"/>
        <w:jc w:val="left"/>
        <w:rPr>
          <w:rFonts w:hint="eastAsia" w:ascii="Times New Roman" w:hAnsi="Times New Roman" w:eastAsia="仿宋_GB2312" w:cs="Times New Roman"/>
          <w:b/>
          <w:bCs/>
          <w:kern w:val="0"/>
          <w:sz w:val="32"/>
          <w:szCs w:val="32"/>
          <w:lang w:val="en-US" w:eastAsia="zh-CN"/>
        </w:rPr>
      </w:pPr>
      <w:r>
        <w:rPr>
          <w:rFonts w:hint="eastAsia" w:ascii="Times New Roman" w:hAnsi="Times New Roman" w:eastAsia="仿宋_GB2312" w:cs="Times New Roman"/>
          <w:b/>
          <w:bCs/>
          <w:kern w:val="0"/>
          <w:sz w:val="32"/>
          <w:szCs w:val="32"/>
          <w:lang w:val="en-US" w:eastAsia="zh-CN"/>
        </w:rPr>
        <w:t>八、下一步改进措施</w:t>
      </w:r>
    </w:p>
    <w:p>
      <w:pPr>
        <w:spacing w:line="600" w:lineRule="exact"/>
        <w:ind w:firstLine="640" w:firstLineChars="200"/>
        <w:rPr>
          <w:rFonts w:hint="eastAsia" w:ascii="Times New Roman" w:hAnsi="Times New Roman" w:eastAsia="仿宋_GB2312" w:cs="Times New Roman"/>
          <w:kern w:val="0"/>
          <w:sz w:val="32"/>
          <w:szCs w:val="32"/>
          <w:lang w:val="en-US" w:eastAsia="zh-CN"/>
        </w:rPr>
      </w:pPr>
      <w:r>
        <w:rPr>
          <w:rFonts w:hint="eastAsia" w:ascii="宋体" w:hAnsi="宋体" w:eastAsia="宋体" w:cs="宋体"/>
          <w:color w:val="010101"/>
          <w:spacing w:val="0"/>
          <w:position w:val="0"/>
          <w:sz w:val="32"/>
          <w:shd w:val="clear" w:color="auto" w:fill="auto"/>
          <w:lang w:val="en-US" w:eastAsia="zh-CN"/>
        </w:rPr>
        <w:t>1</w:t>
      </w:r>
      <w:r>
        <w:rPr>
          <w:rFonts w:hint="eastAsia" w:ascii="Times New Roman" w:hAnsi="Times New Roman" w:eastAsia="仿宋_GB2312" w:cs="Times New Roman"/>
          <w:kern w:val="0"/>
          <w:sz w:val="32"/>
          <w:szCs w:val="32"/>
          <w:lang w:val="en-US" w:eastAsia="zh-CN"/>
        </w:rPr>
        <w:t>、强队伍建设，抓好绩效评价管理部门的队伍建设和业务指导，培养部门的绩效管理队伍，</w:t>
      </w:r>
    </w:p>
    <w:p>
      <w:pPr>
        <w:spacing w:line="600" w:lineRule="exact"/>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2、规范账务处理，提高财务信息质量 。</w:t>
      </w:r>
    </w:p>
    <w:p>
      <w:pPr>
        <w:spacing w:line="600" w:lineRule="exact"/>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3、落实管理制度，进一步加强接待管理按照《道县党政机关公务接待管理实施细则》的加强接待管理工作。</w:t>
      </w:r>
    </w:p>
    <w:p>
      <w:pPr>
        <w:spacing w:line="600" w:lineRule="exact"/>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4、加强会计机构队伍建设按照《中华人民共和国会计法》要求建立会计机关，配备齐会计人员，做到不相容岗位分设，加强会计监督。</w:t>
      </w:r>
    </w:p>
    <w:p>
      <w:pPr>
        <w:spacing w:line="600" w:lineRule="exact"/>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5、提高有限的资金使用效益，改善全体干部的经济待遇，增全体干部的工作积极性。</w:t>
      </w:r>
    </w:p>
    <w:p>
      <w:pPr>
        <w:pStyle w:val="14"/>
        <w:widowControl/>
        <w:numPr>
          <w:ilvl w:val="0"/>
          <w:numId w:val="0"/>
        </w:numPr>
        <w:spacing w:line="600" w:lineRule="exact"/>
        <w:ind w:leftChars="0"/>
        <w:jc w:val="left"/>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九、绩效自评结果拟应用和公开情况</w:t>
      </w:r>
    </w:p>
    <w:p>
      <w:pPr>
        <w:numPr>
          <w:ilvl w:val="0"/>
          <w:numId w:val="0"/>
        </w:numPr>
        <w:ind w:leftChars="0"/>
        <w:rPr>
          <w:rFonts w:hint="eastAsia"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见附件</w:t>
      </w:r>
    </w:p>
    <w:p>
      <w:pPr>
        <w:pStyle w:val="2"/>
        <w:numPr>
          <w:ilvl w:val="0"/>
          <w:numId w:val="8"/>
        </w:numPr>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其他需要说明的情况</w:t>
      </w:r>
    </w:p>
    <w:p>
      <w:pPr>
        <w:numPr>
          <w:ilvl w:val="0"/>
          <w:numId w:val="0"/>
        </w:numPr>
        <w:ind w:leftChars="0"/>
        <w:rPr>
          <w:rFonts w:hint="default"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无</w:t>
      </w: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E9D997"/>
    <w:multiLevelType w:val="singleLevel"/>
    <w:tmpl w:val="92E9D997"/>
    <w:lvl w:ilvl="0" w:tentative="0">
      <w:start w:val="1"/>
      <w:numFmt w:val="decimal"/>
      <w:suff w:val="nothing"/>
      <w:lvlText w:val="%1、"/>
      <w:lvlJc w:val="left"/>
    </w:lvl>
  </w:abstractNum>
  <w:abstractNum w:abstractNumId="1">
    <w:nsid w:val="A1440475"/>
    <w:multiLevelType w:val="singleLevel"/>
    <w:tmpl w:val="A1440475"/>
    <w:lvl w:ilvl="0" w:tentative="0">
      <w:start w:val="1"/>
      <w:numFmt w:val="decimal"/>
      <w:suff w:val="nothing"/>
      <w:lvlText w:val="%1、"/>
      <w:lvlJc w:val="left"/>
    </w:lvl>
  </w:abstractNum>
  <w:abstractNum w:abstractNumId="2">
    <w:nsid w:val="A9AE2521"/>
    <w:multiLevelType w:val="singleLevel"/>
    <w:tmpl w:val="A9AE2521"/>
    <w:lvl w:ilvl="0" w:tentative="0">
      <w:start w:val="4"/>
      <w:numFmt w:val="chineseCounting"/>
      <w:suff w:val="nothing"/>
      <w:lvlText w:val="%1、"/>
      <w:lvlJc w:val="left"/>
      <w:rPr>
        <w:rFonts w:hint="eastAsia"/>
      </w:rPr>
    </w:lvl>
  </w:abstractNum>
  <w:abstractNum w:abstractNumId="3">
    <w:nsid w:val="F75AD0FB"/>
    <w:multiLevelType w:val="singleLevel"/>
    <w:tmpl w:val="F75AD0FB"/>
    <w:lvl w:ilvl="0" w:tentative="0">
      <w:start w:val="1"/>
      <w:numFmt w:val="chineseCounting"/>
      <w:suff w:val="nothing"/>
      <w:lvlText w:val="（%1）"/>
      <w:lvlJc w:val="left"/>
      <w:rPr>
        <w:rFonts w:hint="eastAsia"/>
      </w:rPr>
    </w:lvl>
  </w:abstractNum>
  <w:abstractNum w:abstractNumId="4">
    <w:nsid w:val="1DB65A69"/>
    <w:multiLevelType w:val="singleLevel"/>
    <w:tmpl w:val="1DB65A69"/>
    <w:lvl w:ilvl="0" w:tentative="0">
      <w:start w:val="10"/>
      <w:numFmt w:val="chineseCounting"/>
      <w:suff w:val="nothing"/>
      <w:lvlText w:val="%1、"/>
      <w:lvlJc w:val="left"/>
      <w:rPr>
        <w:rFonts w:hint="eastAsia"/>
      </w:rPr>
    </w:lvl>
  </w:abstractNum>
  <w:abstractNum w:abstractNumId="5">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2CD1B64"/>
    <w:multiLevelType w:val="singleLevel"/>
    <w:tmpl w:val="42CD1B64"/>
    <w:lvl w:ilvl="0" w:tentative="0">
      <w:start w:val="1"/>
      <w:numFmt w:val="chineseCounting"/>
      <w:suff w:val="nothing"/>
      <w:lvlText w:val="%1、"/>
      <w:lvlJc w:val="left"/>
      <w:rPr>
        <w:rFonts w:hint="eastAsia"/>
      </w:rPr>
    </w:lvl>
  </w:abstractNum>
  <w:abstractNum w:abstractNumId="7">
    <w:nsid w:val="7C405BD9"/>
    <w:multiLevelType w:val="singleLevel"/>
    <w:tmpl w:val="7C405BD9"/>
    <w:lvl w:ilvl="0" w:tentative="0">
      <w:start w:val="7"/>
      <w:numFmt w:val="chineseCounting"/>
      <w:suff w:val="nothing"/>
      <w:lvlText w:val="%1、"/>
      <w:lvlJc w:val="left"/>
      <w:rPr>
        <w:rFonts w:hint="eastAsia"/>
      </w:rPr>
    </w:lvl>
  </w:abstractNum>
  <w:num w:numId="1">
    <w:abstractNumId w:val="5"/>
  </w:num>
  <w:num w:numId="2">
    <w:abstractNumId w:val="7"/>
  </w:num>
  <w:num w:numId="3">
    <w:abstractNumId w:val="6"/>
  </w:num>
  <w:num w:numId="4">
    <w:abstractNumId w:val="3"/>
  </w:num>
  <w:num w:numId="5">
    <w:abstractNumId w:val="0"/>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DB587D"/>
    <w:rsid w:val="01F2597B"/>
    <w:rsid w:val="02510EB5"/>
    <w:rsid w:val="03F51722"/>
    <w:rsid w:val="050B6D23"/>
    <w:rsid w:val="05EF03F3"/>
    <w:rsid w:val="070E2FF4"/>
    <w:rsid w:val="078D384B"/>
    <w:rsid w:val="07AB414F"/>
    <w:rsid w:val="0825634E"/>
    <w:rsid w:val="0B064214"/>
    <w:rsid w:val="0C4111F5"/>
    <w:rsid w:val="106A6A0A"/>
    <w:rsid w:val="124F24D2"/>
    <w:rsid w:val="1303728B"/>
    <w:rsid w:val="142179C9"/>
    <w:rsid w:val="14BA7E1E"/>
    <w:rsid w:val="155F3C31"/>
    <w:rsid w:val="16C946A5"/>
    <w:rsid w:val="17F673BF"/>
    <w:rsid w:val="18544388"/>
    <w:rsid w:val="1ADE7164"/>
    <w:rsid w:val="1D97DEFF"/>
    <w:rsid w:val="1DE40715"/>
    <w:rsid w:val="1DFF72E5"/>
    <w:rsid w:val="1EFC6F07"/>
    <w:rsid w:val="1F8739FA"/>
    <w:rsid w:val="200C59D1"/>
    <w:rsid w:val="221B014E"/>
    <w:rsid w:val="25527D9C"/>
    <w:rsid w:val="27475541"/>
    <w:rsid w:val="29115E06"/>
    <w:rsid w:val="29581C87"/>
    <w:rsid w:val="2E6E40B7"/>
    <w:rsid w:val="2EB15996"/>
    <w:rsid w:val="2EB6049D"/>
    <w:rsid w:val="2EED4C20"/>
    <w:rsid w:val="2FDF85B8"/>
    <w:rsid w:val="2FFFEE04"/>
    <w:rsid w:val="30466CDD"/>
    <w:rsid w:val="30AD0B0B"/>
    <w:rsid w:val="316C07E9"/>
    <w:rsid w:val="327D450D"/>
    <w:rsid w:val="33681B34"/>
    <w:rsid w:val="34572B3B"/>
    <w:rsid w:val="34DF85B0"/>
    <w:rsid w:val="36897924"/>
    <w:rsid w:val="36F103F8"/>
    <w:rsid w:val="37537F32"/>
    <w:rsid w:val="379F4F25"/>
    <w:rsid w:val="37DF09D3"/>
    <w:rsid w:val="3A233BEC"/>
    <w:rsid w:val="3A430773"/>
    <w:rsid w:val="3AAD46FE"/>
    <w:rsid w:val="3B293484"/>
    <w:rsid w:val="3B8F36BC"/>
    <w:rsid w:val="3DB17760"/>
    <w:rsid w:val="3E3408C1"/>
    <w:rsid w:val="3F275F2C"/>
    <w:rsid w:val="3F4A1F08"/>
    <w:rsid w:val="3F6C7DE3"/>
    <w:rsid w:val="409619DD"/>
    <w:rsid w:val="421309EA"/>
    <w:rsid w:val="42890CAC"/>
    <w:rsid w:val="42DE2DC1"/>
    <w:rsid w:val="43542984"/>
    <w:rsid w:val="43560698"/>
    <w:rsid w:val="43DE78AB"/>
    <w:rsid w:val="44024872"/>
    <w:rsid w:val="448654A3"/>
    <w:rsid w:val="449000D0"/>
    <w:rsid w:val="455247B9"/>
    <w:rsid w:val="458D2861"/>
    <w:rsid w:val="46395FC3"/>
    <w:rsid w:val="48981C49"/>
    <w:rsid w:val="491357D2"/>
    <w:rsid w:val="491FF225"/>
    <w:rsid w:val="4B335C59"/>
    <w:rsid w:val="4B773236"/>
    <w:rsid w:val="4B7C0729"/>
    <w:rsid w:val="4C13536D"/>
    <w:rsid w:val="4CFE0718"/>
    <w:rsid w:val="4D221C6B"/>
    <w:rsid w:val="4D4203D5"/>
    <w:rsid w:val="4D64034B"/>
    <w:rsid w:val="4F701847"/>
    <w:rsid w:val="4FC4743C"/>
    <w:rsid w:val="4FE30149"/>
    <w:rsid w:val="4FFD214C"/>
    <w:rsid w:val="50772144"/>
    <w:rsid w:val="51A7233E"/>
    <w:rsid w:val="52171E30"/>
    <w:rsid w:val="54686246"/>
    <w:rsid w:val="569D042A"/>
    <w:rsid w:val="5777D4F5"/>
    <w:rsid w:val="59D84736"/>
    <w:rsid w:val="59DD8326"/>
    <w:rsid w:val="5A4F7C8D"/>
    <w:rsid w:val="5DE80B25"/>
    <w:rsid w:val="5DEF592A"/>
    <w:rsid w:val="5ED829C0"/>
    <w:rsid w:val="5F303AB7"/>
    <w:rsid w:val="5FB963F3"/>
    <w:rsid w:val="5FC6BB1E"/>
    <w:rsid w:val="5FF720F1"/>
    <w:rsid w:val="609818A5"/>
    <w:rsid w:val="61B41A4E"/>
    <w:rsid w:val="631A1780"/>
    <w:rsid w:val="67FF5C0B"/>
    <w:rsid w:val="6AB8121E"/>
    <w:rsid w:val="6D3F6328"/>
    <w:rsid w:val="6DC63D25"/>
    <w:rsid w:val="6EFC0924"/>
    <w:rsid w:val="6FB74722"/>
    <w:rsid w:val="6FEF8B7E"/>
    <w:rsid w:val="71A6591B"/>
    <w:rsid w:val="72225F5B"/>
    <w:rsid w:val="737D59BA"/>
    <w:rsid w:val="738F7621"/>
    <w:rsid w:val="750162FC"/>
    <w:rsid w:val="75187CB8"/>
    <w:rsid w:val="76354F7D"/>
    <w:rsid w:val="7759232A"/>
    <w:rsid w:val="77C37683"/>
    <w:rsid w:val="79FF515B"/>
    <w:rsid w:val="7A3945A5"/>
    <w:rsid w:val="7B6B0973"/>
    <w:rsid w:val="7BAC63A1"/>
    <w:rsid w:val="7D142945"/>
    <w:rsid w:val="7D6B4C0C"/>
    <w:rsid w:val="7D9C5899"/>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keepNext/>
      <w:keepLines/>
      <w:spacing w:beforeLines="50" w:line="360" w:lineRule="auto"/>
      <w:outlineLvl w:val="2"/>
    </w:pPr>
    <w:rPr>
      <w:rFonts w:eastAsia="黑体"/>
      <w:sz w:val="2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13491</Words>
  <Characters>15381</Characters>
  <Lines>63</Lines>
  <Paragraphs>18</Paragraphs>
  <TotalTime>14</TotalTime>
  <ScaleCrop>false</ScaleCrop>
  <LinksUpToDate>false</LinksUpToDate>
  <CharactersWithSpaces>16301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2026-09-08T07:42:00Z</cp:lastPrinted>
  <dcterms:modified xsi:type="dcterms:W3CDTF">2026-09-11T07:23:24Z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4B4668CE485F49458AB32B0595544D92_13</vt:lpwstr>
  </property>
</Properties>
</file>