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Ansi="黑体"/>
          <w:sz w:val="36"/>
          <w:szCs w:val="36"/>
        </w:rPr>
      </w:pPr>
      <w:r>
        <w:rPr>
          <w:rFonts w:hint="eastAsia" w:hAnsi="黑体"/>
          <w:sz w:val="36"/>
          <w:szCs w:val="36"/>
        </w:rPr>
        <w:t>附件2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pPr>
        <w:pStyle w:val="13"/>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国营道县大坪铺农场</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部门</w:t>
      </w:r>
      <w:r>
        <w:rPr>
          <w:rFonts w:ascii="Times New Roman" w:hAnsi="Times New Roman" w:eastAsia="方正小标宋简体" w:cs="Times New Roman"/>
          <w:sz w:val="72"/>
          <w:szCs w:val="72"/>
        </w:rPr>
        <w:t>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国营道县大坪铺农场</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rPr>
          <w:rFonts w:ascii="Times New Roman" w:hAnsi="Times New Roman" w:eastAsia="方正小标宋_GBK" w:cs="Times New Roman"/>
          <w:sz w:val="72"/>
          <w:szCs w:val="72"/>
        </w:rPr>
      </w:pPr>
    </w:p>
    <w:p>
      <w:pPr>
        <w:pStyle w:val="2"/>
        <w:rPr>
          <w:rFonts w:ascii="Times New Roman" w:hAnsi="Times New Roman" w:eastAsia="方正小标宋_GBK" w:cs="Times New Roman"/>
          <w:sz w:val="72"/>
          <w:szCs w:val="72"/>
        </w:rPr>
      </w:pPr>
    </w:p>
    <w:p>
      <w:pPr>
        <w:pStyle w:val="3"/>
        <w:ind w:firstLine="1440"/>
        <w:rPr>
          <w:rFonts w:ascii="Times New Roman" w:hAnsi="Times New Roman" w:eastAsia="方正小标宋_GBK" w:cs="Times New Roman"/>
          <w:sz w:val="72"/>
          <w:szCs w:val="72"/>
        </w:rPr>
      </w:pPr>
    </w:p>
    <w:p>
      <w:pPr>
        <w:rPr>
          <w:rFonts w:ascii="Times New Roman" w:hAnsi="Times New Roman" w:eastAsia="方正小标宋_GBK" w:cs="Times New Roman"/>
          <w:sz w:val="72"/>
          <w:szCs w:val="72"/>
        </w:rPr>
      </w:pPr>
    </w:p>
    <w:p>
      <w:pPr>
        <w:pStyle w:val="2"/>
        <w:rPr>
          <w:rFonts w:ascii="Times New Roman" w:hAnsi="Times New Roman" w:eastAsia="方正小标宋_GBK" w:cs="Times New Roman"/>
          <w:sz w:val="72"/>
          <w:szCs w:val="72"/>
        </w:rPr>
      </w:pPr>
    </w:p>
    <w:p>
      <w:pPr>
        <w:pStyle w:val="3"/>
        <w:ind w:firstLine="480"/>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国营道县大坪铺农场</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ind w:firstLine="640" w:firstLineChars="200"/>
        <w:jc w:val="left"/>
        <w:rPr>
          <w:rFonts w:ascii="仿宋_GB2312" w:hAnsi="宋体" w:eastAsia="仿宋_GB2312"/>
          <w:sz w:val="28"/>
          <w:szCs w:val="32"/>
        </w:rPr>
      </w:pPr>
      <w:r>
        <w:rPr>
          <w:rFonts w:ascii="Times New Roman" w:hAnsi="Times New Roman" w:eastAsia="仿宋_GB2312" w:cs="Times New Roman"/>
          <w:sz w:val="32"/>
          <w:szCs w:val="32"/>
        </w:rPr>
        <w:t>（一）</w:t>
      </w:r>
      <w:r>
        <w:rPr>
          <w:rFonts w:hint="eastAsia" w:eastAsia="仿宋_GB2312"/>
          <w:sz w:val="32"/>
          <w:szCs w:val="32"/>
        </w:rPr>
        <w:t>根据县委、县政府关于国营道县大坪铺农场改革发展的实施意见（道发（2018）27号）精神，农场主要工作职责：贯彻实施中央、省、市、县有关农垦工作的方针政策，落实县委政府的决策部署，协调相关部门管理好社会经济事务。</w:t>
      </w:r>
    </w:p>
    <w:p>
      <w:pPr>
        <w:spacing w:line="600" w:lineRule="exact"/>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sz w:val="32"/>
          <w:szCs w:val="32"/>
        </w:rPr>
        <w:t>我单位为正科级全额拨款事业单位，现有在职人员4人，编制数为11名。</w:t>
      </w:r>
      <w:r>
        <w:rPr>
          <w:rFonts w:hint="eastAsia" w:ascii="Times New Roman" w:hAnsi="Times New Roman" w:eastAsia="仿宋_GB2312" w:cs="Times New Roman"/>
          <w:bCs/>
          <w:kern w:val="0"/>
          <w:sz w:val="32"/>
          <w:szCs w:val="32"/>
        </w:rPr>
        <w:t>道县大坪铺农场内设机构包括：办公室、财务室2</w:t>
      </w:r>
      <w:r>
        <w:rPr>
          <w:rFonts w:hint="eastAsia" w:eastAsia="仿宋_GB2312"/>
          <w:sz w:val="32"/>
          <w:szCs w:val="32"/>
        </w:rPr>
        <w:t>个职能部门。</w:t>
      </w:r>
    </w:p>
    <w:p>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（二）决算单位构成。大坪铺农场2025年部门决算汇总公开单位构成：</w:t>
      </w:r>
      <w:r>
        <w:rPr>
          <w:rFonts w:hint="eastAsia" w:ascii="仿宋_GB2312" w:hAnsi="仿宋_GB2312" w:eastAsia="仿宋_GB2312" w:cs="仿宋_GB2312"/>
          <w:color w:val="000000"/>
          <w:sz w:val="32"/>
          <w:szCs w:val="32"/>
          <w:shd w:val="clear" w:color="auto" w:fill="FFFFFF"/>
        </w:rPr>
        <w:t>道县大坪铺农场部门只有本级，没有其他二级预算单位</w:t>
      </w:r>
      <w:r>
        <w:rPr>
          <w:rFonts w:hint="eastAsia" w:ascii="Times New Roman" w:hAnsi="Times New Roman" w:eastAsia="仿宋_GB2312" w:cs="仿宋_GB2312"/>
          <w:bCs/>
          <w:kern w:val="0"/>
          <w:sz w:val="32"/>
          <w:szCs w:val="32"/>
        </w:rPr>
        <w:t>。</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rPr>
          <w:rFonts w:ascii="Times New Roman" w:hAnsi="Times New Roman" w:eastAsia="黑体" w:cs="Times New Roman"/>
          <w:sz w:val="28"/>
          <w:szCs w:val="28"/>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262.77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0.57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0.45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5.77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r>
              <w:rPr>
                <w:rFonts w:hint="eastAsia" w:ascii="Times New Roman" w:hAnsi="Times New Roman" w:eastAsia="仿宋_GB2312" w:cs="Times New Roman"/>
                <w:color w:val="000000"/>
                <w:kern w:val="0"/>
                <w:sz w:val="22"/>
              </w:rPr>
              <w:t>3.76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kern w:val="0"/>
                <w:sz w:val="22"/>
              </w:rPr>
            </w:pPr>
            <w:r>
              <w:rPr>
                <w:rFonts w:hint="eastAsia" w:ascii="Times New Roman" w:hAnsi="Times New Roman" w:eastAsia="仿宋_GB2312" w:cs="Times New Roman"/>
                <w:color w:val="000000"/>
                <w:kern w:val="0"/>
                <w:sz w:val="22"/>
              </w:rPr>
              <w:t>252.22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b/>
                <w:color w:val="000000"/>
                <w:kern w:val="0"/>
                <w:sz w:val="22"/>
              </w:rPr>
              <w:t>262.77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b/>
                <w:color w:val="000000"/>
                <w:kern w:val="0"/>
                <w:sz w:val="22"/>
              </w:rPr>
              <w:t>262.77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b/>
                <w:color w:val="000000"/>
                <w:kern w:val="0"/>
                <w:sz w:val="22"/>
              </w:rPr>
              <w:t>262.77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r>
              <w:rPr>
                <w:rFonts w:hint="eastAsia" w:ascii="Times New Roman" w:hAnsi="Times New Roman" w:eastAsia="仿宋_GB2312" w:cs="Times New Roman"/>
                <w:b/>
                <w:color w:val="000000"/>
                <w:sz w:val="22"/>
              </w:rPr>
              <w:t>262.77</w:t>
            </w:r>
          </w:p>
        </w:tc>
      </w:tr>
    </w:tbl>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262.77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262.77</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5.77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5.77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5.77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5.77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2019999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5.77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5.77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20501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教育管理事务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0.45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2050101</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行政运行</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0.45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rPr>
              <w:t xml:space="preserve">0.45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208</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社会保障和就业支出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5.77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5.77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20805</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行政事业单位养老支出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5.77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5.77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2080505</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机关事业单位基本养老保险缴费支出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5.77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5.77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卫生健康支出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3.76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3.76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21011</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行政事业单位医疗</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3.19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3.19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2101102</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事业单位医疗</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3.19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3.19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21015</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医疗保障管理事务</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0.57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0.57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2101599</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其他医疗保障管理事务支出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0.57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0.57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农林水支出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252.22</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252.22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21301</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农业农村</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66.40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66.40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2130104</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事业运行</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64.40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64.40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2130199</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其他农业农村支出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2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2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21302</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林业和草原</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0.18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1,801.00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2130209</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森林生态效益补偿</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0.18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0.18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21399</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其他农林水支出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185.64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185.64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其他农林水支出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185.64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right"/>
              <w:textAlignment w:val="center"/>
              <w:rPr>
                <w:rFonts w:ascii="Times New Roman" w:hAnsi="Times New Roman" w:eastAsia="仿宋_GB2312" w:cs="Times New Roman"/>
              </w:rPr>
            </w:pPr>
            <w:r>
              <w:rPr>
                <w:rFonts w:hint="eastAsia" w:ascii="宋体" w:hAnsi="宋体" w:eastAsia="宋体" w:cs="宋体"/>
                <w:color w:val="000000"/>
                <w:kern w:val="0"/>
                <w:sz w:val="22"/>
              </w:rPr>
              <w:t xml:space="preserve">185.64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p>
    <w:p>
      <w:pPr>
        <w:widowControl/>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262.77</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73.81</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188.96</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201</w:t>
            </w:r>
          </w:p>
        </w:tc>
        <w:tc>
          <w:tcPr>
            <w:tcW w:w="1337"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0.57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0.57</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20199</w:t>
            </w:r>
          </w:p>
        </w:tc>
        <w:tc>
          <w:tcPr>
            <w:tcW w:w="1337"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其他一般公共服务支出</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0.57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0.57</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2019999</w:t>
            </w:r>
          </w:p>
        </w:tc>
        <w:tc>
          <w:tcPr>
            <w:tcW w:w="1337"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其他一般公共服务支出</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0.57</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0.57</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205</w:t>
            </w:r>
          </w:p>
        </w:tc>
        <w:tc>
          <w:tcPr>
            <w:tcW w:w="1337"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教育支出</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0.45</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0.45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20501</w:t>
            </w:r>
          </w:p>
        </w:tc>
        <w:tc>
          <w:tcPr>
            <w:tcW w:w="1337"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教育管理事务</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0.45 </w:t>
            </w:r>
          </w:p>
        </w:tc>
        <w:tc>
          <w:tcPr>
            <w:tcW w:w="1334"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0.45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2050101</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行政运行</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0.45 </w:t>
            </w:r>
          </w:p>
        </w:tc>
        <w:tc>
          <w:tcPr>
            <w:tcW w:w="1334"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0.45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208</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社会保障和就业支出</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5.77</w:t>
            </w:r>
          </w:p>
        </w:tc>
        <w:tc>
          <w:tcPr>
            <w:tcW w:w="1334"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5.77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20805</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行政事业单位养老支出</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5.77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5.77</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2080505</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机关事业单位基本养老保险缴费支出</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5.77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5.77</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210</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卫生健康支出</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3.76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3.19</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0.57</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21011</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行政事业单位医疗</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3.19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3.19</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2101102</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事业单位医疗</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3.19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3.19</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21015</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医疗保障管理事务</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0.57</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0.57</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2101599</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其他医疗保障管理事务支出</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rPr>
              <w:t xml:space="preserve">0.57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0.57</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农林水支出</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252.22</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64.40</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187.82</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21301</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农业农村</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64.40</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64.40</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2130104</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事业运行</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 xml:space="preserve">64.40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64.40</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2130199</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其他农业农村支出</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 xml:space="preserve">2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21302</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林业和草原</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 xml:space="preserve">0.18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0.18</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2130209</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森林生态效益补偿</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 xml:space="preserve">0.18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0.18</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21399</w:t>
            </w:r>
          </w:p>
        </w:tc>
        <w:tc>
          <w:tcPr>
            <w:tcW w:w="1337" w:type="dxa"/>
            <w:tcBorders>
              <w:top w:val="nil"/>
              <w:left w:val="nil"/>
              <w:bottom w:val="nil"/>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其他农林水支出</w:t>
            </w:r>
          </w:p>
        </w:tc>
        <w:tc>
          <w:tcPr>
            <w:tcW w:w="1877" w:type="dxa"/>
            <w:tcBorders>
              <w:top w:val="nil"/>
              <w:left w:val="nil"/>
              <w:bottom w:val="nil"/>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 xml:space="preserve">185.64 </w:t>
            </w: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185.64</w:t>
            </w:r>
          </w:p>
        </w:tc>
        <w:tc>
          <w:tcPr>
            <w:tcW w:w="660"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2139999</w:t>
            </w:r>
          </w:p>
        </w:tc>
        <w:tc>
          <w:tcPr>
            <w:tcW w:w="1337" w:type="dxa"/>
            <w:tcBorders>
              <w:top w:val="nil"/>
              <w:left w:val="nil"/>
              <w:bottom w:val="single" w:color="auto" w:sz="4" w:space="0"/>
              <w:right w:val="single" w:color="auto" w:sz="4" w:space="0"/>
            </w:tcBorders>
            <w:shd w:val="clear" w:color="000000" w:fill="FFFFFF"/>
            <w:noWrap/>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其他农林水支出</w:t>
            </w:r>
          </w:p>
        </w:tc>
        <w:tc>
          <w:tcPr>
            <w:tcW w:w="1877" w:type="dxa"/>
            <w:tcBorders>
              <w:top w:val="nil"/>
              <w:left w:val="nil"/>
              <w:bottom w:val="single" w:color="auto" w:sz="4" w:space="0"/>
              <w:right w:val="single" w:color="auto" w:sz="4" w:space="0"/>
            </w:tcBorders>
            <w:shd w:val="clear" w:color="auto" w:fill="auto"/>
            <w:noWrap/>
            <w:vAlign w:val="center"/>
          </w:tcPr>
          <w:p>
            <w:pPr>
              <w:widowControl/>
              <w:jc w:val="right"/>
              <w:textAlignment w:val="center"/>
              <w:rPr>
                <w:rFonts w:ascii="宋体" w:hAnsi="宋体" w:eastAsia="宋体" w:cs="宋体"/>
                <w:color w:val="000000"/>
                <w:kern w:val="0"/>
                <w:sz w:val="22"/>
              </w:rPr>
            </w:pPr>
            <w:r>
              <w:rPr>
                <w:rFonts w:hint="eastAsia" w:ascii="宋体" w:hAnsi="宋体" w:eastAsia="宋体" w:cs="宋体"/>
                <w:color w:val="000000"/>
                <w:kern w:val="0"/>
                <w:sz w:val="22"/>
              </w:rPr>
              <w:t xml:space="preserve">185.64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185.64</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730"/>
        <w:gridCol w:w="1671"/>
        <w:gridCol w:w="1793"/>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262.77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五</w:t>
            </w:r>
            <w:r>
              <w:rPr>
                <w:rFonts w:ascii="Times New Roman" w:hAnsi="Times New Roman" w:eastAsia="仿宋_GB2312" w:cs="Times New Roman"/>
                <w:kern w:val="0"/>
                <w:sz w:val="22"/>
              </w:rPr>
              <w:t>、</w:t>
            </w:r>
            <w:r>
              <w:rPr>
                <w:rFonts w:hint="eastAsia" w:ascii="Times New Roman" w:hAnsi="Times New Roman" w:eastAsia="仿宋_GB2312" w:cs="Times New Roman"/>
                <w:kern w:val="0"/>
                <w:sz w:val="22"/>
              </w:rPr>
              <w:t>教育</w:t>
            </w:r>
            <w:r>
              <w:rPr>
                <w:rFonts w:ascii="Times New Roman" w:hAnsi="Times New Roman" w:eastAsia="仿宋_GB2312" w:cs="Times New Roman"/>
                <w:kern w:val="0"/>
                <w:sz w:val="22"/>
              </w:rPr>
              <w:t>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0.45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0.45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3.76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252.22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252.22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262.77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262.77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262.77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 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2"/>
              </w:rPr>
              <w:t>262.77</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73.81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188.96</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w:t>
            </w:r>
          </w:p>
        </w:tc>
        <w:tc>
          <w:tcPr>
            <w:tcW w:w="3527"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0.57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20199</w:t>
            </w:r>
          </w:p>
        </w:tc>
        <w:tc>
          <w:tcPr>
            <w:tcW w:w="3527"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0.57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2019999</w:t>
            </w:r>
          </w:p>
        </w:tc>
        <w:tc>
          <w:tcPr>
            <w:tcW w:w="3527"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0.57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205</w:t>
            </w:r>
          </w:p>
        </w:tc>
        <w:tc>
          <w:tcPr>
            <w:tcW w:w="3527"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教育支出</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0.45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20501</w:t>
            </w:r>
          </w:p>
        </w:tc>
        <w:tc>
          <w:tcPr>
            <w:tcW w:w="3527" w:type="dxa"/>
            <w:tcBorders>
              <w:top w:val="nil"/>
              <w:left w:val="nil"/>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教育管理事务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0.45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2050101</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行政运行</w:t>
            </w:r>
          </w:p>
        </w:tc>
        <w:tc>
          <w:tcPr>
            <w:tcW w:w="3000"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0.45</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3000"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5.77</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3000"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5.77</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机关事业单位基本养老保险缴费支出</w:t>
            </w:r>
          </w:p>
        </w:tc>
        <w:tc>
          <w:tcPr>
            <w:tcW w:w="3000"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5.77</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3000"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3.76</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3000"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3.19</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2101102</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事业单位医疗</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3.19</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21015</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医疗保障管理事务</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0.57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2101599</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其他医疗保障管理事务支出</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0.57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农林水支出</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64.40</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187.82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21301</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农业农村</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64.40</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2130104</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事业运行</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64.40</w:t>
            </w: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2130199</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其他农业农村支出</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21302</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林业和草原</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2130209</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森林生态效益补偿</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0.18</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21399</w:t>
            </w:r>
          </w:p>
        </w:tc>
        <w:tc>
          <w:tcPr>
            <w:tcW w:w="3527" w:type="dxa"/>
            <w:tcBorders>
              <w:top w:val="nil"/>
              <w:left w:val="nil"/>
              <w:bottom w:val="nil"/>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其他农林水支出</w:t>
            </w:r>
          </w:p>
        </w:tc>
        <w:tc>
          <w:tcPr>
            <w:tcW w:w="3000" w:type="dxa"/>
            <w:tcBorders>
              <w:top w:val="nil"/>
              <w:left w:val="nil"/>
              <w:bottom w:val="nil"/>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nil"/>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185.64</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2139999</w:t>
            </w:r>
          </w:p>
        </w:tc>
        <w:tc>
          <w:tcPr>
            <w:tcW w:w="3527" w:type="dxa"/>
            <w:tcBorders>
              <w:top w:val="nil"/>
              <w:left w:val="nil"/>
              <w:bottom w:val="single" w:color="auto" w:sz="8" w:space="0"/>
              <w:right w:val="single" w:color="auto" w:sz="4" w:space="0"/>
            </w:tcBorders>
            <w:shd w:val="clear" w:color="auto" w:fill="auto"/>
            <w:vAlign w:val="center"/>
          </w:tcPr>
          <w:p>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其他农林水支出</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185.64</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61.89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11.92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35.39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2.44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2.58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14.96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5.77</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3.19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1.69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1.42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0.4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2.67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61.89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rPr>
              <w:t>11.92</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0.6</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0.6</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0.4</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0.2</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0.6</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0.2</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pPr>
        <w:widowControl/>
        <w:spacing w:line="560" w:lineRule="exact"/>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年度收、支总计262.77万元。与上年相比，减少219.99万元，降低</w:t>
      </w:r>
      <w:r>
        <w:rPr>
          <w:rFonts w:hint="eastAsia" w:ascii="Times New Roman" w:hAnsi="Times New Roman" w:eastAsia="仿宋_GB2312" w:cs="Times New Roman"/>
          <w:sz w:val="32"/>
          <w:szCs w:val="32"/>
        </w:rPr>
        <w:t>45.57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上年度有项目资金下达，本年度相关资金减少，人员也有所减少，收支规模相应缩减。</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农场日常运转等重点支出，体现在有关支出科目中。</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262.77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262.77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262.77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73.81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28.09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188.96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71.91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年度财政拨款收、支总计262.77万元，与上年相比，减少219.99万元,降低</w:t>
      </w:r>
      <w:r>
        <w:rPr>
          <w:rFonts w:hint="eastAsia" w:ascii="Times New Roman" w:hAnsi="Times New Roman" w:eastAsia="仿宋_GB2312" w:cs="Times New Roman"/>
          <w:sz w:val="32"/>
          <w:szCs w:val="32"/>
        </w:rPr>
        <w:t>45.57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上年度有项目资金下达，本年度相关资金减少，人员也有所减少，收支规模相应缩减。</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56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262.77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rPr>
        <w:t>219.99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45.57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上年度有项目资金下达，本年度相关资金减少，人员也有所减少，财政拨款支出相应下降。</w:t>
      </w:r>
    </w:p>
    <w:p>
      <w:pPr>
        <w:pStyle w:val="13"/>
        <w:overflowPunct w:val="0"/>
        <w:autoSpaceDE/>
        <w:autoSpaceDN/>
        <w:spacing w:line="56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262.77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0.57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0.22</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rPr>
        <w:t>0.45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0.17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社会保障和就业支出5.77万元，占2.20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卫生健康支出3.76万元，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rPr>
        <w:t>1.43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农林水支出252.22万元，占95.99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13"/>
        <w:overflowPunct w:val="0"/>
        <w:autoSpaceDE/>
        <w:autoSpaceDN/>
        <w:spacing w:line="56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686.81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262.77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38.26</w:t>
      </w:r>
      <w:r>
        <w:rPr>
          <w:rFonts w:ascii="Times New Roman" w:hAnsi="Times New Roman" w:eastAsia="仿宋_GB2312" w:cs="Times New Roman"/>
          <w:sz w:val="32"/>
          <w:szCs w:val="32"/>
        </w:rPr>
        <w:t>%，其中：</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5.8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272.07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年中调剂追加部分运行保障经费。</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2、社会保障和就业（类）行政事业单位养老支出（款）机关事业单位基本养老保险缴费支出（项）。</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年初预算为508.38万元，支出决算为5.77万元，完成年初预算的1.13%，决算数小于年初预算数的主要原因是部分养老缴费预算指标调剂调出，实际支出相应减少。</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3、卫生健康（类）行政事业单位医疗（款）行政单位医疗（项）。</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年初预算为69.03万元，支出决算为3.76万元，完成年初预算的5.45%，决算数小于年初预算数的主要原因是医疗相关预算指标调剂调出，实际支出相应减少。</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4、农林水（类）农业农村（款）事业运行（项）。</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年初预算为160.29万元，支出决算为235.22万元，完成年初预算的146.75%，决算数大于年初预算数的主要原因是年中追加果园管护、护林、农场运维相关经费。</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农林水方面的支出规模较大（占财政拨款支出总额的比重较高），主要是：2025年度决算数为235.22万元，占财政拨款支出总额的89.52%，主要用于果园管护、护林巡护、农场事业运行保障等方面。</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73.81</w:t>
      </w:r>
      <w:r>
        <w:rPr>
          <w:rFonts w:ascii="Times New Roman" w:hAnsi="Times New Roman" w:eastAsia="仿宋_GB2312" w:cs="Times New Roman"/>
          <w:sz w:val="32"/>
          <w:szCs w:val="32"/>
        </w:rPr>
        <w:t>万元，其中：</w:t>
      </w:r>
    </w:p>
    <w:p>
      <w:pPr>
        <w:pStyle w:val="13"/>
        <w:overflowPunct w:val="0"/>
        <w:autoSpaceDE/>
        <w:autoSpaceDN/>
        <w:spacing w:line="56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61.89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83.85</w:t>
      </w:r>
      <w:r>
        <w:rPr>
          <w:rFonts w:ascii="Times New Roman" w:hAnsi="Times New Roman" w:eastAsia="仿宋_GB2312" w:cs="Times New Roman"/>
          <w:sz w:val="32"/>
          <w:szCs w:val="32"/>
        </w:rPr>
        <w:t>%,主要包括基本工资、津贴补贴、奖金、机关事业单位基本养老保</w:t>
      </w:r>
      <w:r>
        <w:rPr>
          <w:rFonts w:hint="eastAsia" w:ascii="Times New Roman" w:hAnsi="Times New Roman" w:eastAsia="仿宋_GB2312" w:cs="Times New Roman"/>
          <w:sz w:val="32"/>
          <w:szCs w:val="32"/>
        </w:rPr>
        <w:t>险、</w:t>
      </w:r>
      <w:r>
        <w:rPr>
          <w:rFonts w:ascii="Times New Roman" w:hAnsi="Times New Roman" w:eastAsia="仿宋_GB2312" w:cs="Times New Roman"/>
          <w:sz w:val="32"/>
          <w:szCs w:val="32"/>
        </w:rPr>
        <w:t>职工基本医疗保险缴费。</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11.92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16.15</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rPr>
        <w:t>、差旅费、公务接待费、劳务费、工会经费、公务用车运行维护费、其他交通费用、其他商品和服务支出费</w:t>
      </w:r>
      <w:r>
        <w:rPr>
          <w:rFonts w:ascii="Times New Roman" w:hAnsi="Times New Roman" w:eastAsia="仿宋_GB2312" w:cs="Times New Roman"/>
          <w:sz w:val="32"/>
          <w:szCs w:val="32"/>
        </w:rPr>
        <w:t>。</w:t>
      </w:r>
    </w:p>
    <w:p>
      <w:pPr>
        <w:pStyle w:val="13"/>
        <w:overflowPunct w:val="0"/>
        <w:autoSpaceDE/>
        <w:autoSpaceDN/>
        <w:spacing w:line="56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3"/>
        <w:overflowPunct w:val="0"/>
        <w:autoSpaceDE/>
        <w:autoSpaceDN/>
        <w:spacing w:line="56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1.68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73.68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严格按照预算指标执行</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严格落实过紧日子要求，厉行节约，从严控制三公经费等开支</w:t>
      </w:r>
      <w:r>
        <w:rPr>
          <w:rFonts w:ascii="Times New Roman" w:hAnsi="Times New Roman" w:eastAsia="仿宋_GB2312" w:cs="Times New Roman"/>
          <w:sz w:val="32"/>
          <w:szCs w:val="32"/>
        </w:rPr>
        <w:t>。</w:t>
      </w:r>
    </w:p>
    <w:p>
      <w:pPr>
        <w:pStyle w:val="13"/>
        <w:overflowPunct w:val="0"/>
        <w:autoSpaceDE/>
        <w:autoSpaceDN/>
        <w:spacing w:line="56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rPr>
        <w:t>。</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55.56</w:t>
      </w:r>
      <w:r>
        <w:rPr>
          <w:rFonts w:ascii="Times New Roman" w:hAnsi="Times New Roman" w:eastAsia="仿宋_GB2312" w:cs="Times New Roman"/>
          <w:sz w:val="32"/>
          <w:szCs w:val="32"/>
        </w:rPr>
        <w:t>%。其中：</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rPr>
        <w:t>。</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0.4</w:t>
      </w:r>
      <w:r>
        <w:rPr>
          <w:rFonts w:ascii="Times New Roman" w:hAnsi="Times New Roman" w:eastAsia="仿宋_GB2312" w:cs="Times New Roman"/>
          <w:sz w:val="32"/>
          <w:szCs w:val="32"/>
        </w:rPr>
        <w:t>万元，</w:t>
      </w:r>
    </w:p>
    <w:p>
      <w:pPr>
        <w:pStyle w:val="13"/>
        <w:overflowPunct w:val="0"/>
        <w:autoSpaceDE/>
        <w:autoSpaceDN/>
        <w:spacing w:line="56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公务车保险、维修保养等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55.56</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严格按照预算指标执行</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辆。</w:t>
      </w:r>
      <w:r>
        <w:rPr>
          <w:rFonts w:ascii="Times New Roman" w:hAnsi="Times New Roman" w:eastAsia="楷体_GB2312" w:cs="Times New Roman"/>
          <w:b/>
          <w:bCs/>
          <w:i/>
          <w:color w:val="auto"/>
          <w:sz w:val="32"/>
          <w:szCs w:val="32"/>
        </w:rPr>
        <w:t>（三公经费支出口径应在专业名词解释中予以说明）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1.38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本单位无政府性基金收支</w:t>
      </w:r>
      <w:r>
        <w:rPr>
          <w:rFonts w:hint="eastAsia" w:ascii="Times New Roman" w:hAnsi="Times New Roman" w:eastAsia="仿宋_GB2312" w:cs="Times New Roman"/>
          <w:sz w:val="32"/>
          <w:szCs w:val="32"/>
        </w:rPr>
        <w:t>。</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本单位为公益类事业单位，无行政及参照公务员法管理编制，无机关运行经费支出。单位日常公用支出全部在部门基本支出公用经费中保障，主要用于办公耗材购置、水电、设施维修维护等日常运转开支。</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p>
    <w:p>
      <w:pPr>
        <w:pStyle w:val="13"/>
        <w:overflowPunct w:val="0"/>
        <w:autoSpaceDE/>
        <w:autoSpaceDN/>
        <w:spacing w:line="56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56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pPr>
        <w:pStyle w:val="13"/>
        <w:overflowPunct w:val="0"/>
        <w:autoSpaceDE/>
        <w:autoSpaceDN/>
        <w:spacing w:line="56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56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pPr>
        <w:pStyle w:val="13"/>
        <w:overflowPunct w:val="0"/>
        <w:autoSpaceDE/>
        <w:autoSpaceDN/>
        <w:spacing w:line="56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pPr>
        <w:overflowPunct w:val="0"/>
        <w:spacing w:line="56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个，共涉及资</w:t>
      </w:r>
      <w:r>
        <w:rPr>
          <w:rFonts w:hint="eastAsia" w:ascii="Times New Roman" w:hAnsi="Times New Roman" w:eastAsia="仿宋_GB2312" w:cs="Times New Roman"/>
          <w:kern w:val="0"/>
          <w:sz w:val="32"/>
          <w:szCs w:val="32"/>
        </w:rPr>
        <w:t>251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251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rPr>
        <w:t>48.85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rPr>
        <w:t>。</w:t>
      </w:r>
      <w:r>
        <w:rPr>
          <w:rFonts w:hint="eastAsia" w:ascii="Times New Roman" w:hAnsi="Times New Roman" w:eastAsia="仿宋_GB2312" w:cs="Times New Roman"/>
          <w:kern w:val="0"/>
          <w:sz w:val="32"/>
          <w:szCs w:val="32"/>
        </w:rPr>
        <w:t>无。</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rPr>
        <w:t>无。</w:t>
      </w:r>
    </w:p>
    <w:p>
      <w:pPr>
        <w:overflowPunct w:val="0"/>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251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251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84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良</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rPr>
        <w:t>保障农场日常运转，做好护林防火、安全生产、信访维稳、民生保障等工作，落实人员待遇保障</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完成屋顶光伏项目建设，建成318千瓦屋顶光伏项目，12月实现并网发电</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光伏项目年底才完成并网，当年发电收益时间短，项目收益尚未完全释放</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部分绩效指标设置不够细化，绩效监控精细化水平有待提高</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持续做好光伏项目运维管理，充分发挥项目长期收益效能</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科学设置绩效指标，强化预算执行全过程监控，切实提升财政资金使用效益</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rPr>
        <w:t>。</w:t>
      </w:r>
      <w:r>
        <w:rPr>
          <w:rFonts w:hint="eastAsia" w:ascii="Times New Roman" w:hAnsi="Times New Roman" w:eastAsia="仿宋_GB2312" w:cs="Times New Roman"/>
          <w:sz w:val="32"/>
          <w:szCs w:val="32"/>
        </w:rPr>
        <w:t>无。</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无。</w:t>
      </w:r>
    </w:p>
    <w:p>
      <w:pPr>
        <w:overflowPunct w:val="0"/>
        <w:spacing w:line="560" w:lineRule="exact"/>
        <w:ind w:firstLine="640" w:firstLineChars="200"/>
        <w:rPr>
          <w:rFonts w:ascii="Times New Roman" w:hAnsi="Times New Roman" w:eastAsia="楷体_GB2312" w:cs="Times New Roman"/>
          <w:sz w:val="72"/>
          <w:szCs w:val="72"/>
        </w:rPr>
      </w:pPr>
      <w:r>
        <w:rPr>
          <w:rFonts w:ascii="Times New Roman" w:hAnsi="Times New Roman" w:eastAsia="楷体_GB2312" w:cs="Times New Roman"/>
          <w:b/>
          <w:bCs/>
          <w:sz w:val="32"/>
          <w:szCs w:val="32"/>
        </w:rPr>
        <w:t>（三）评价结果应用情况。</w:t>
      </w:r>
      <w:r>
        <w:rPr>
          <w:rFonts w:hint="eastAsia" w:ascii="Times New Roman" w:hAnsi="Times New Roman" w:eastAsia="仿宋_GB2312" w:cs="Times New Roman"/>
          <w:kern w:val="0"/>
          <w:sz w:val="32"/>
          <w:szCs w:val="32"/>
        </w:rPr>
        <w:t>无。</w:t>
      </w: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both"/>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pPr>
        <w:widowControl/>
        <w:jc w:val="left"/>
        <w:rPr>
          <w:rFonts w:ascii="Times New Roman" w:hAnsi="Times New Roman" w:cs="Times New Roman"/>
          <w:color w:val="000000"/>
          <w:kern w:val="0"/>
          <w:sz w:val="32"/>
          <w:szCs w:val="32"/>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spacing w:line="570" w:lineRule="atLeast"/>
        <w:ind w:firstLine="640" w:firstLineChars="200"/>
        <w:rPr>
          <w:rFonts w:ascii="仿宋_GB2312" w:hAnsi="仿宋_GB2312" w:eastAsia="仿宋_GB2312" w:cs="仿宋_GB2312"/>
          <w:color w:val="000000"/>
          <w:sz w:val="32"/>
          <w:szCs w:val="32"/>
          <w:shd w:val="clear" w:color="auto" w:fill="FFFFFF"/>
        </w:rPr>
      </w:pPr>
    </w:p>
    <w:p>
      <w:pPr>
        <w:pStyle w:val="2"/>
        <w:rPr>
          <w:rFonts w:ascii="仿宋_GB2312" w:hAnsi="仿宋_GB2312" w:eastAsia="仿宋_GB2312" w:cs="仿宋_GB2312"/>
          <w:color w:val="000000"/>
          <w:sz w:val="32"/>
          <w:szCs w:val="32"/>
          <w:shd w:val="clear" w:color="auto" w:fill="FFFFFF"/>
        </w:rPr>
      </w:pPr>
    </w:p>
    <w:p>
      <w:pPr>
        <w:pStyle w:val="3"/>
        <w:rPr>
          <w:rFonts w:ascii="仿宋_GB2312" w:hAnsi="仿宋_GB2312" w:eastAsia="仿宋_GB2312" w:cs="仿宋_GB2312"/>
          <w:color w:val="000000"/>
          <w:sz w:val="32"/>
          <w:szCs w:val="32"/>
          <w:shd w:val="clear" w:color="auto" w:fill="FFFFFF"/>
        </w:rPr>
      </w:pPr>
    </w:p>
    <w:p>
      <w:pPr>
        <w:rPr>
          <w:rFonts w:ascii="仿宋_GB2312" w:hAnsi="仿宋_GB2312" w:eastAsia="仿宋_GB2312" w:cs="仿宋_GB2312"/>
          <w:color w:val="000000"/>
          <w:sz w:val="32"/>
          <w:szCs w:val="32"/>
          <w:shd w:val="clear" w:color="auto" w:fill="FFFFFF"/>
        </w:rPr>
      </w:pPr>
    </w:p>
    <w:p>
      <w:pPr>
        <w:pStyle w:val="2"/>
        <w:rPr>
          <w:rFonts w:ascii="仿宋_GB2312" w:hAnsi="仿宋_GB2312" w:eastAsia="仿宋_GB2312" w:cs="仿宋_GB2312"/>
          <w:color w:val="000000"/>
          <w:sz w:val="32"/>
          <w:szCs w:val="32"/>
          <w:shd w:val="clear" w:color="auto" w:fill="FFFFFF"/>
        </w:rPr>
      </w:pPr>
    </w:p>
    <w:p>
      <w:pPr>
        <w:pStyle w:val="3"/>
        <w:rPr>
          <w:rFonts w:ascii="仿宋_GB2312" w:hAnsi="仿宋_GB2312" w:eastAsia="仿宋_GB2312" w:cs="仿宋_GB2312"/>
          <w:color w:val="000000"/>
          <w:sz w:val="32"/>
          <w:szCs w:val="32"/>
          <w:shd w:val="clear" w:color="auto" w:fill="FFFFFF"/>
        </w:rPr>
      </w:pPr>
    </w:p>
    <w:p>
      <w:pPr>
        <w:rPr>
          <w:rFonts w:ascii="仿宋_GB2312" w:hAnsi="仿宋_GB2312" w:eastAsia="仿宋_GB2312" w:cs="仿宋_GB2312"/>
          <w:color w:val="000000"/>
          <w:sz w:val="32"/>
          <w:szCs w:val="32"/>
          <w:shd w:val="clear" w:color="auto" w:fill="FFFFFF"/>
        </w:rPr>
      </w:pPr>
    </w:p>
    <w:p>
      <w:pPr>
        <w:pStyle w:val="2"/>
        <w:rPr>
          <w:rFonts w:ascii="仿宋_GB2312" w:hAnsi="仿宋_GB2312" w:eastAsia="仿宋_GB2312" w:cs="仿宋_GB2312"/>
          <w:color w:val="000000"/>
          <w:sz w:val="32"/>
          <w:szCs w:val="32"/>
          <w:shd w:val="clear" w:color="auto" w:fill="FFFFFF"/>
        </w:rPr>
      </w:pPr>
    </w:p>
    <w:p/>
    <w:p>
      <w:pPr>
        <w:spacing w:line="570" w:lineRule="atLeast"/>
        <w:ind w:firstLine="640"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pPr>
        <w:pStyle w:val="13"/>
        <w:rPr>
          <w:rFonts w:ascii="Times New Roman" w:hAnsi="Times New Roman" w:cs="Times New Roman"/>
          <w:sz w:val="72"/>
          <w:szCs w:val="72"/>
        </w:rPr>
      </w:pPr>
      <w:r>
        <w:rPr>
          <w:rFonts w:hint="eastAsia" w:ascii="仿宋_GB2312" w:hAnsi="仿宋_GB2312" w:eastAsia="仿宋_GB2312" w:cs="仿宋_GB2312"/>
          <w:sz w:val="32"/>
          <w:szCs w:val="32"/>
          <w:shd w:val="clear" w:color="auto" w:fill="FFFFFF"/>
        </w:rPr>
        <w:tab/>
      </w:r>
      <w:r>
        <w:rPr>
          <w:rFonts w:hint="eastAsia" w:ascii="仿宋_GB2312" w:hAnsi="仿宋_GB2312" w:eastAsia="仿宋_GB2312" w:cs="仿宋_GB2312"/>
          <w:sz w:val="32"/>
          <w:szCs w:val="32"/>
          <w:shd w:val="clear" w:color="auto" w:fill="FFFFFF"/>
        </w:rPr>
        <w:tab/>
      </w:r>
      <w:r>
        <w:rPr>
          <w:rFonts w:hint="eastAsia" w:ascii="仿宋_GB2312" w:hAnsi="仿宋_GB2312" w:eastAsia="仿宋_GB2312" w:cs="仿宋_GB2312"/>
          <w:sz w:val="32"/>
          <w:szCs w:val="32"/>
          <w:shd w:val="clear" w:color="auto" w:fill="FFFFFF"/>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w:t>
      </w: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p>
      <w:pPr>
        <w:spacing w:line="560" w:lineRule="exact"/>
        <w:ind w:left="160" w:firstLine="640" w:firstLineChars="200"/>
        <w:rPr>
          <w:rFonts w:ascii="黑体" w:hAnsi="黑体" w:eastAsia="黑体" w:cs="黑体"/>
          <w:b/>
          <w:bCs/>
          <w:sz w:val="32"/>
          <w:szCs w:val="32"/>
        </w:rPr>
      </w:pPr>
      <w:r>
        <w:rPr>
          <w:rFonts w:hint="eastAsia" w:ascii="黑体" w:hAnsi="黑体" w:eastAsia="黑体" w:cs="黑体"/>
          <w:b/>
          <w:bCs/>
          <w:sz w:val="32"/>
          <w:szCs w:val="32"/>
        </w:rPr>
        <w:t>一、基本情况</w:t>
      </w:r>
    </w:p>
    <w:p>
      <w:pPr>
        <w:spacing w:line="56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（一）部门（单位）基本情况</w:t>
      </w:r>
    </w:p>
    <w:p>
      <w:pPr>
        <w:widowControl/>
        <w:spacing w:line="560" w:lineRule="exact"/>
        <w:ind w:firstLine="640" w:firstLineChars="200"/>
        <w:jc w:val="left"/>
        <w:rPr>
          <w:rFonts w:ascii="仿宋" w:hAnsi="仿宋" w:eastAsia="仿宋" w:cs="仿宋"/>
          <w:b/>
          <w:sz w:val="32"/>
          <w:szCs w:val="32"/>
        </w:rPr>
      </w:pPr>
      <w:r>
        <w:rPr>
          <w:rFonts w:hint="eastAsia" w:ascii="仿宋" w:hAnsi="仿宋" w:eastAsia="仿宋" w:cs="仿宋"/>
          <w:b/>
          <w:sz w:val="32"/>
          <w:szCs w:val="32"/>
        </w:rPr>
        <w:t>1、职能职责</w:t>
      </w:r>
    </w:p>
    <w:p>
      <w:pPr>
        <w:spacing w:line="560" w:lineRule="exact"/>
        <w:ind w:firstLine="640" w:firstLineChars="200"/>
      </w:pPr>
      <w:r>
        <w:rPr>
          <w:rFonts w:hint="eastAsia" w:eastAsia="仿宋_GB2312"/>
          <w:sz w:val="32"/>
          <w:szCs w:val="32"/>
        </w:rPr>
        <w:t>根据县委、县政府关于国营道县大坪铺农场改革发展的实施意见（道发（2018）27号）精神，农场主要工作职责：贯彻实施中央、省、市、县有关农垦工作的方针政策，落实县委政府的决策部署，协调相关部门管理好社会经济事务。</w:t>
      </w:r>
    </w:p>
    <w:p>
      <w:pPr>
        <w:widowControl/>
        <w:spacing w:line="560" w:lineRule="exact"/>
        <w:ind w:firstLine="640" w:firstLineChars="200"/>
        <w:jc w:val="left"/>
        <w:rPr>
          <w:rFonts w:ascii="仿宋" w:hAnsi="仿宋" w:eastAsia="仿宋" w:cs="仿宋"/>
          <w:b/>
          <w:sz w:val="32"/>
          <w:szCs w:val="32"/>
        </w:rPr>
      </w:pPr>
      <w:r>
        <w:rPr>
          <w:rFonts w:hint="eastAsia" w:ascii="仿宋" w:hAnsi="仿宋" w:eastAsia="仿宋" w:cs="仿宋"/>
          <w:b/>
          <w:sz w:val="32"/>
          <w:szCs w:val="32"/>
        </w:rPr>
        <w:t>2、机构设置</w:t>
      </w:r>
    </w:p>
    <w:p>
      <w:pPr>
        <w:spacing w:line="560" w:lineRule="exact"/>
        <w:ind w:firstLine="640" w:firstLineChars="200"/>
        <w:rPr>
          <w:rFonts w:eastAsia="仿宋_GB2312"/>
          <w:sz w:val="32"/>
          <w:szCs w:val="32"/>
        </w:rPr>
      </w:pPr>
      <w:r>
        <w:rPr>
          <w:rFonts w:hint="eastAsia" w:eastAsia="仿宋_GB2312"/>
          <w:sz w:val="32"/>
          <w:szCs w:val="32"/>
        </w:rPr>
        <w:t>①内设机构设置。我单位为正科级全额拨款事业单位，现有在职人员4人，编制数为11名。道县大坪铺农场内设机构包括：办公室、财务室2个职能部门。</w:t>
      </w:r>
    </w:p>
    <w:p>
      <w:pPr>
        <w:spacing w:line="560" w:lineRule="exact"/>
        <w:ind w:firstLine="640" w:firstLineChars="200"/>
      </w:pPr>
      <w:r>
        <w:rPr>
          <w:rFonts w:hint="eastAsia" w:ascii="仿宋" w:hAnsi="仿宋" w:eastAsia="仿宋" w:cs="仿宋"/>
          <w:b/>
          <w:bCs/>
          <w:sz w:val="32"/>
          <w:szCs w:val="32"/>
        </w:rPr>
        <w:t>（二）部门（单位）年度整体支出绩效目标</w:t>
      </w:r>
    </w:p>
    <w:p>
      <w:pPr>
        <w:spacing w:line="560" w:lineRule="exact"/>
        <w:ind w:firstLine="640" w:firstLineChars="200"/>
        <w:rPr>
          <w:rFonts w:eastAsia="仿宋_GB2312"/>
          <w:sz w:val="32"/>
          <w:szCs w:val="32"/>
        </w:rPr>
      </w:pPr>
      <w:r>
        <w:rPr>
          <w:rFonts w:hint="eastAsia" w:eastAsia="仿宋_GB2312"/>
          <w:sz w:val="32"/>
          <w:szCs w:val="32"/>
        </w:rPr>
        <w:t>1、保障单位各项职能的正常运转，提升工作效率和服务质量。</w:t>
      </w:r>
    </w:p>
    <w:p>
      <w:pPr>
        <w:spacing w:line="560" w:lineRule="exact"/>
        <w:ind w:firstLine="640" w:firstLineChars="200"/>
        <w:rPr>
          <w:rFonts w:eastAsia="仿宋_GB2312"/>
          <w:sz w:val="32"/>
          <w:szCs w:val="32"/>
        </w:rPr>
      </w:pPr>
      <w:r>
        <w:rPr>
          <w:rFonts w:hint="eastAsia" w:eastAsia="仿宋_GB2312"/>
          <w:sz w:val="32"/>
          <w:szCs w:val="32"/>
        </w:rPr>
        <w:t>2、有效推动单位重点工作任务和战略目标的实现，高质量完成屋顶光伏重点项目建设，拓宽农场经营性收入来源。</w:t>
      </w:r>
    </w:p>
    <w:p>
      <w:pPr>
        <w:spacing w:line="560" w:lineRule="exact"/>
        <w:ind w:firstLine="640" w:firstLineChars="200"/>
        <w:rPr>
          <w:rFonts w:eastAsia="仿宋_GB2312"/>
          <w:sz w:val="32"/>
          <w:szCs w:val="32"/>
        </w:rPr>
      </w:pPr>
      <w:r>
        <w:rPr>
          <w:rFonts w:hint="eastAsia" w:eastAsia="仿宋_GB2312"/>
          <w:sz w:val="32"/>
          <w:szCs w:val="32"/>
        </w:rPr>
        <w:t>3、加强内部管理，提高资源利用效率，确保财政资金合理规范使用。</w:t>
      </w:r>
    </w:p>
    <w:p>
      <w:p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二、一般公共预算支出情况</w:t>
      </w:r>
    </w:p>
    <w:p>
      <w:pPr>
        <w:spacing w:line="56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（一）基本支出情况</w:t>
      </w:r>
    </w:p>
    <w:p>
      <w:pPr>
        <w:spacing w:line="560" w:lineRule="exact"/>
        <w:ind w:firstLine="640" w:firstLineChars="200"/>
        <w:rPr>
          <w:rFonts w:eastAsia="仿宋_GB2312"/>
          <w:sz w:val="32"/>
          <w:szCs w:val="32"/>
        </w:rPr>
      </w:pPr>
      <w:r>
        <w:rPr>
          <w:rFonts w:hint="eastAsia" w:eastAsia="仿宋_GB2312"/>
          <w:sz w:val="32"/>
          <w:szCs w:val="32"/>
        </w:rPr>
        <w:t>基本支出用于为保障机构正常运转、完成日常工作任务而发生的支出，包括人员经费和公用经费。全年基本支出262.77万元。其中：人员经费支出248.42万元；日常公用经费支出14.35万元。</w:t>
      </w:r>
    </w:p>
    <w:p>
      <w:pPr>
        <w:spacing w:line="560" w:lineRule="exact"/>
        <w:ind w:firstLine="640" w:firstLineChars="200"/>
        <w:rPr>
          <w:rFonts w:ascii="仿宋" w:hAnsi="仿宋" w:eastAsia="仿宋" w:cs="仿宋"/>
          <w:b/>
          <w:bCs/>
          <w:sz w:val="32"/>
          <w:szCs w:val="32"/>
        </w:rPr>
      </w:pPr>
      <w:r>
        <w:rPr>
          <w:rFonts w:hint="eastAsia" w:ascii="仿宋" w:hAnsi="仿宋" w:eastAsia="仿宋" w:cs="仿宋"/>
          <w:b/>
          <w:bCs/>
          <w:sz w:val="32"/>
          <w:szCs w:val="32"/>
        </w:rPr>
        <w:t>（二）项目支出情况</w:t>
      </w:r>
    </w:p>
    <w:p>
      <w:pPr>
        <w:spacing w:line="560" w:lineRule="exact"/>
        <w:ind w:firstLine="640" w:firstLineChars="200"/>
        <w:rPr>
          <w:rFonts w:eastAsia="仿宋_GB2312"/>
          <w:sz w:val="32"/>
          <w:szCs w:val="32"/>
        </w:rPr>
      </w:pPr>
      <w:r>
        <w:rPr>
          <w:rFonts w:hint="eastAsia" w:eastAsia="仿宋_GB2312"/>
          <w:sz w:val="32"/>
          <w:szCs w:val="32"/>
        </w:rPr>
        <w:t>2025年度实施屋顶光伏建设项目，项目资金251万元，属于一般公共预算项目支出。主要用于800㎡光伏厂房建设，购置安装318千瓦光伏发电设备，12月完成并网发电，着力破解农场经费保障难题。</w:t>
      </w:r>
    </w:p>
    <w:p>
      <w:pPr>
        <w:numPr>
          <w:ilvl w:val="0"/>
          <w:numId w:val="1"/>
        </w:num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政府性基金预算支出情况</w:t>
      </w:r>
    </w:p>
    <w:p>
      <w:pPr>
        <w:spacing w:line="560" w:lineRule="exact"/>
        <w:ind w:firstLine="640" w:firstLineChars="200"/>
      </w:pPr>
      <w:r>
        <w:rPr>
          <w:rFonts w:hint="eastAsia" w:eastAsia="仿宋_GB2312"/>
          <w:sz w:val="32"/>
          <w:szCs w:val="32"/>
        </w:rPr>
        <w:t>2025年本部门无政府性基金安排的支出</w:t>
      </w:r>
      <w:r>
        <w:rPr>
          <w:rFonts w:hint="eastAsia"/>
        </w:rPr>
        <w:t>。</w:t>
      </w:r>
    </w:p>
    <w:p>
      <w:p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四、国有资本经营预算支出情况</w:t>
      </w:r>
    </w:p>
    <w:p>
      <w:pPr>
        <w:spacing w:line="560" w:lineRule="exact"/>
        <w:ind w:firstLine="640" w:firstLineChars="200"/>
      </w:pPr>
      <w:r>
        <w:rPr>
          <w:rFonts w:hint="eastAsia" w:eastAsia="仿宋_GB2312"/>
          <w:sz w:val="32"/>
          <w:szCs w:val="32"/>
        </w:rPr>
        <w:t>2025年本部门无国有资本经营安排的支出。</w:t>
      </w:r>
    </w:p>
    <w:p>
      <w:p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五、社会保险基金预算支出情况</w:t>
      </w:r>
    </w:p>
    <w:p>
      <w:pPr>
        <w:spacing w:line="560" w:lineRule="exact"/>
        <w:ind w:firstLine="640" w:firstLineChars="200"/>
        <w:rPr>
          <w:rFonts w:eastAsia="仿宋_GB2312"/>
          <w:sz w:val="32"/>
          <w:szCs w:val="32"/>
        </w:rPr>
      </w:pPr>
      <w:r>
        <w:rPr>
          <w:rFonts w:hint="eastAsia" w:eastAsia="仿宋_GB2312"/>
          <w:sz w:val="32"/>
          <w:szCs w:val="32"/>
        </w:rPr>
        <w:t>2025年本部门无社会保险基金安排的支出。</w:t>
      </w:r>
    </w:p>
    <w:p>
      <w:p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六、部门整体支出绩效情况</w:t>
      </w:r>
    </w:p>
    <w:p>
      <w:pPr>
        <w:spacing w:line="560" w:lineRule="exact"/>
        <w:ind w:firstLine="640" w:firstLineChars="200"/>
        <w:rPr>
          <w:rFonts w:eastAsia="仿宋_GB2312"/>
          <w:sz w:val="32"/>
          <w:szCs w:val="32"/>
        </w:rPr>
      </w:pPr>
      <w:r>
        <w:rPr>
          <w:rFonts w:hint="eastAsia" w:eastAsia="仿宋_GB2312"/>
          <w:b/>
          <w:bCs/>
          <w:sz w:val="32"/>
          <w:szCs w:val="32"/>
        </w:rPr>
        <w:t>一般公共预算支出绩效目标完成情况：</w:t>
      </w:r>
      <w:r>
        <w:rPr>
          <w:rFonts w:hint="eastAsia" w:eastAsia="仿宋_GB2312"/>
          <w:sz w:val="32"/>
          <w:szCs w:val="32"/>
        </w:rPr>
        <w:t>保障农场基本运营，人员经费、办公经费等目标基本达成；顺利完成屋顶光伏项目建设并实现并网发电，拓展农场经营性收入渠道。</w:t>
      </w:r>
    </w:p>
    <w:p>
      <w:pPr>
        <w:spacing w:line="560" w:lineRule="exact"/>
        <w:ind w:firstLine="640" w:firstLineChars="200"/>
        <w:rPr>
          <w:rFonts w:eastAsia="仿宋_GB2312"/>
          <w:sz w:val="32"/>
          <w:szCs w:val="32"/>
        </w:rPr>
      </w:pPr>
    </w:p>
    <w:p>
      <w:pPr>
        <w:spacing w:line="560" w:lineRule="exact"/>
        <w:ind w:firstLine="640" w:firstLineChars="200"/>
        <w:rPr>
          <w:rFonts w:eastAsia="仿宋_GB2312"/>
          <w:sz w:val="32"/>
          <w:szCs w:val="32"/>
        </w:rPr>
      </w:pPr>
      <w:r>
        <w:rPr>
          <w:rFonts w:hint="eastAsia" w:eastAsia="仿宋_GB2312"/>
          <w:b/>
          <w:bCs/>
          <w:sz w:val="32"/>
          <w:szCs w:val="32"/>
        </w:rPr>
        <w:t>实现产出：</w:t>
      </w:r>
      <w:r>
        <w:rPr>
          <w:rFonts w:hint="eastAsia" w:eastAsia="仿宋_GB2312"/>
          <w:sz w:val="32"/>
          <w:szCs w:val="32"/>
        </w:rPr>
        <w:t>维持了农场日常工作的稳定运转；完成318千瓦屋顶光伏项目建设，设备安装调试到位，12月实现并网发电。</w:t>
      </w:r>
    </w:p>
    <w:p>
      <w:pPr>
        <w:spacing w:line="560" w:lineRule="exact"/>
        <w:ind w:firstLine="640" w:firstLineChars="200"/>
        <w:rPr>
          <w:rFonts w:eastAsia="仿宋_GB2312"/>
          <w:sz w:val="32"/>
          <w:szCs w:val="32"/>
        </w:rPr>
      </w:pPr>
      <w:r>
        <w:rPr>
          <w:rFonts w:hint="eastAsia" w:eastAsia="仿宋_GB2312"/>
          <w:b/>
          <w:bCs/>
          <w:sz w:val="32"/>
          <w:szCs w:val="32"/>
        </w:rPr>
        <w:t>取得效益：</w:t>
      </w:r>
      <w:r>
        <w:rPr>
          <w:rFonts w:hint="eastAsia" w:eastAsia="仿宋_GB2312"/>
          <w:sz w:val="32"/>
          <w:szCs w:val="32"/>
        </w:rPr>
        <w:t>确保了农场工作秩序，稳定了职工队伍；光伏项目投产后能够长期产生发电收益，有效缓解农场运行经费压力，为农场果园管护、护林防火、民生保障等农业生产工作提供了一定支撑，间接促进农场产业发展。</w:t>
      </w:r>
    </w:p>
    <w:p>
      <w:pPr>
        <w:spacing w:line="560" w:lineRule="exact"/>
        <w:ind w:firstLine="640" w:firstLineChars="200"/>
        <w:rPr>
          <w:rFonts w:eastAsia="仿宋_GB2312"/>
          <w:sz w:val="32"/>
          <w:szCs w:val="32"/>
        </w:rPr>
      </w:pPr>
      <w:r>
        <w:rPr>
          <w:rFonts w:hint="eastAsia" w:eastAsia="仿宋_GB2312"/>
          <w:sz w:val="32"/>
          <w:szCs w:val="32"/>
        </w:rPr>
        <w:t>农场在落实县委、县政府的决策部署，协调相关部门管理好社会经济事务的职责下，在行业发展规划的指引下，农场以预算资金管理为主线，积极开展各项工作。通过有效的预算资金管理，国有农场的资产管理更加规范有序，各项业务得以顺利开展。同时，也为农场的长远发展奠定了坚实基础，不断朝着现代化、产业化、生态化的方向迈进，更好地服务于国家农业发展战略和地方经济建设。</w:t>
      </w:r>
    </w:p>
    <w:p>
      <w:pPr>
        <w:spacing w:line="560" w:lineRule="exact"/>
        <w:ind w:firstLine="640" w:firstLineChars="200"/>
        <w:rPr>
          <w:rFonts w:eastAsia="仿宋_GB2312"/>
          <w:sz w:val="32"/>
          <w:szCs w:val="32"/>
        </w:rPr>
      </w:pPr>
      <w:r>
        <w:rPr>
          <w:rFonts w:hint="eastAsia" w:eastAsia="仿宋_GB2312"/>
          <w:b/>
          <w:bCs/>
          <w:sz w:val="32"/>
          <w:szCs w:val="32"/>
        </w:rPr>
        <w:t>运行成本：</w:t>
      </w:r>
      <w:r>
        <w:rPr>
          <w:rFonts w:hint="eastAsia" w:eastAsia="仿宋_GB2312"/>
          <w:sz w:val="32"/>
          <w:szCs w:val="32"/>
        </w:rPr>
        <w:t>人力、物力、财力等方面的成本支出情况，未存在浪费或不合理的成本结构。</w:t>
      </w:r>
    </w:p>
    <w:p>
      <w:pPr>
        <w:spacing w:line="560" w:lineRule="exact"/>
        <w:ind w:firstLine="640" w:firstLineChars="200"/>
        <w:rPr>
          <w:rFonts w:eastAsia="仿宋_GB2312"/>
          <w:sz w:val="32"/>
          <w:szCs w:val="32"/>
        </w:rPr>
      </w:pPr>
      <w:r>
        <w:rPr>
          <w:rFonts w:hint="eastAsia" w:eastAsia="仿宋_GB2312"/>
          <w:b/>
          <w:bCs/>
          <w:sz w:val="32"/>
          <w:szCs w:val="32"/>
        </w:rPr>
        <w:t>管理效率：</w:t>
      </w:r>
      <w:r>
        <w:rPr>
          <w:rFonts w:hint="eastAsia" w:eastAsia="仿宋_GB2312"/>
          <w:sz w:val="32"/>
          <w:szCs w:val="32"/>
        </w:rPr>
        <w:t>工作衔接紧密有序，重点项目建设按程序推进落实。</w:t>
      </w:r>
    </w:p>
    <w:p>
      <w:pPr>
        <w:spacing w:line="560" w:lineRule="exact"/>
        <w:ind w:firstLine="640" w:firstLineChars="200"/>
      </w:pPr>
      <w:r>
        <w:rPr>
          <w:rFonts w:hint="eastAsia" w:eastAsia="仿宋_GB2312"/>
          <w:b/>
          <w:bCs/>
          <w:sz w:val="32"/>
          <w:szCs w:val="32"/>
        </w:rPr>
        <w:t>履职效能：</w:t>
      </w:r>
      <w:r>
        <w:rPr>
          <w:rFonts w:hint="eastAsia" w:eastAsia="仿宋_GB2312"/>
          <w:sz w:val="32"/>
          <w:szCs w:val="32"/>
        </w:rPr>
        <w:t>农场在其职责范围内均能完成年度既定工作任务。</w:t>
      </w:r>
    </w:p>
    <w:p>
      <w:pPr>
        <w:spacing w:line="560" w:lineRule="exact"/>
        <w:ind w:firstLine="640" w:firstLineChars="200"/>
        <w:rPr>
          <w:rFonts w:eastAsia="仿宋_GB2312"/>
          <w:sz w:val="32"/>
          <w:szCs w:val="32"/>
        </w:rPr>
      </w:pPr>
      <w:r>
        <w:rPr>
          <w:rFonts w:hint="eastAsia" w:eastAsia="仿宋_GB2312"/>
          <w:b/>
          <w:bCs/>
          <w:sz w:val="32"/>
          <w:szCs w:val="32"/>
        </w:rPr>
        <w:t>可持续发展能力：</w:t>
      </w:r>
      <w:r>
        <w:rPr>
          <w:rFonts w:hint="eastAsia" w:eastAsia="仿宋_GB2312"/>
          <w:sz w:val="32"/>
          <w:szCs w:val="32"/>
        </w:rPr>
        <w:t>包括土地、果园产业、光伏项目等资源在将来均可很好的持续利用。</w:t>
      </w:r>
    </w:p>
    <w:p>
      <w:pPr>
        <w:spacing w:line="560" w:lineRule="exact"/>
        <w:ind w:firstLine="640" w:firstLineChars="200"/>
        <w:rPr>
          <w:rFonts w:eastAsia="仿宋_GB2312"/>
          <w:sz w:val="32"/>
          <w:szCs w:val="32"/>
        </w:rPr>
      </w:pPr>
      <w:r>
        <w:rPr>
          <w:rFonts w:hint="eastAsia" w:eastAsia="仿宋_GB2312"/>
          <w:b/>
          <w:bCs/>
          <w:sz w:val="32"/>
          <w:szCs w:val="32"/>
        </w:rPr>
        <w:t>服务对象满意度：</w:t>
      </w:r>
      <w:r>
        <w:rPr>
          <w:rFonts w:hint="eastAsia" w:eastAsia="仿宋_GB2312"/>
          <w:sz w:val="32"/>
          <w:szCs w:val="32"/>
        </w:rPr>
        <w:t>农场职工对农场环境、产业发展、民生保障等方面均很满意。</w:t>
      </w:r>
    </w:p>
    <w:p>
      <w:p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七、存在的问题及原因分析</w:t>
      </w:r>
    </w:p>
    <w:p>
      <w:pPr>
        <w:spacing w:line="560" w:lineRule="exact"/>
        <w:ind w:firstLine="640" w:firstLineChars="200"/>
        <w:rPr>
          <w:rFonts w:eastAsia="仿宋_GB2312"/>
          <w:sz w:val="32"/>
          <w:szCs w:val="32"/>
        </w:rPr>
      </w:pPr>
      <w:r>
        <w:rPr>
          <w:rFonts w:hint="eastAsia" w:eastAsia="仿宋_GB2312"/>
          <w:sz w:val="32"/>
          <w:szCs w:val="32"/>
        </w:rPr>
        <w:t>1、预算编制的科学性和执行管理上有待提高。项目实施受客观条件制约，屋顶光伏项目年底才完成并网，当年发电收益时间较短，项目效益尚未充分释放；支出结构上仍然侧重于人员经费支出。</w:t>
      </w:r>
    </w:p>
    <w:p>
      <w:pPr>
        <w:spacing w:line="560" w:lineRule="exact"/>
        <w:ind w:firstLine="640" w:firstLineChars="200"/>
        <w:rPr>
          <w:rFonts w:eastAsia="仿宋_GB2312"/>
          <w:sz w:val="32"/>
          <w:szCs w:val="32"/>
        </w:rPr>
      </w:pPr>
      <w:r>
        <w:rPr>
          <w:rFonts w:hint="eastAsia" w:eastAsia="仿宋_GB2312"/>
          <w:sz w:val="32"/>
          <w:szCs w:val="32"/>
        </w:rPr>
        <w:t>2、绩效管理的重视程度有待加强。主要是干部职工在思想观念上对财务预决算、绩效管理的重要性认识不够，认为财务预决算、绩效工作是财务部门的事情，与其他部门关系不大；绩效指标设置精细化程度不足。</w:t>
      </w:r>
    </w:p>
    <w:p>
      <w:p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八、下一步改进措施</w:t>
      </w:r>
    </w:p>
    <w:p>
      <w:pPr>
        <w:spacing w:line="560" w:lineRule="exact"/>
        <w:ind w:firstLine="640" w:firstLineChars="200"/>
        <w:rPr>
          <w:rFonts w:eastAsia="仿宋_GB2312"/>
          <w:sz w:val="32"/>
          <w:szCs w:val="32"/>
        </w:rPr>
      </w:pPr>
      <w:r>
        <w:rPr>
          <w:rFonts w:hint="eastAsia" w:eastAsia="仿宋_GB2312"/>
          <w:b/>
          <w:bCs/>
          <w:sz w:val="32"/>
          <w:szCs w:val="32"/>
        </w:rPr>
        <w:t>一是加强预算绩效管理制度建设。</w:t>
      </w:r>
      <w:r>
        <w:rPr>
          <w:rFonts w:hint="eastAsia" w:eastAsia="仿宋_GB2312"/>
          <w:sz w:val="32"/>
          <w:szCs w:val="32"/>
        </w:rPr>
        <w:t>制定完善单位预算绩效管理相关制度办法，指导和推动绩效管理工作。强化项目前期谋划，合理把握项目实施时序，尽量缩短项目建成产生效益的周期。</w:t>
      </w:r>
    </w:p>
    <w:p>
      <w:pPr>
        <w:spacing w:line="560" w:lineRule="exact"/>
        <w:ind w:firstLine="640" w:firstLineChars="200"/>
        <w:rPr>
          <w:rFonts w:eastAsia="仿宋_GB2312"/>
          <w:sz w:val="32"/>
          <w:szCs w:val="32"/>
        </w:rPr>
      </w:pPr>
      <w:r>
        <w:rPr>
          <w:rFonts w:hint="eastAsia" w:eastAsia="仿宋_GB2312"/>
          <w:b/>
          <w:bCs/>
          <w:sz w:val="32"/>
          <w:szCs w:val="32"/>
        </w:rPr>
        <w:t>二是加强岗位业务学习与培训工作。</w:t>
      </w:r>
      <w:r>
        <w:rPr>
          <w:rFonts w:hint="eastAsia" w:eastAsia="仿宋_GB2312"/>
          <w:sz w:val="32"/>
          <w:szCs w:val="32"/>
        </w:rPr>
        <w:t>加强财务人员、业务干部的新政策新规定等业务学习培训，做好预算执行分析，根据预算执行进度，及时找出预算实际执行情况与预算目标之间存在的差距，切实提高部门预算收支管理水平。科学细化绩效指标，强化绩效全过程监控，切实提升财政资金使用效益。</w:t>
      </w:r>
    </w:p>
    <w:p>
      <w:p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九、绩效自评结果拟应用和公开情况</w:t>
      </w:r>
    </w:p>
    <w:p>
      <w:pPr>
        <w:spacing w:line="560" w:lineRule="exact"/>
        <w:ind w:firstLine="640" w:firstLineChars="200"/>
        <w:rPr>
          <w:rFonts w:eastAsia="仿宋_GB2312"/>
          <w:b/>
          <w:bCs/>
          <w:sz w:val="32"/>
          <w:szCs w:val="32"/>
        </w:rPr>
      </w:pPr>
      <w:r>
        <w:rPr>
          <w:rFonts w:hint="eastAsia" w:eastAsia="仿宋_GB2312"/>
          <w:b/>
          <w:bCs/>
          <w:sz w:val="32"/>
          <w:szCs w:val="32"/>
        </w:rPr>
        <w:t>绩效自评结果拟应用情况：</w:t>
      </w:r>
    </w:p>
    <w:p>
      <w:pPr>
        <w:spacing w:line="560" w:lineRule="exact"/>
        <w:ind w:firstLine="640" w:firstLineChars="200"/>
        <w:rPr>
          <w:rFonts w:eastAsia="仿宋_GB2312"/>
          <w:sz w:val="32"/>
          <w:szCs w:val="32"/>
        </w:rPr>
      </w:pPr>
      <w:r>
        <w:rPr>
          <w:rFonts w:hint="eastAsia" w:eastAsia="仿宋_GB2312"/>
          <w:sz w:val="32"/>
          <w:szCs w:val="32"/>
        </w:rPr>
        <w:t>1、将绩效自评结果作为改进农场内部管理的重要依据，针对发现的问题和不足制定整改措施，推动管理水平不断提升。</w:t>
      </w:r>
    </w:p>
    <w:p>
      <w:pPr>
        <w:spacing w:line="560" w:lineRule="exact"/>
        <w:ind w:firstLine="640" w:firstLineChars="200"/>
        <w:rPr>
          <w:rFonts w:eastAsia="仿宋_GB2312"/>
          <w:sz w:val="32"/>
          <w:szCs w:val="32"/>
        </w:rPr>
      </w:pPr>
      <w:r>
        <w:rPr>
          <w:rFonts w:hint="eastAsia" w:eastAsia="仿宋_GB2312"/>
          <w:sz w:val="32"/>
          <w:szCs w:val="32"/>
        </w:rPr>
        <w:t>2、作为对相关人员进行考核和奖惩的参考，与薪酬调整、职位晋升等挂钩，激发员工积极性和创造性。</w:t>
      </w:r>
    </w:p>
    <w:p>
      <w:pPr>
        <w:spacing w:line="560" w:lineRule="exact"/>
        <w:ind w:firstLine="640" w:firstLineChars="200"/>
        <w:rPr>
          <w:rFonts w:eastAsia="仿宋_GB2312"/>
          <w:sz w:val="32"/>
          <w:szCs w:val="32"/>
        </w:rPr>
      </w:pPr>
      <w:r>
        <w:rPr>
          <w:rFonts w:hint="eastAsia" w:eastAsia="仿宋_GB2312"/>
          <w:sz w:val="32"/>
          <w:szCs w:val="32"/>
        </w:rPr>
        <w:t>3、用于指导下一年度工作计划和目标的制定，确保工作方向和重点更加符合实际需求和绩效要求。</w:t>
      </w:r>
    </w:p>
    <w:p>
      <w:pPr>
        <w:spacing w:line="560" w:lineRule="exact"/>
        <w:ind w:firstLine="640" w:firstLineChars="200"/>
        <w:rPr>
          <w:rFonts w:eastAsia="仿宋_GB2312"/>
          <w:b/>
          <w:bCs/>
          <w:sz w:val="32"/>
          <w:szCs w:val="32"/>
        </w:rPr>
      </w:pPr>
      <w:r>
        <w:rPr>
          <w:rFonts w:hint="eastAsia" w:eastAsia="仿宋_GB2312"/>
          <w:b/>
          <w:bCs/>
          <w:sz w:val="32"/>
          <w:szCs w:val="32"/>
        </w:rPr>
        <w:t>绩效自评结果拟公开情况：</w:t>
      </w:r>
    </w:p>
    <w:p>
      <w:pPr>
        <w:spacing w:line="560" w:lineRule="exact"/>
        <w:ind w:firstLine="640" w:firstLineChars="200"/>
        <w:rPr>
          <w:rFonts w:eastAsia="仿宋_GB2312"/>
          <w:sz w:val="32"/>
          <w:szCs w:val="32"/>
        </w:rPr>
      </w:pPr>
      <w:r>
        <w:rPr>
          <w:rFonts w:hint="eastAsia" w:eastAsia="仿宋_GB2312"/>
          <w:sz w:val="32"/>
          <w:szCs w:val="32"/>
        </w:rPr>
        <w:t>1、将绩效自评结果报送有关部门，加强沟通与协调。</w:t>
      </w:r>
    </w:p>
    <w:p>
      <w:pPr>
        <w:spacing w:line="560" w:lineRule="exact"/>
        <w:ind w:firstLine="640" w:firstLineChars="200"/>
        <w:rPr>
          <w:rFonts w:eastAsia="仿宋_GB2312"/>
          <w:sz w:val="32"/>
          <w:szCs w:val="32"/>
        </w:rPr>
      </w:pPr>
      <w:r>
        <w:rPr>
          <w:rFonts w:hint="eastAsia" w:eastAsia="仿宋_GB2312"/>
          <w:sz w:val="32"/>
          <w:szCs w:val="32"/>
        </w:rPr>
        <w:t>2、在农场内部进行公示，让全体干部职工了解单位整体及各业务的绩效表现，促进内部交流和学习。</w:t>
      </w:r>
    </w:p>
    <w:p>
      <w:pPr>
        <w:spacing w:line="560" w:lineRule="exact"/>
        <w:ind w:firstLine="640" w:firstLineChars="200"/>
        <w:rPr>
          <w:rFonts w:ascii="黑体" w:hAnsi="黑体" w:eastAsia="黑体" w:cs="黑体"/>
          <w:b/>
          <w:bCs/>
          <w:sz w:val="32"/>
          <w:szCs w:val="32"/>
        </w:rPr>
      </w:pPr>
      <w:r>
        <w:rPr>
          <w:rFonts w:hint="eastAsia" w:ascii="黑体" w:hAnsi="黑体" w:eastAsia="黑体" w:cs="黑体"/>
          <w:b/>
          <w:bCs/>
          <w:sz w:val="32"/>
          <w:szCs w:val="32"/>
        </w:rPr>
        <w:t>十、其他需要说明的情况(无)</w:t>
      </w:r>
    </w:p>
    <w:p>
      <w:pPr>
        <w:spacing w:line="560" w:lineRule="exact"/>
        <w:ind w:firstLine="640" w:firstLineChars="200"/>
        <w:rPr>
          <w:rFonts w:ascii="黑体" w:hAnsi="黑体" w:eastAsia="黑体" w:cs="黑体"/>
          <w:b/>
          <w:bCs/>
          <w:sz w:val="32"/>
          <w:szCs w:val="32"/>
        </w:rPr>
      </w:pPr>
    </w:p>
    <w:p>
      <w:pPr>
        <w:spacing w:line="560" w:lineRule="exact"/>
        <w:ind w:firstLine="640" w:firstLineChars="200"/>
        <w:rPr>
          <w:rFonts w:ascii="黑体" w:hAnsi="黑体" w:eastAsia="黑体" w:cs="黑体"/>
          <w:b/>
          <w:bCs/>
          <w:sz w:val="32"/>
          <w:szCs w:val="32"/>
        </w:rPr>
      </w:pPr>
    </w:p>
    <w:p>
      <w:pPr>
        <w:spacing w:line="560" w:lineRule="exact"/>
        <w:ind w:firstLine="640" w:firstLineChars="200"/>
        <w:rPr>
          <w:rFonts w:ascii="黑体" w:hAnsi="黑体" w:eastAsia="黑体" w:cs="黑体"/>
          <w:b/>
          <w:bCs/>
          <w:sz w:val="32"/>
          <w:szCs w:val="32"/>
        </w:rPr>
      </w:pPr>
      <w:bookmarkStart w:id="3" w:name="_GoBack"/>
      <w:bookmarkEnd w:id="3"/>
    </w:p>
    <w:p>
      <w:pPr>
        <w:spacing w:line="560" w:lineRule="exact"/>
        <w:ind w:firstLine="640" w:firstLineChars="200"/>
        <w:rPr>
          <w:rFonts w:eastAsia="仿宋_GB2312"/>
          <w:sz w:val="32"/>
          <w:szCs w:val="32"/>
        </w:rPr>
      </w:pPr>
      <w:r>
        <w:rPr>
          <w:rFonts w:hint="eastAsia" w:ascii="黑体" w:hAnsi="黑体" w:eastAsia="黑体" w:cs="黑体"/>
          <w:b/>
          <w:bCs/>
          <w:sz w:val="32"/>
          <w:szCs w:val="32"/>
        </w:rPr>
        <w:t xml:space="preserve">                             </w:t>
      </w:r>
      <w:r>
        <w:rPr>
          <w:rFonts w:hint="eastAsia" w:eastAsia="仿宋_GB2312"/>
          <w:sz w:val="32"/>
          <w:szCs w:val="32"/>
        </w:rPr>
        <w:t>国营道县大坪铺农场</w:t>
      </w:r>
    </w:p>
    <w:p>
      <w:pPr>
        <w:spacing w:line="560" w:lineRule="exact"/>
        <w:ind w:firstLine="640" w:firstLineChars="200"/>
        <w:rPr>
          <w:rFonts w:eastAsia="仿宋_GB2312"/>
          <w:sz w:val="32"/>
          <w:szCs w:val="32"/>
        </w:rPr>
      </w:pPr>
      <w:r>
        <w:rPr>
          <w:rFonts w:hint="eastAsia" w:eastAsia="仿宋_GB2312"/>
          <w:sz w:val="32"/>
          <w:szCs w:val="32"/>
        </w:rPr>
        <w:t xml:space="preserve">                               2026年9月2日</w:t>
      </w:r>
    </w:p>
    <w:p/>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pPr>
                  <w:pStyle w:val="7"/>
                </w:pPr>
                <w:r>
                  <w:fldChar w:fldCharType="begin"/>
                </w:r>
                <w:r>
                  <w:instrText xml:space="preserve"> PAGE  \* MERGEFORMAT </w:instrText>
                </w:r>
                <w:r>
                  <w:fldChar w:fldCharType="separate"/>
                </w:r>
                <w:r>
                  <w:t>21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0BC4F"/>
    <w:multiLevelType w:val="singleLevel"/>
    <w:tmpl w:val="D7F0BC4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B308F"/>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078B"/>
    <w:rsid w:val="007502DE"/>
    <w:rsid w:val="00770A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17867"/>
    <w:rsid w:val="00F74360"/>
    <w:rsid w:val="00FB462F"/>
    <w:rsid w:val="00FE16FA"/>
    <w:rsid w:val="00FE328A"/>
    <w:rsid w:val="00FE6269"/>
    <w:rsid w:val="00FF5CD6"/>
    <w:rsid w:val="01130DE1"/>
    <w:rsid w:val="04CE2A73"/>
    <w:rsid w:val="0F133510"/>
    <w:rsid w:val="0FC0258F"/>
    <w:rsid w:val="14322531"/>
    <w:rsid w:val="1D97DEFF"/>
    <w:rsid w:val="1DFF72E5"/>
    <w:rsid w:val="1EFC6F07"/>
    <w:rsid w:val="23E76EA7"/>
    <w:rsid w:val="2FDF85B8"/>
    <w:rsid w:val="2FFFEE04"/>
    <w:rsid w:val="332C7257"/>
    <w:rsid w:val="34DF85B0"/>
    <w:rsid w:val="3B8F36BC"/>
    <w:rsid w:val="3C71100F"/>
    <w:rsid w:val="3EB4770D"/>
    <w:rsid w:val="456D30D1"/>
    <w:rsid w:val="491FF225"/>
    <w:rsid w:val="4ABF7ACA"/>
    <w:rsid w:val="4FFD214C"/>
    <w:rsid w:val="54937429"/>
    <w:rsid w:val="5777D4F5"/>
    <w:rsid w:val="59DD8326"/>
    <w:rsid w:val="5DEF592A"/>
    <w:rsid w:val="5FC6BB1E"/>
    <w:rsid w:val="5FF720F1"/>
    <w:rsid w:val="658630FD"/>
    <w:rsid w:val="67FF5C0B"/>
    <w:rsid w:val="689C2C37"/>
    <w:rsid w:val="6AED1528"/>
    <w:rsid w:val="6C51695F"/>
    <w:rsid w:val="6EFC0924"/>
    <w:rsid w:val="6FB74722"/>
    <w:rsid w:val="6FEF8B7E"/>
    <w:rsid w:val="71A6591B"/>
    <w:rsid w:val="737D59BA"/>
    <w:rsid w:val="77C37683"/>
    <w:rsid w:val="782A5B6A"/>
    <w:rsid w:val="79D19834"/>
    <w:rsid w:val="79FF515B"/>
    <w:rsid w:val="7BF549BF"/>
    <w:rsid w:val="7C71166F"/>
    <w:rsid w:val="7DA261A2"/>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420"/>
    </w:pPr>
    <w:rPr>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8770</Words>
  <Characters>10439</Characters>
  <Lines>95</Lines>
  <Paragraphs>27</Paragraphs>
  <TotalTime>1221</TotalTime>
  <ScaleCrop>false</ScaleCrop>
  <LinksUpToDate>false</LinksUpToDate>
  <CharactersWithSpaces>11749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2026-09-02T08:22:00Z</cp:lastPrinted>
  <dcterms:modified xsi:type="dcterms:W3CDTF">2026-09-14T00:44:16Z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FBAED750AC7B4C44991B1D667FC01266_13</vt:lpwstr>
  </property>
  <property fmtid="{D5CDD505-2E9C-101B-9397-08002B2CF9AE}" pid="4" name="KSOTemplateDocerSaveRecord">
    <vt:lpwstr>eyJoZGlkIjoiNGMxMzQ3NmZjYTFkYjFmNTRlOTAyOWFiNzgwZDEyMzQiLCJ1c2VySWQiOiIyNjkzNTcwOTYifQ==</vt:lpwstr>
  </property>
</Properties>
</file>