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ascii="楷体" w:hAnsi="楷体" w:eastAsia="楷体" w:cs="楷体"/>
                          <w:sz w:val="30"/>
                          <w:szCs w:val="30"/>
                          <w:lang w:val="en-US" w:eastAsia="zh-CN"/>
                        </w:rPr>
                      </w:pPr>
                    </w:p>
                  </w:txbxContent>
                </v:textbox>
              </v:shape>
            </w:pict>
          </mc:Fallback>
        </mc:AlternateContent>
      </w:r>
    </w:p>
    <w:p>
      <w:pPr>
        <w:pStyle w:val="12"/>
        <w:jc w:val="center"/>
        <w:rPr>
          <w:sz w:val="56"/>
          <w:szCs w:val="56"/>
        </w:rPr>
      </w:pPr>
    </w:p>
    <w:p>
      <w:pPr>
        <w:pStyle w:val="12"/>
        <w:jc w:val="center"/>
        <w:rPr>
          <w:sz w:val="84"/>
          <w:szCs w:val="84"/>
        </w:rPr>
      </w:pPr>
    </w:p>
    <w:p>
      <w:pPr>
        <w:pStyle w:val="12"/>
        <w:jc w:val="center"/>
        <w:rPr>
          <w:sz w:val="84"/>
          <w:szCs w:val="84"/>
        </w:rPr>
      </w:pPr>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w:t>
      </w:r>
      <w:r>
        <w:rPr>
          <w:rFonts w:hint="eastAsia" w:ascii="方正小标宋_GBK" w:hAnsi="方正小标宋_GBK" w:eastAsia="方正小标宋_GBK" w:cs="方正小标宋_GBK"/>
          <w:sz w:val="84"/>
          <w:szCs w:val="84"/>
          <w:lang w:val="en-US" w:eastAsia="zh-CN"/>
        </w:rPr>
        <w:t>25</w:t>
      </w:r>
      <w:r>
        <w:rPr>
          <w:rFonts w:hint="eastAsia" w:ascii="方正小标宋_GBK" w:hAnsi="方正小标宋_GBK" w:eastAsia="方正小标宋_GBK" w:cs="方正小标宋_GBK"/>
          <w:sz w:val="84"/>
          <w:szCs w:val="84"/>
          <w:lang w:eastAsia="zh-CN"/>
        </w:rPr>
        <w:t>年</w:t>
      </w:r>
      <w:r>
        <w:rPr>
          <w:rFonts w:hint="eastAsia" w:ascii="方正小标宋_GBK" w:hAnsi="方正小标宋_GBK" w:eastAsia="方正小标宋_GBK" w:cs="方正小标宋_GBK"/>
          <w:sz w:val="84"/>
          <w:szCs w:val="84"/>
        </w:rPr>
        <w:t>度</w:t>
      </w:r>
    </w:p>
    <w:p>
      <w:pPr>
        <w:pStyle w:val="12"/>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道县濂溪山庄管理委员会</w:t>
      </w:r>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pPr>
        <w:pStyle w:val="12"/>
        <w:jc w:val="center"/>
        <w:rPr>
          <w:rFonts w:hint="eastAsia" w:ascii="方正小标宋_GBK" w:hAnsi="方正小标宋_GBK" w:eastAsia="方正小标宋_GBK" w:cs="方正小标宋_GBK"/>
          <w:sz w:val="56"/>
          <w:szCs w:val="56"/>
        </w:rPr>
      </w:pPr>
    </w:p>
    <w:p>
      <w:pPr>
        <w:pStyle w:val="12"/>
        <w:jc w:val="center"/>
        <w:rPr>
          <w:sz w:val="56"/>
          <w:szCs w:val="56"/>
        </w:rPr>
      </w:pPr>
    </w:p>
    <w:p>
      <w:pPr>
        <w:pStyle w:val="12"/>
        <w:jc w:val="center"/>
        <w:rPr>
          <w:sz w:val="56"/>
          <w:szCs w:val="56"/>
        </w:rPr>
      </w:pPr>
    </w:p>
    <w:p>
      <w:pPr>
        <w:pStyle w:val="12"/>
        <w:jc w:val="center"/>
        <w:rPr>
          <w:sz w:val="56"/>
          <w:szCs w:val="56"/>
        </w:rPr>
      </w:pPr>
    </w:p>
    <w:p>
      <w:pPr>
        <w:pStyle w:val="12"/>
        <w:jc w:val="center"/>
        <w:rPr>
          <w:sz w:val="32"/>
          <w:szCs w:val="32"/>
        </w:rPr>
      </w:pPr>
    </w:p>
    <w:p>
      <w:pPr>
        <w:pStyle w:val="12"/>
        <w:jc w:val="center"/>
        <w:rPr>
          <w:sz w:val="32"/>
          <w:szCs w:val="32"/>
        </w:rPr>
      </w:pPr>
    </w:p>
    <w:p>
      <w:pPr>
        <w:pStyle w:val="12"/>
        <w:jc w:val="center"/>
        <w:rPr>
          <w:sz w:val="32"/>
          <w:szCs w:val="32"/>
        </w:rPr>
      </w:pPr>
    </w:p>
    <w:p>
      <w:pPr>
        <w:pStyle w:val="12"/>
        <w:jc w:val="center"/>
        <w:rPr>
          <w:sz w:val="32"/>
          <w:szCs w:val="32"/>
        </w:rPr>
      </w:pPr>
    </w:p>
    <w:p>
      <w:pPr>
        <w:pStyle w:val="12"/>
        <w:jc w:val="center"/>
        <w:rPr>
          <w:sz w:val="32"/>
          <w:szCs w:val="32"/>
        </w:rPr>
      </w:pPr>
    </w:p>
    <w:p>
      <w:pPr>
        <w:pStyle w:val="12"/>
        <w:spacing w:line="540" w:lineRule="exact"/>
        <w:jc w:val="center"/>
        <w:rPr>
          <w:sz w:val="56"/>
          <w:szCs w:val="56"/>
        </w:rPr>
      </w:pPr>
    </w:p>
    <w:p>
      <w:pPr>
        <w:pStyle w:val="12"/>
        <w:spacing w:line="500" w:lineRule="exact"/>
        <w:jc w:val="both"/>
        <w:rPr>
          <w:b/>
          <w:sz w:val="36"/>
          <w:szCs w:val="28"/>
        </w:rPr>
      </w:pPr>
    </w:p>
    <w:p>
      <w:pPr>
        <w:pStyle w:val="12"/>
        <w:spacing w:line="500" w:lineRule="exact"/>
        <w:jc w:val="center"/>
        <w:rPr>
          <w:b/>
          <w:sz w:val="36"/>
          <w:szCs w:val="28"/>
        </w:rPr>
      </w:pPr>
      <w:r>
        <w:rPr>
          <w:rFonts w:hint="eastAsia"/>
          <w:b/>
          <w:sz w:val="36"/>
          <w:szCs w:val="28"/>
        </w:rPr>
        <w:t>目录</w:t>
      </w:r>
    </w:p>
    <w:p>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道县濂溪山庄管理委员会</w:t>
      </w:r>
      <w:r>
        <w:rPr>
          <w:rFonts w:hint="eastAsia" w:ascii="黑体" w:hAnsi="黑体" w:eastAsia="黑体" w:cs="黑体"/>
          <w:b w:val="0"/>
          <w:bCs/>
          <w:sz w:val="28"/>
          <w:szCs w:val="28"/>
        </w:rPr>
        <w:t>概况</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2"/>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rPr>
        <w:t>三公</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rPr>
        <w:t>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w:t>
      </w:r>
      <w:r>
        <w:rPr>
          <w:rFonts w:hint="eastAsia" w:ascii="Times New Roman" w:hAnsi="Times New Roman" w:eastAsia="仿宋_GB2312" w:cs="Times New Roman"/>
          <w:sz w:val="28"/>
          <w:szCs w:val="28"/>
          <w:lang w:val="en-US" w:eastAsia="zh-CN"/>
        </w:rPr>
        <w:t>25</w:t>
      </w:r>
      <w:r>
        <w:rPr>
          <w:rFonts w:hint="eastAsia" w:ascii="Times New Roman" w:hAnsi="Times New Roman" w:eastAsia="仿宋_GB2312" w:cs="Times New Roman"/>
          <w:sz w:val="28"/>
          <w:szCs w:val="28"/>
          <w:lang w:eastAsia="zh-CN"/>
        </w:rPr>
        <w:t>年</w:t>
      </w:r>
      <w:r>
        <w:rPr>
          <w:rFonts w:hint="eastAsia" w:ascii="仿宋_GB2312" w:hAnsi="仿宋_GB2312" w:eastAsia="仿宋_GB2312" w:cs="仿宋_GB2312"/>
          <w:sz w:val="28"/>
          <w:szCs w:val="28"/>
        </w:rPr>
        <w:t>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2"/>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2"/>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2"/>
        <w:rPr>
          <w:rFonts w:hint="eastAsia" w:ascii="方正小标宋_GBK" w:hAnsi="方正小标宋_GBK" w:eastAsia="方正小标宋_GBK" w:cs="方正小标宋_GBK"/>
          <w:sz w:val="72"/>
          <w:szCs w:val="72"/>
        </w:rPr>
      </w:pPr>
    </w:p>
    <w:p>
      <w:pPr>
        <w:pStyle w:val="3"/>
        <w:rPr>
          <w:rFonts w:hint="eastAsia" w:ascii="方正小标宋_GBK" w:hAnsi="方正小标宋_GBK" w:eastAsia="方正小标宋_GBK" w:cs="方正小标宋_GBK"/>
          <w:sz w:val="72"/>
          <w:szCs w:val="72"/>
        </w:rPr>
      </w:pPr>
    </w:p>
    <w:p>
      <w:pPr>
        <w:rPr>
          <w:rFonts w:hint="eastAsia" w:ascii="方正小标宋_GBK" w:hAnsi="方正小标宋_GBK" w:eastAsia="方正小标宋_GBK" w:cs="方正小标宋_GBK"/>
          <w:sz w:val="72"/>
          <w:szCs w:val="72"/>
        </w:rPr>
      </w:pPr>
    </w:p>
    <w:p>
      <w:pPr>
        <w:pStyle w:val="2"/>
        <w:rPr>
          <w:rFonts w:hint="eastAsia" w:ascii="方正小标宋_GBK" w:hAnsi="方正小标宋_GBK" w:eastAsia="方正小标宋_GBK" w:cs="方正小标宋_GBK"/>
          <w:sz w:val="72"/>
          <w:szCs w:val="72"/>
        </w:rPr>
      </w:pPr>
    </w:p>
    <w:p>
      <w:pPr>
        <w:rPr>
          <w:rFonts w:hint="eastAsia" w:ascii="方正小标宋_GBK" w:hAnsi="方正小标宋_GBK" w:eastAsia="方正小标宋_GBK" w:cs="方正小标宋_GBK"/>
          <w:sz w:val="72"/>
          <w:szCs w:val="72"/>
        </w:rPr>
      </w:pPr>
    </w:p>
    <w:p>
      <w:pPr>
        <w:pStyle w:val="2"/>
        <w:rPr>
          <w:rFonts w:hint="eastAsia" w:ascii="方正小标宋_GBK" w:hAnsi="方正小标宋_GBK" w:eastAsia="方正小标宋_GBK" w:cs="方正小标宋_GBK"/>
          <w:sz w:val="72"/>
          <w:szCs w:val="72"/>
        </w:rPr>
      </w:pPr>
    </w:p>
    <w:p>
      <w:pPr>
        <w:pStyle w:val="3"/>
        <w:rPr>
          <w:rFonts w:hint="eastAsia"/>
        </w:rPr>
      </w:pPr>
    </w:p>
    <w:p>
      <w:pPr>
        <w:rPr>
          <w:rFonts w:hint="eastAsia"/>
        </w:rPr>
      </w:pPr>
    </w:p>
    <w:p>
      <w:pPr>
        <w:pStyle w:val="2"/>
        <w:rPr>
          <w:rFonts w:hint="eastAsia"/>
        </w:rPr>
      </w:pPr>
    </w:p>
    <w:p>
      <w:pPr>
        <w:pStyle w:val="3"/>
        <w:rPr>
          <w:rFonts w:hint="eastAsia"/>
        </w:rPr>
      </w:pPr>
    </w:p>
    <w:p>
      <w:pPr>
        <w:pStyle w:val="12"/>
        <w:jc w:val="center"/>
        <w:rPr>
          <w:rFonts w:hint="eastAsia" w:ascii="Times New Roman" w:hAnsi="Times New Roman" w:eastAsia="方正小标宋_GBK" w:cs="Times New Roman"/>
          <w:kern w:val="0"/>
          <w:sz w:val="52"/>
          <w:szCs w:val="52"/>
        </w:rPr>
      </w:pPr>
      <w:r>
        <w:rPr>
          <w:rFonts w:hint="eastAsia" w:ascii="Times New Roman" w:hAnsi="Times New Roman" w:eastAsia="方正小标宋_GBK" w:cs="Times New Roman"/>
          <w:kern w:val="0"/>
          <w:sz w:val="52"/>
          <w:szCs w:val="52"/>
        </w:rPr>
        <w:t xml:space="preserve">第一部分 </w:t>
      </w:r>
    </w:p>
    <w:p>
      <w:pPr>
        <w:pStyle w:val="12"/>
        <w:jc w:val="center"/>
        <w:rPr>
          <w:rFonts w:hint="eastAsia" w:ascii="Times New Roman" w:hAnsi="Times New Roman" w:eastAsia="方正小标宋_GBK" w:cs="Times New Roman"/>
          <w:kern w:val="0"/>
          <w:sz w:val="52"/>
          <w:szCs w:val="52"/>
        </w:rPr>
      </w:pPr>
    </w:p>
    <w:p>
      <w:pPr>
        <w:pStyle w:val="12"/>
        <w:jc w:val="center"/>
        <w:rPr>
          <w:rFonts w:hint="eastAsia" w:ascii="Times New Roman" w:hAnsi="Times New Roman" w:eastAsia="方正小标宋_GBK" w:cs="Times New Roman"/>
          <w:kern w:val="0"/>
          <w:sz w:val="52"/>
          <w:szCs w:val="52"/>
          <w:lang w:eastAsia="zh-CN"/>
        </w:rPr>
      </w:pPr>
      <w:r>
        <w:rPr>
          <w:rFonts w:hint="eastAsia" w:ascii="Times New Roman" w:hAnsi="Times New Roman" w:eastAsia="方正小标宋_GBK" w:cs="Times New Roman"/>
          <w:kern w:val="0"/>
          <w:sz w:val="52"/>
          <w:szCs w:val="52"/>
          <w:lang w:eastAsia="zh-CN"/>
        </w:rPr>
        <w:t>道县濂溪山庄管理委员会</w:t>
      </w:r>
    </w:p>
    <w:p>
      <w:pPr>
        <w:pStyle w:val="12"/>
        <w:jc w:val="center"/>
        <w:rPr>
          <w:rFonts w:ascii="Times New Roman" w:hAnsi="Times New Roman" w:eastAsia="方正小标宋_GBK" w:cs="Times New Roman"/>
          <w:kern w:val="0"/>
          <w:sz w:val="52"/>
          <w:szCs w:val="52"/>
        </w:rPr>
      </w:pPr>
      <w:r>
        <w:rPr>
          <w:rFonts w:hint="eastAsia" w:ascii="Times New Roman" w:hAnsi="Times New Roman" w:eastAsia="方正小标宋_GBK" w:cs="Times New Roman"/>
          <w:kern w:val="0"/>
          <w:sz w:val="52"/>
          <w:szCs w:val="52"/>
        </w:rPr>
        <w:t>概况</w:t>
      </w:r>
    </w:p>
    <w:p/>
    <w:p>
      <w:pPr>
        <w:pStyle w:val="13"/>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rPr>
        <w:t>（一）继续履行火车站新区开发的业主职责完成扫尾工作，不再以业主身份签订新的开发合同</w:t>
      </w:r>
      <w:r>
        <w:rPr>
          <w:rFonts w:hint="eastAsia" w:ascii="Times New Roman" w:hAnsi="Times New Roman"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rPr>
        <w:t>（二）参与县城西片区开发指挥部交办的土地征收、房屋征收和拆迁、项目建设、矛盾纠纷处置、信访维稳等工作</w:t>
      </w:r>
      <w:r>
        <w:rPr>
          <w:rFonts w:hint="eastAsia" w:ascii="Times New Roman" w:hAnsi="Times New Roman"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三</w:t>
      </w:r>
      <w:r>
        <w:rPr>
          <w:rFonts w:hint="eastAsia" w:ascii="Times New Roman" w:hAnsi="Times New Roman" w:eastAsia="仿宋_GB2312" w:cs="仿宋_GB2312"/>
          <w:sz w:val="32"/>
          <w:szCs w:val="32"/>
        </w:rPr>
        <w:t>）完成主管部门交办的其他工作</w:t>
      </w:r>
      <w:r>
        <w:rPr>
          <w:rFonts w:hint="eastAsia" w:ascii="Times New Roman" w:hAnsi="Times New Roman" w:eastAsia="仿宋_GB2312" w:cs="仿宋_GB2312"/>
          <w:sz w:val="32"/>
          <w:szCs w:val="32"/>
          <w:lang w:eastAsia="zh-CN"/>
        </w:rPr>
        <w:t>。</w:t>
      </w:r>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eastAsia="zh-CN"/>
        </w:rPr>
        <w:t>道县濂溪山庄管理委员会</w:t>
      </w:r>
      <w:r>
        <w:rPr>
          <w:rFonts w:hint="eastAsia" w:ascii="Times New Roman" w:hAnsi="Times New Roman" w:eastAsia="仿宋_GB2312" w:cs="仿宋_GB2312"/>
          <w:bCs/>
          <w:kern w:val="0"/>
          <w:sz w:val="32"/>
          <w:szCs w:val="32"/>
        </w:rPr>
        <w:t>内设机构包括：</w:t>
      </w:r>
      <w:r>
        <w:rPr>
          <w:rFonts w:hint="eastAsia" w:ascii="Times New Roman" w:hAnsi="Times New Roman" w:eastAsia="仿宋_GB2312" w:cs="仿宋_GB2312"/>
          <w:bCs/>
          <w:kern w:val="0"/>
          <w:sz w:val="32"/>
          <w:szCs w:val="32"/>
          <w:lang w:eastAsia="zh-CN"/>
        </w:rPr>
        <w:t>办公室和财务室</w:t>
      </w:r>
      <w:r>
        <w:rPr>
          <w:rFonts w:hint="eastAsia" w:ascii="Times New Roman" w:hAnsi="Times New Roman" w:eastAsia="仿宋_GB2312" w:cs="仿宋_GB2312"/>
          <w:bCs/>
          <w:kern w:val="0"/>
          <w:sz w:val="32"/>
          <w:szCs w:val="32"/>
          <w:lang w:val="en-US" w:eastAsia="zh-CN"/>
        </w:rPr>
        <w:t>2个内设机构。事业编制12人，实有编制6人，其中管理人员5人，工勤人员1人，合计6人。</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eastAsia="zh-CN"/>
        </w:rPr>
        <w:t>道县濂溪山庄管理委员会20</w:t>
      </w:r>
      <w:r>
        <w:rPr>
          <w:rFonts w:hint="eastAsia" w:ascii="Times New Roman" w:hAnsi="Times New Roman" w:eastAsia="仿宋_GB2312" w:cs="仿宋_GB2312"/>
          <w:bCs/>
          <w:kern w:val="0"/>
          <w:sz w:val="32"/>
          <w:szCs w:val="32"/>
          <w:lang w:val="en-US" w:eastAsia="zh-CN"/>
        </w:rPr>
        <w:t>25</w:t>
      </w:r>
      <w:r>
        <w:rPr>
          <w:rFonts w:hint="eastAsia" w:ascii="Times New Roman" w:hAnsi="Times New Roman" w:eastAsia="仿宋_GB2312" w:cs="仿宋_GB2312"/>
          <w:bCs/>
          <w:kern w:val="0"/>
          <w:sz w:val="32"/>
          <w:szCs w:val="32"/>
          <w:lang w:eastAsia="zh-CN"/>
        </w:rPr>
        <w:t>年</w:t>
      </w:r>
      <w:r>
        <w:rPr>
          <w:rFonts w:hint="eastAsia" w:ascii="Times New Roman" w:hAnsi="Times New Roman" w:eastAsia="仿宋_GB2312" w:cs="仿宋_GB2312"/>
          <w:bCs/>
          <w:kern w:val="0"/>
          <w:sz w:val="32"/>
          <w:szCs w:val="32"/>
        </w:rPr>
        <w:t>部门决算汇总公开单位构成包括：</w:t>
      </w:r>
      <w:r>
        <w:rPr>
          <w:rFonts w:hint="eastAsia" w:ascii="Times New Roman" w:hAnsi="Times New Roman" w:eastAsia="仿宋_GB2312" w:cs="仿宋_GB2312"/>
          <w:bCs/>
          <w:kern w:val="0"/>
          <w:sz w:val="32"/>
          <w:szCs w:val="32"/>
          <w:lang w:eastAsia="zh-CN"/>
        </w:rPr>
        <w:t>道县濂溪山庄管理委员会</w:t>
      </w:r>
      <w:r>
        <w:rPr>
          <w:rFonts w:hint="eastAsia" w:ascii="Times New Roman" w:hAnsi="Times New Roman" w:eastAsia="仿宋_GB2312" w:cs="仿宋_GB2312"/>
          <w:bCs/>
          <w:kern w:val="0"/>
          <w:sz w:val="32"/>
          <w:szCs w:val="32"/>
        </w:rPr>
        <w:t>本级</w:t>
      </w:r>
      <w:r>
        <w:rPr>
          <w:rFonts w:hint="eastAsia" w:ascii="Times New Roman" w:hAnsi="Times New Roman" w:eastAsia="仿宋_GB2312" w:cs="仿宋_GB2312"/>
          <w:bCs/>
          <w:kern w:val="0"/>
          <w:sz w:val="32"/>
          <w:szCs w:val="32"/>
          <w:lang w:eastAsia="zh-CN"/>
        </w:rPr>
        <w:t>。</w:t>
      </w: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both"/>
        <w:rPr>
          <w:sz w:val="72"/>
          <w:szCs w:val="7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8"/>
        <w:tblW w:w="15428" w:type="dxa"/>
        <w:tblInd w:w="0" w:type="dxa"/>
        <w:tblLayout w:type="fixed"/>
        <w:tblCellMar>
          <w:top w:w="0" w:type="dxa"/>
          <w:left w:w="0" w:type="dxa"/>
          <w:bottom w:w="0" w:type="dxa"/>
          <w:right w:w="0" w:type="dxa"/>
        </w:tblCellMar>
      </w:tblPr>
      <w:tblGrid>
        <w:gridCol w:w="497"/>
        <w:gridCol w:w="240"/>
        <w:gridCol w:w="5110"/>
        <w:gridCol w:w="1291"/>
        <w:gridCol w:w="1291"/>
        <w:gridCol w:w="1291"/>
        <w:gridCol w:w="1291"/>
        <w:gridCol w:w="1291"/>
        <w:gridCol w:w="1291"/>
        <w:gridCol w:w="1835"/>
      </w:tblGrid>
      <w:tr>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8"/>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78"/>
              <w:gridCol w:w="594"/>
              <w:gridCol w:w="3165"/>
              <w:gridCol w:w="3319"/>
              <w:gridCol w:w="1589"/>
              <w:gridCol w:w="22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15398" w:type="dxa"/>
                  <w:gridSpan w:val="6"/>
                  <w:tcBorders>
                    <w:top w:val="nil"/>
                    <w:left w:val="nil"/>
                    <w:bottom w:val="nil"/>
                    <w:right w:val="nil"/>
                  </w:tcBorders>
                  <w:shd w:val="clear" w:color="auto" w:fill="auto"/>
                  <w:noWrap/>
                  <w:vAlign w:val="center"/>
                </w:tcPr>
                <w:p>
                  <w:pPr>
                    <w:pStyle w:val="12"/>
                    <w:jc w:val="center"/>
                    <w:rPr>
                      <w:rFonts w:hint="eastAsia" w:ascii="黑体" w:hAnsi="宋体" w:eastAsia="黑体" w:cs="黑体"/>
                      <w:i w:val="0"/>
                      <w:color w:val="000000"/>
                      <w:sz w:val="24"/>
                      <w:szCs w:val="24"/>
                      <w:u w:val="none"/>
                    </w:rPr>
                  </w:pPr>
                  <w:r>
                    <w:rPr>
                      <w:rFonts w:hint="eastAsia" w:ascii="Times New Roman" w:hAnsi="Times New Roman" w:eastAsia="方正小标宋_GBK" w:cs="Times New Roman"/>
                      <w:kern w:val="0"/>
                      <w:sz w:val="52"/>
                      <w:szCs w:val="52"/>
                      <w:lang w:eastAsia="zh-CN"/>
                    </w:rPr>
                    <w:t>第二部分</w:t>
                  </w:r>
                  <w:r>
                    <w:rPr>
                      <w:rFonts w:hint="eastAsia" w:ascii="Times New Roman" w:hAnsi="Times New Roman" w:eastAsia="方正小标宋_GBK" w:cs="Times New Roman"/>
                      <w:kern w:val="0"/>
                      <w:sz w:val="52"/>
                      <w:szCs w:val="52"/>
                      <w:lang w:val="en-US" w:eastAsia="zh-CN"/>
                    </w:rPr>
                    <w:t xml:space="preserve">   </w:t>
                  </w:r>
                  <w:r>
                    <w:rPr>
                      <w:rFonts w:hint="eastAsia" w:ascii="Times New Roman" w:hAnsi="Times New Roman" w:eastAsia="方正小标宋_GBK" w:cs="Times New Roman"/>
                      <w:kern w:val="0"/>
                      <w:sz w:val="52"/>
                      <w:szCs w:val="52"/>
                      <w:lang w:eastAsia="zh-CN"/>
                    </w:rPr>
                    <w:t>部门决算表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78"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594"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316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3319"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589"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253"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78"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部门：道县濂溪山庄管理委员会</w:t>
                  </w:r>
                </w:p>
              </w:tc>
              <w:tc>
                <w:tcPr>
                  <w:tcW w:w="594"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316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3319"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589"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253"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8237"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161"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3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33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22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3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22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88.99</w:t>
                  </w:r>
                </w:p>
              </w:tc>
              <w:tc>
                <w:tcPr>
                  <w:tcW w:w="33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70.43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p>
              </w:tc>
              <w:tc>
                <w:tcPr>
                  <w:tcW w:w="33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w:t>
                  </w:r>
                  <w:r>
                    <w:rPr>
                      <w:rFonts w:hint="eastAsia" w:ascii="宋体" w:hAnsi="宋体" w:eastAsia="宋体" w:cs="宋体"/>
                      <w:color w:val="000000"/>
                      <w:kern w:val="0"/>
                      <w:sz w:val="22"/>
                    </w:rPr>
                    <w:t>社会保障和就业支出</w:t>
                  </w:r>
                </w:p>
              </w:tc>
              <w:tc>
                <w:tcPr>
                  <w:tcW w:w="1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3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w:t>
                  </w:r>
                  <w:r>
                    <w:rPr>
                      <w:rFonts w:hint="eastAsia" w:ascii="宋体" w:hAnsi="宋体" w:eastAsia="宋体" w:cs="宋体"/>
                      <w:color w:val="000000"/>
                      <w:kern w:val="0"/>
                      <w:sz w:val="22"/>
                    </w:rPr>
                    <w:t>卫生健康支出</w:t>
                  </w:r>
                </w:p>
              </w:tc>
              <w:tc>
                <w:tcPr>
                  <w:tcW w:w="1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3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w:t>
                  </w:r>
                  <w:r>
                    <w:rPr>
                      <w:rFonts w:hint="eastAsia" w:ascii="宋体" w:hAnsi="宋体" w:eastAsia="宋体" w:cs="宋体"/>
                      <w:color w:val="000000"/>
                      <w:kern w:val="0"/>
                      <w:sz w:val="22"/>
                    </w:rPr>
                    <w:t>城乡社区支出</w:t>
                  </w:r>
                </w:p>
              </w:tc>
              <w:tc>
                <w:tcPr>
                  <w:tcW w:w="1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3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3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五、住房保障支出</w:t>
                  </w:r>
                </w:p>
              </w:tc>
              <w:tc>
                <w:tcPr>
                  <w:tcW w:w="1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3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3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3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3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3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3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3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88.99</w:t>
                  </w:r>
                </w:p>
              </w:tc>
              <w:tc>
                <w:tcPr>
                  <w:tcW w:w="3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88.99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3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3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3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88.99</w:t>
                  </w:r>
                </w:p>
              </w:tc>
              <w:tc>
                <w:tcPr>
                  <w:tcW w:w="33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b w:val="0"/>
                      <w:bCs/>
                      <w:i w:val="0"/>
                      <w:color w:val="000000"/>
                      <w:sz w:val="22"/>
                      <w:szCs w:val="22"/>
                      <w:u w:val="none"/>
                      <w:lang w:val="en-US" w:eastAsia="zh-CN"/>
                    </w:rPr>
                  </w:pPr>
                  <w:r>
                    <w:rPr>
                      <w:rFonts w:hint="eastAsia" w:ascii="宋体" w:hAnsi="宋体" w:eastAsia="宋体" w:cs="宋体"/>
                      <w:b w:val="0"/>
                      <w:bCs/>
                      <w:i w:val="0"/>
                      <w:color w:val="000000"/>
                      <w:sz w:val="22"/>
                      <w:szCs w:val="22"/>
                      <w:u w:val="none"/>
                      <w:lang w:val="en-US" w:eastAsia="zh-CN"/>
                    </w:rPr>
                    <w:t>88.99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49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4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511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3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737"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5110" w:type="dxa"/>
            <w:tcBorders>
              <w:top w:val="nil"/>
              <w:left w:val="nil"/>
              <w:bottom w:val="nil"/>
              <w:right w:val="nil"/>
            </w:tcBorders>
            <w:shd w:val="clear" w:color="000000" w:fill="FFFFFF"/>
            <w:noWrap/>
            <w:tcMar>
              <w:top w:w="15" w:type="dxa"/>
              <w:left w:w="15" w:type="dxa"/>
              <w:bottom w:w="0" w:type="dxa"/>
              <w:right w:w="15" w:type="dxa"/>
            </w:tcMar>
            <w:vAlign w:val="center"/>
          </w:tcPr>
          <w:p>
            <w:pPr>
              <w:jc w:val="left"/>
              <w:rPr>
                <w:rFonts w:ascii="宋体" w:hAnsi="宋体" w:eastAsia="宋体" w:cs="宋体"/>
                <w:sz w:val="24"/>
                <w:szCs w:val="24"/>
              </w:rPr>
            </w:pPr>
            <w:r>
              <w:rPr>
                <w:rFonts w:hint="eastAsia" w:ascii="宋体" w:hAnsi="宋体" w:eastAsia="宋体" w:cs="宋体"/>
                <w:i w:val="0"/>
                <w:color w:val="000000"/>
                <w:kern w:val="0"/>
                <w:sz w:val="20"/>
                <w:szCs w:val="20"/>
                <w:u w:val="none"/>
                <w:lang w:val="en-US" w:eastAsia="zh-CN" w:bidi="ar"/>
              </w:rPr>
              <w:t>道县濂溪山庄管理委员会</w:t>
            </w:r>
            <w:r>
              <w:rPr>
                <w:rFonts w:hint="eastAsia"/>
              </w:rPr>
              <w:t>　</w:t>
            </w:r>
          </w:p>
        </w:tc>
        <w:tc>
          <w:tcPr>
            <w:tcW w:w="129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29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3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5847"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2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29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2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2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2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2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183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737"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511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29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3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737"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5110"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3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5847"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29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29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29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29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29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29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18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5847"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88.99</w:t>
            </w: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88.99</w:t>
            </w: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73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lang w:val="en-US" w:eastAsia="zh-CN"/>
              </w:rPr>
            </w:pPr>
            <w:r>
              <w:rPr>
                <w:rFonts w:hint="eastAsia"/>
                <w:lang w:val="en-US" w:eastAsia="zh-CN"/>
              </w:rPr>
              <w:t>2010</w:t>
            </w:r>
          </w:p>
          <w:p>
            <w:pPr>
              <w:rPr>
                <w:rFonts w:hint="default" w:ascii="宋体" w:hAnsi="宋体" w:cs="宋体" w:eastAsiaTheme="minorEastAsia"/>
                <w:sz w:val="24"/>
                <w:szCs w:val="24"/>
                <w:lang w:val="en-US" w:eastAsia="zh-CN"/>
              </w:rPr>
            </w:pPr>
            <w:r>
              <w:rPr>
                <w:rFonts w:hint="eastAsia"/>
                <w:lang w:val="en-US" w:eastAsia="zh-CN"/>
              </w:rPr>
              <w:t>350</w:t>
            </w:r>
          </w:p>
        </w:tc>
        <w:tc>
          <w:tcPr>
            <w:tcW w:w="51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宋体" w:hAnsi="宋体" w:cs="宋体" w:eastAsiaTheme="minorEastAsia"/>
                <w:sz w:val="24"/>
                <w:szCs w:val="24"/>
                <w:lang w:eastAsia="zh-CN"/>
              </w:rPr>
            </w:pPr>
            <w:r>
              <w:rPr>
                <w:rFonts w:hint="eastAsia"/>
              </w:rPr>
              <w:t>　</w:t>
            </w:r>
            <w:r>
              <w:rPr>
                <w:rFonts w:hint="eastAsia"/>
                <w:lang w:eastAsia="zh-CN"/>
              </w:rPr>
              <w:t>事业运行</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70.43</w:t>
            </w: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70.43</w:t>
            </w: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73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sz w:val="21"/>
                <w:szCs w:val="21"/>
                <w:lang w:val="en-US" w:eastAsia="zh-CN"/>
              </w:rPr>
            </w:pPr>
            <w:r>
              <w:rPr>
                <w:rFonts w:hint="eastAsia"/>
                <w:sz w:val="21"/>
                <w:szCs w:val="21"/>
                <w:lang w:val="en-US" w:eastAsia="zh-CN"/>
              </w:rPr>
              <w:t>2080</w:t>
            </w:r>
          </w:p>
          <w:p>
            <w:pPr>
              <w:pStyle w:val="2"/>
              <w:rPr>
                <w:rFonts w:hint="default"/>
                <w:lang w:val="en-US" w:eastAsia="zh-CN"/>
              </w:rPr>
            </w:pPr>
            <w:r>
              <w:rPr>
                <w:rFonts w:hint="eastAsia"/>
                <w:sz w:val="21"/>
                <w:szCs w:val="21"/>
                <w:lang w:val="en-US" w:eastAsia="zh-CN"/>
              </w:rPr>
              <w:t>505</w:t>
            </w:r>
          </w:p>
        </w:tc>
        <w:tc>
          <w:tcPr>
            <w:tcW w:w="51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机关事业单位基本养老保险缴费支出</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华文中宋" w:hAnsi="华文中宋" w:eastAsia="华文中宋" w:cs="宋体"/>
                <w:sz w:val="24"/>
                <w:szCs w:val="24"/>
              </w:rPr>
            </w:pPr>
            <w:r>
              <w:rPr>
                <w:rFonts w:hint="eastAsia" w:ascii="华文中宋" w:hAnsi="华文中宋" w:eastAsia="华文中宋"/>
                <w:lang w:val="en-US" w:eastAsia="zh-CN"/>
              </w:rPr>
              <w:t>8.30</w:t>
            </w:r>
            <w:r>
              <w:rPr>
                <w:rFonts w:hint="eastAsia" w:ascii="华文中宋" w:hAnsi="华文中宋" w:eastAsia="华文中宋"/>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8.30</w:t>
            </w: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73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rPr>
            </w:pPr>
            <w:r>
              <w:rPr>
                <w:rFonts w:hint="eastAsia"/>
              </w:rPr>
              <w:t>2101</w:t>
            </w:r>
          </w:p>
          <w:p>
            <w:pPr>
              <w:rPr>
                <w:rFonts w:ascii="宋体" w:hAnsi="宋体" w:eastAsia="宋体" w:cs="宋体"/>
                <w:sz w:val="24"/>
                <w:szCs w:val="24"/>
              </w:rPr>
            </w:pPr>
            <w:r>
              <w:rPr>
                <w:rFonts w:hint="eastAsia"/>
              </w:rPr>
              <w:t>102</w:t>
            </w:r>
          </w:p>
        </w:tc>
        <w:tc>
          <w:tcPr>
            <w:tcW w:w="51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事业单位医疗</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4.54</w:t>
            </w: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4.54</w:t>
            </w: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73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rPr>
            </w:pPr>
            <w:r>
              <w:rPr>
                <w:rFonts w:hint="eastAsia"/>
              </w:rPr>
              <w:t>2210</w:t>
            </w:r>
          </w:p>
          <w:p>
            <w:pPr>
              <w:rPr>
                <w:rFonts w:ascii="宋体" w:hAnsi="宋体" w:eastAsia="宋体" w:cs="宋体"/>
                <w:sz w:val="24"/>
                <w:szCs w:val="24"/>
              </w:rPr>
            </w:pPr>
            <w:r>
              <w:rPr>
                <w:rFonts w:hint="eastAsia"/>
              </w:rPr>
              <w:t>201</w:t>
            </w:r>
          </w:p>
        </w:tc>
        <w:tc>
          <w:tcPr>
            <w:tcW w:w="51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住房公积金</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5.72</w:t>
            </w: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5.72</w:t>
            </w: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8"/>
        <w:tblW w:w="15640" w:type="dxa"/>
        <w:tblInd w:w="93" w:type="dxa"/>
        <w:tblLayout w:type="fixed"/>
        <w:tblCellMar>
          <w:top w:w="0" w:type="dxa"/>
          <w:left w:w="108" w:type="dxa"/>
          <w:bottom w:w="0" w:type="dxa"/>
          <w:right w:w="108" w:type="dxa"/>
        </w:tblCellMar>
      </w:tblPr>
      <w:tblGrid>
        <w:gridCol w:w="1055"/>
        <w:gridCol w:w="181"/>
        <w:gridCol w:w="240"/>
        <w:gridCol w:w="1504"/>
        <w:gridCol w:w="1952"/>
        <w:gridCol w:w="1991"/>
        <w:gridCol w:w="1991"/>
        <w:gridCol w:w="1991"/>
        <w:gridCol w:w="1991"/>
        <w:gridCol w:w="2744"/>
      </w:tblGrid>
      <w:tr>
        <w:tblPrEx>
          <w:tblCellMar>
            <w:top w:w="0" w:type="dxa"/>
            <w:left w:w="108" w:type="dxa"/>
            <w:bottom w:w="0" w:type="dxa"/>
            <w:right w:w="108" w:type="dxa"/>
          </w:tblCellMar>
        </w:tblPrEx>
        <w:trPr>
          <w:trHeight w:val="807" w:hRule="atLeast"/>
        </w:trPr>
        <w:tc>
          <w:tcPr>
            <w:tcW w:w="15640" w:type="dxa"/>
            <w:gridSpan w:val="10"/>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1236"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0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2980" w:type="dxa"/>
            <w:gridSpan w:val="4"/>
            <w:tcBorders>
              <w:top w:val="nil"/>
              <w:left w:val="nil"/>
              <w:bottom w:val="nil"/>
              <w:right w:val="nil"/>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部门：</w:t>
            </w:r>
            <w:r>
              <w:rPr>
                <w:rFonts w:hint="eastAsia" w:ascii="宋体" w:hAnsi="宋体" w:eastAsia="宋体" w:cs="宋体"/>
                <w:i w:val="0"/>
                <w:color w:val="000000"/>
                <w:kern w:val="0"/>
                <w:sz w:val="20"/>
                <w:szCs w:val="20"/>
                <w:u w:val="none"/>
                <w:lang w:val="en-US" w:eastAsia="zh-CN" w:bidi="ar"/>
              </w:rPr>
              <w:t>道县濂溪山庄管理委员会</w:t>
            </w: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95" w:hRule="atLeast"/>
        </w:trPr>
        <w:tc>
          <w:tcPr>
            <w:tcW w:w="2980"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476"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504"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76"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0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2980"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52"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595" w:hRule="atLeast"/>
        </w:trPr>
        <w:tc>
          <w:tcPr>
            <w:tcW w:w="2980"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88.99</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88.99</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055"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2010350</w:t>
            </w:r>
          </w:p>
        </w:tc>
        <w:tc>
          <w:tcPr>
            <w:tcW w:w="192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事业运行</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70.43</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70.43</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055"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2080505</w:t>
            </w:r>
          </w:p>
        </w:tc>
        <w:tc>
          <w:tcPr>
            <w:tcW w:w="192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8.30</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8.30</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055"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2101102</w:t>
            </w:r>
          </w:p>
        </w:tc>
        <w:tc>
          <w:tcPr>
            <w:tcW w:w="192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事业单位医疗</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4.54</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4.54</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055"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2210201</w:t>
            </w:r>
          </w:p>
        </w:tc>
        <w:tc>
          <w:tcPr>
            <w:tcW w:w="192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住房公积金</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5.72</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5.72</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828" w:hRule="atLeast"/>
        </w:trPr>
        <w:tc>
          <w:tcPr>
            <w:tcW w:w="15640" w:type="dxa"/>
            <w:gridSpan w:val="10"/>
            <w:tcBorders>
              <w:top w:val="nil"/>
              <w:left w:val="nil"/>
              <w:bottom w:val="nil"/>
              <w:right w:val="nil"/>
            </w:tcBorders>
            <w:shd w:val="clear" w:color="auto" w:fill="auto"/>
            <w:vAlign w:val="center"/>
          </w:tcPr>
          <w:p>
            <w:pPr>
              <w:widowControl/>
              <w:jc w:val="left"/>
              <w:rPr>
                <w:rFonts w:hint="eastAsia"/>
              </w:rPr>
            </w:pPr>
          </w:p>
          <w:p>
            <w:pPr>
              <w:widowControl/>
              <w:jc w:val="left"/>
              <w:rPr>
                <w:rFonts w:hint="eastAsia"/>
              </w:rPr>
            </w:pPr>
            <w:r>
              <w:rPr>
                <w:rFonts w:hint="eastAsia"/>
              </w:rPr>
              <w:t>注：本表反映部门本年度各项支出情况。</w:t>
            </w:r>
          </w:p>
          <w:p/>
        </w:tc>
      </w:tr>
    </w:tbl>
    <w:p>
      <w:pPr>
        <w:widowControl/>
        <w:jc w:val="both"/>
        <w:rPr>
          <w:rFonts w:ascii="Times New Roman" w:hAnsi="Times New Roman" w:eastAsia="方正小标宋_GBK" w:cs="Times New Roman"/>
          <w:color w:val="000000"/>
          <w:kern w:val="0"/>
          <w:sz w:val="36"/>
          <w:szCs w:val="21"/>
        </w:rPr>
      </w:pPr>
    </w:p>
    <w:tbl>
      <w:tblPr>
        <w:tblStyle w:val="8"/>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tblPrEx>
          <w:tblCellMar>
            <w:top w:w="0" w:type="dxa"/>
            <w:left w:w="108" w:type="dxa"/>
            <w:bottom w:w="0" w:type="dxa"/>
            <w:right w:w="108" w:type="dxa"/>
          </w:tblCellMar>
        </w:tblPrEx>
        <w:trPr>
          <w:trHeight w:val="285" w:hRule="atLeast"/>
        </w:trPr>
        <w:tc>
          <w:tcPr>
            <w:tcW w:w="3596"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6"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i w:val="0"/>
                <w:color w:val="000000"/>
                <w:kern w:val="0"/>
                <w:sz w:val="20"/>
                <w:szCs w:val="20"/>
                <w:u w:val="none"/>
                <w:lang w:val="en-US" w:eastAsia="zh-CN" w:bidi="ar"/>
              </w:rPr>
              <w:t>道县濂溪山庄管理委员会</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88.99</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70.43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70.43</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8.30</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kern w:val="0"/>
                <w:sz w:val="22"/>
                <w:lang w:val="en-US" w:eastAsia="zh-CN"/>
              </w:rPr>
              <w:t>8.30</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4.54</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kern w:val="0"/>
                <w:sz w:val="22"/>
                <w:lang w:val="en-US" w:eastAsia="zh-CN"/>
              </w:rPr>
              <w:t>4.54</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四、城乡社区支出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五、住房保障支出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5.72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5.72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4"/>
                <w:szCs w:val="24"/>
              </w:rPr>
            </w:pP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88.99</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88.99</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88.99</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88.99</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kern w:val="0"/>
                <w:sz w:val="22"/>
                <w:lang w:val="en-US" w:eastAsia="zh-CN"/>
              </w:rPr>
              <w:t>88.99</w:t>
            </w:r>
          </w:p>
        </w:tc>
        <w:tc>
          <w:tcPr>
            <w:tcW w:w="1394"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88.99</w:t>
            </w:r>
          </w:p>
        </w:tc>
        <w:tc>
          <w:tcPr>
            <w:tcW w:w="1394"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b w:val="0"/>
                <w:bCs w:val="0"/>
                <w:kern w:val="0"/>
                <w:sz w:val="22"/>
                <w:lang w:val="en-US" w:eastAsia="zh-CN"/>
              </w:rPr>
            </w:pPr>
            <w:r>
              <w:rPr>
                <w:rFonts w:hint="eastAsia" w:ascii="宋体" w:hAnsi="宋体" w:eastAsia="宋体" w:cs="宋体"/>
                <w:b w:val="0"/>
                <w:bCs w:val="0"/>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i w:val="0"/>
          <w:color w:val="000000"/>
          <w:kern w:val="0"/>
          <w:sz w:val="20"/>
          <w:szCs w:val="20"/>
          <w:u w:val="none"/>
          <w:lang w:val="en-US" w:eastAsia="zh-CN" w:bidi="ar"/>
        </w:rPr>
        <w:t>道县濂溪山庄管理委员会</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88.99</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88.99</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2010350</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事业运行</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70.43</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70.43</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8.30</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8.30</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2101102</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事业单位医疗</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4.54</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4.54</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2210201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住房公积金</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5.72</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5.72</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8"/>
        <w:tblW w:w="15698" w:type="dxa"/>
        <w:tblInd w:w="0" w:type="dxa"/>
        <w:tblLayout w:type="fixed"/>
        <w:tblCellMar>
          <w:top w:w="0" w:type="dxa"/>
          <w:left w:w="108" w:type="dxa"/>
          <w:bottom w:w="0" w:type="dxa"/>
          <w:right w:w="108" w:type="dxa"/>
        </w:tblCellMar>
      </w:tblPr>
      <w:tblGrid>
        <w:gridCol w:w="865"/>
        <w:gridCol w:w="132"/>
        <w:gridCol w:w="240"/>
        <w:gridCol w:w="1393"/>
        <w:gridCol w:w="1768"/>
        <w:gridCol w:w="347"/>
        <w:gridCol w:w="669"/>
        <w:gridCol w:w="918"/>
        <w:gridCol w:w="605"/>
        <w:gridCol w:w="1661"/>
        <w:gridCol w:w="444"/>
        <w:gridCol w:w="606"/>
        <w:gridCol w:w="934"/>
        <w:gridCol w:w="566"/>
        <w:gridCol w:w="2106"/>
        <w:gridCol w:w="1578"/>
        <w:gridCol w:w="528"/>
        <w:gridCol w:w="338"/>
      </w:tblGrid>
      <w:tr>
        <w:tblPrEx>
          <w:tblCellMar>
            <w:top w:w="0" w:type="dxa"/>
            <w:left w:w="108" w:type="dxa"/>
            <w:bottom w:w="0" w:type="dxa"/>
            <w:right w:w="108" w:type="dxa"/>
          </w:tblCellMar>
        </w:tblPrEx>
        <w:trPr>
          <w:trHeight w:val="113" w:hRule="atLeast"/>
        </w:trPr>
        <w:tc>
          <w:tcPr>
            <w:tcW w:w="15698"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center"/>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i w:val="0"/>
                <w:color w:val="000000"/>
                <w:kern w:val="0"/>
                <w:sz w:val="20"/>
                <w:szCs w:val="20"/>
                <w:u w:val="none"/>
                <w:lang w:val="en-US" w:eastAsia="zh-CN" w:bidi="ar"/>
              </w:rPr>
              <w:t>道县濂溪山庄管理委员会</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8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533"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16"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1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66"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5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3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250"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66"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589"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76.22</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12.77</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604"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35.82</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2.40</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589"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2.15</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1.37</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99"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9.14</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694"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679"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10.55</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84"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8.30</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664"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0.72</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529"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4.54</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54"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529"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514"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5.72</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85"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0.88</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24"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74"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604"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0.23</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529"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54"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514"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54"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84"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0.12</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39"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604"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1.60</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84"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8"/>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hint="eastAsia" w:ascii="宋体" w:hAnsi="宋体" w:eastAsia="宋体" w:cs="宋体"/>
                <w:color w:val="000000"/>
                <w:kern w:val="0"/>
                <w:szCs w:val="20"/>
              </w:rPr>
            </w:pPr>
          </w:p>
          <w:tbl>
            <w:tblPr>
              <w:tblStyle w:val="8"/>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ascii="宋体" w:hAnsi="宋体" w:eastAsia="宋体" w:cs="宋体"/>
                <w:color w:val="000000"/>
                <w:kern w:val="0"/>
                <w:szCs w:val="20"/>
              </w:rPr>
            </w:pP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69"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634"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4.05</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514"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589" w:hRule="exact"/>
        </w:trPr>
        <w:tc>
          <w:tcPr>
            <w:tcW w:w="86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533"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2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105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1.39</w:t>
            </w:r>
          </w:p>
        </w:tc>
        <w:tc>
          <w:tcPr>
            <w:tcW w:w="93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25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664" w:hRule="exact"/>
        </w:trPr>
        <w:tc>
          <w:tcPr>
            <w:tcW w:w="439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0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76.22</w:t>
            </w:r>
          </w:p>
        </w:tc>
        <w:tc>
          <w:tcPr>
            <w:tcW w:w="9418"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8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lang w:val="en-US" w:eastAsia="zh-CN"/>
              </w:rPr>
              <w:t>12.77</w:t>
            </w:r>
          </w:p>
        </w:tc>
      </w:tr>
      <w:tr>
        <w:tblPrEx>
          <w:tblCellMar>
            <w:top w:w="0" w:type="dxa"/>
            <w:left w:w="108" w:type="dxa"/>
            <w:bottom w:w="0" w:type="dxa"/>
            <w:right w:w="108" w:type="dxa"/>
          </w:tblCellMar>
        </w:tblPrEx>
        <w:trPr>
          <w:trHeight w:val="1844" w:hRule="exact"/>
        </w:trPr>
        <w:tc>
          <w:tcPr>
            <w:tcW w:w="15698" w:type="dxa"/>
            <w:gridSpan w:val="18"/>
            <w:tcBorders>
              <w:top w:val="nil"/>
              <w:left w:val="nil"/>
              <w:bottom w:val="nil"/>
              <w:right w:val="nil"/>
            </w:tcBorders>
            <w:shd w:val="clear" w:color="auto" w:fill="auto"/>
            <w:noWrap/>
            <w:vAlign w:val="center"/>
          </w:tcPr>
          <w:p>
            <w:pPr>
              <w:widowControl/>
              <w:jc w:val="left"/>
              <w:rPr>
                <w:rFonts w:hint="eastAsia"/>
              </w:rPr>
            </w:pPr>
            <w:r>
              <w:rPr>
                <w:rFonts w:hint="eastAsia"/>
              </w:rPr>
              <w:t>注：本表反映部门本年度一般公共预算财政拨款基本支出明细情况。</w:t>
            </w:r>
          </w:p>
          <w:p>
            <w:pPr>
              <w:pStyle w:val="2"/>
              <w:rPr>
                <w:rFonts w:hint="eastAsia"/>
              </w:rPr>
            </w:pPr>
          </w:p>
          <w:p>
            <w:pPr>
              <w:pStyle w:val="3"/>
              <w:rPr>
                <w:rFonts w:hint="eastAsia"/>
              </w:rPr>
            </w:pPr>
          </w:p>
          <w:p>
            <w:pPr>
              <w:pStyle w:val="2"/>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38" w:type="dxa"/>
          <w:trHeight w:val="690" w:hRule="atLeast"/>
        </w:trPr>
        <w:tc>
          <w:tcPr>
            <w:tcW w:w="15360"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38" w:type="dxa"/>
          <w:trHeight w:val="345" w:hRule="atLeast"/>
        </w:trPr>
        <w:tc>
          <w:tcPr>
            <w:tcW w:w="997"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393"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115"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92"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5"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6"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6"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6"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38" w:type="dxa"/>
          <w:trHeight w:val="690" w:hRule="atLeast"/>
        </w:trPr>
        <w:tc>
          <w:tcPr>
            <w:tcW w:w="4745" w:type="dxa"/>
            <w:gridSpan w:val="6"/>
            <w:tcBorders>
              <w:top w:val="nil"/>
              <w:left w:val="nil"/>
              <w:bottom w:val="nil"/>
              <w:right w:val="nil"/>
            </w:tcBorders>
            <w:shd w:val="clear" w:color="auto" w:fill="FFFFFF"/>
            <w:noWrap/>
            <w:vAlign w:val="center"/>
          </w:tcPr>
          <w:p>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部门：道县濂溪山庄管理委员会</w:t>
            </w:r>
          </w:p>
        </w:tc>
        <w:tc>
          <w:tcPr>
            <w:tcW w:w="2192"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5"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6"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6"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6"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38" w:type="dxa"/>
          <w:trHeight w:val="459" w:hRule="atLeast"/>
        </w:trPr>
        <w:tc>
          <w:tcPr>
            <w:tcW w:w="26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5"/>
                <w:lang w:val="en-US" w:eastAsia="zh-CN" w:bidi="ar"/>
              </w:rPr>
              <w:t xml:space="preserve">   </w:t>
            </w:r>
            <w:r>
              <w:rPr>
                <w:rStyle w:val="16"/>
                <w:lang w:val="en-US" w:eastAsia="zh-CN" w:bidi="ar"/>
              </w:rPr>
              <w:t>目</w:t>
            </w:r>
          </w:p>
        </w:tc>
        <w:tc>
          <w:tcPr>
            <w:tcW w:w="21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19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3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38" w:type="dxa"/>
          <w:trHeight w:val="609" w:hRule="atLeast"/>
        </w:trPr>
        <w:tc>
          <w:tcPr>
            <w:tcW w:w="123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3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0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38" w:type="dxa"/>
          <w:trHeight w:val="409" w:hRule="atLeast"/>
        </w:trPr>
        <w:tc>
          <w:tcPr>
            <w:tcW w:w="123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38" w:type="dxa"/>
          <w:trHeight w:val="509" w:hRule="atLeast"/>
        </w:trPr>
        <w:tc>
          <w:tcPr>
            <w:tcW w:w="123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38" w:type="dxa"/>
          <w:trHeight w:val="509" w:hRule="atLeast"/>
        </w:trPr>
        <w:tc>
          <w:tcPr>
            <w:tcW w:w="26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38" w:type="dxa"/>
          <w:trHeight w:val="509" w:hRule="atLeast"/>
        </w:trPr>
        <w:tc>
          <w:tcPr>
            <w:tcW w:w="26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4"/>
                <w:szCs w:val="24"/>
                <w:u w:val="none"/>
                <w:lang w:val="en-US" w:eastAsia="zh-CN"/>
              </w:rPr>
            </w:pP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4"/>
                <w:szCs w:val="24"/>
                <w:u w:val="none"/>
                <w:lang w:val="en-US" w:eastAsia="zh-CN"/>
              </w:rPr>
            </w:pPr>
          </w:p>
        </w:tc>
        <w:tc>
          <w:tcPr>
            <w:tcW w:w="21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4"/>
                <w:szCs w:val="24"/>
                <w:u w:val="none"/>
                <w:lang w:val="en-US" w:eastAsia="zh-CN"/>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38" w:type="dxa"/>
          <w:trHeight w:val="509" w:hRule="atLeast"/>
        </w:trPr>
        <w:tc>
          <w:tcPr>
            <w:tcW w:w="12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4"/>
                <w:szCs w:val="24"/>
                <w:u w:val="none"/>
                <w:lang w:val="en-US" w:eastAsia="zh-CN"/>
              </w:rPr>
            </w:pP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4"/>
                <w:szCs w:val="24"/>
                <w:u w:val="none"/>
                <w:lang w:val="en-US" w:eastAsia="zh-CN"/>
              </w:rPr>
            </w:pPr>
          </w:p>
        </w:tc>
        <w:tc>
          <w:tcPr>
            <w:tcW w:w="21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4"/>
                <w:szCs w:val="24"/>
                <w:u w:val="none"/>
                <w:lang w:val="en-US" w:eastAsia="zh-CN"/>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38" w:type="dxa"/>
          <w:trHeight w:val="725" w:hRule="atLeast"/>
        </w:trPr>
        <w:tc>
          <w:tcPr>
            <w:tcW w:w="15360"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p>
      <w:pPr>
        <w:pStyle w:val="2"/>
        <w:rPr>
          <w:rFonts w:hint="eastAsia" w:ascii="Times New Roman" w:hAnsi="Times New Roman" w:eastAsia="方正小标宋_GBK" w:cs="Times New Roman"/>
          <w:color w:val="000000"/>
          <w:kern w:val="0"/>
          <w:sz w:val="36"/>
          <w:szCs w:val="36"/>
        </w:rPr>
      </w:pPr>
    </w:p>
    <w:p>
      <w:pPr>
        <w:pStyle w:val="3"/>
        <w:rPr>
          <w:rFonts w:hint="eastAsia" w:ascii="Times New Roman" w:hAnsi="Times New Roman" w:eastAsia="方正小标宋_GBK" w:cs="Times New Roman"/>
          <w:color w:val="000000"/>
          <w:kern w:val="0"/>
          <w:sz w:val="36"/>
          <w:szCs w:val="36"/>
        </w:rPr>
      </w:pPr>
    </w:p>
    <w:p>
      <w:pPr>
        <w:rPr>
          <w:rFonts w:hint="eastAsia"/>
        </w:rPr>
      </w:pPr>
      <w:bookmarkStart w:id="3" w:name="_GoBack"/>
      <w:bookmarkEnd w:id="3"/>
    </w:p>
    <w:p>
      <w:pPr>
        <w:pStyle w:val="2"/>
        <w:rPr>
          <w:rFonts w:hint="eastAsia" w:ascii="Times New Roman" w:hAnsi="Times New Roman" w:eastAsia="方正小标宋_GBK" w:cs="Times New Roman"/>
          <w:color w:val="000000"/>
          <w:kern w:val="0"/>
          <w:sz w:val="36"/>
          <w:szCs w:val="36"/>
        </w:rPr>
      </w:pPr>
    </w:p>
    <w:p>
      <w:pPr>
        <w:pStyle w:val="3"/>
        <w:ind w:left="0" w:leftChars="0" w:firstLine="0" w:firstLineChars="0"/>
        <w:rPr>
          <w:rFonts w:hint="eastAsia"/>
        </w:rPr>
      </w:pPr>
    </w:p>
    <w:p>
      <w:pPr>
        <w:pStyle w:val="2"/>
        <w:rPr>
          <w:rFonts w:hint="eastAsia"/>
        </w:rPr>
      </w:pPr>
    </w:p>
    <w:tbl>
      <w:tblPr>
        <w:tblStyle w:val="8"/>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17" w:hRule="atLeast"/>
        </w:trPr>
        <w:tc>
          <w:tcPr>
            <w:tcW w:w="4319" w:type="dxa"/>
            <w:gridSpan w:val="3"/>
            <w:tcBorders>
              <w:top w:val="nil"/>
              <w:left w:val="nil"/>
              <w:bottom w:val="nil"/>
              <w:right w:val="nil"/>
            </w:tcBorders>
            <w:shd w:val="clear" w:color="auto" w:fill="FFFFFF"/>
            <w:noWrap/>
            <w:vAlign w:val="center"/>
          </w:tcPr>
          <w:p>
            <w:pPr>
              <w:jc w:val="left"/>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部门：道县濂溪山庄管理委员会</w:t>
            </w: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7"/>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tbl>
      <w:tblPr>
        <w:tblStyle w:val="8"/>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0" w:hRule="atLeast"/>
        </w:trPr>
        <w:tc>
          <w:tcPr>
            <w:tcW w:w="3782" w:type="dxa"/>
            <w:gridSpan w:val="3"/>
            <w:tcBorders>
              <w:top w:val="nil"/>
              <w:left w:val="nil"/>
              <w:bottom w:val="nil"/>
              <w:right w:val="nil"/>
            </w:tcBorders>
            <w:shd w:val="clear" w:color="auto" w:fill="FFFFFF"/>
            <w:noWrap/>
            <w:vAlign w:val="center"/>
          </w:tcPr>
          <w:p>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部门：道县濂溪山庄管理委员会</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widowControl/>
        <w:jc w:val="both"/>
        <w:rPr>
          <w:sz w:val="72"/>
          <w:szCs w:val="72"/>
        </w:rPr>
        <w:sectPr>
          <w:pgSz w:w="16838" w:h="11906" w:orient="landscape"/>
          <w:pgMar w:top="720" w:right="720" w:bottom="720" w:left="720" w:header="851" w:footer="992" w:gutter="0"/>
          <w:cols w:space="425" w:num="1"/>
          <w:docGrid w:type="lines" w:linePitch="312" w:charSpace="0"/>
        </w:sectPr>
      </w:pPr>
    </w:p>
    <w:p>
      <w:pPr>
        <w:pStyle w:val="12"/>
        <w:rPr>
          <w:sz w:val="72"/>
          <w:szCs w:val="72"/>
        </w:rPr>
      </w:pPr>
    </w:p>
    <w:p>
      <w:pPr>
        <w:pStyle w:val="12"/>
        <w:rPr>
          <w:sz w:val="72"/>
          <w:szCs w:val="72"/>
        </w:rPr>
      </w:pPr>
    </w:p>
    <w:p>
      <w:pPr>
        <w:pStyle w:val="12"/>
        <w:rPr>
          <w:sz w:val="72"/>
          <w:szCs w:val="72"/>
        </w:rPr>
      </w:pPr>
    </w:p>
    <w:p>
      <w:pPr>
        <w:pStyle w:val="12"/>
        <w:rPr>
          <w:sz w:val="72"/>
          <w:szCs w:val="72"/>
        </w:rPr>
      </w:pPr>
    </w:p>
    <w:p>
      <w:pPr>
        <w:pStyle w:val="12"/>
        <w:jc w:val="center"/>
        <w:rPr>
          <w:sz w:val="72"/>
          <w:szCs w:val="72"/>
        </w:rPr>
      </w:pPr>
    </w:p>
    <w:p>
      <w:pPr>
        <w:pStyle w:val="12"/>
        <w:jc w:val="center"/>
        <w:rPr>
          <w:rFonts w:hint="eastAsia" w:ascii="方正小标宋_GBK" w:hAnsi="方正小标宋_GBK" w:eastAsia="方正小标宋_GBK" w:cs="方正小标宋_GBK"/>
          <w:sz w:val="72"/>
          <w:szCs w:val="72"/>
        </w:rPr>
      </w:pPr>
    </w:p>
    <w:p>
      <w:pPr>
        <w:pStyle w:val="12"/>
        <w:spacing w:line="360" w:lineRule="auto"/>
        <w:jc w:val="center"/>
        <w:rPr>
          <w:rFonts w:hint="eastAsia" w:ascii="Times New Roman" w:hAnsi="Times New Roman" w:eastAsia="方正小标宋_GBK" w:cs="Times New Roman"/>
          <w:kern w:val="0"/>
          <w:sz w:val="52"/>
          <w:szCs w:val="52"/>
        </w:rPr>
      </w:pPr>
      <w:r>
        <w:rPr>
          <w:rFonts w:hint="eastAsia" w:ascii="Times New Roman" w:hAnsi="Times New Roman" w:eastAsia="方正小标宋_GBK" w:cs="Times New Roman"/>
          <w:kern w:val="0"/>
          <w:sz w:val="52"/>
          <w:szCs w:val="52"/>
        </w:rPr>
        <w:t>第三部分</w:t>
      </w:r>
    </w:p>
    <w:p>
      <w:pPr>
        <w:pStyle w:val="12"/>
        <w:spacing w:line="360" w:lineRule="auto"/>
        <w:jc w:val="center"/>
        <w:rPr>
          <w:rFonts w:hint="eastAsia" w:ascii="Times New Roman" w:hAnsi="Times New Roman" w:eastAsia="方正小标宋_GBK" w:cs="Times New Roman"/>
          <w:kern w:val="0"/>
          <w:sz w:val="52"/>
          <w:szCs w:val="52"/>
        </w:rPr>
      </w:pPr>
    </w:p>
    <w:p>
      <w:pPr>
        <w:pStyle w:val="12"/>
        <w:spacing w:line="360" w:lineRule="auto"/>
        <w:jc w:val="center"/>
        <w:rPr>
          <w:rFonts w:hint="eastAsia" w:ascii="Times New Roman" w:hAnsi="Times New Roman" w:eastAsia="方正小标宋_GBK" w:cs="Times New Roman"/>
          <w:kern w:val="0"/>
          <w:sz w:val="52"/>
          <w:szCs w:val="52"/>
        </w:rPr>
      </w:pPr>
      <w:r>
        <w:rPr>
          <w:rFonts w:hint="eastAsia" w:ascii="Times New Roman" w:hAnsi="Times New Roman" w:eastAsia="方正小标宋_GBK" w:cs="Times New Roman"/>
          <w:kern w:val="0"/>
          <w:sz w:val="52"/>
          <w:szCs w:val="52"/>
          <w:lang w:eastAsia="zh-CN"/>
        </w:rPr>
        <w:t>20</w:t>
      </w:r>
      <w:r>
        <w:rPr>
          <w:rFonts w:hint="eastAsia" w:ascii="Times New Roman" w:hAnsi="Times New Roman" w:eastAsia="方正小标宋_GBK" w:cs="Times New Roman"/>
          <w:kern w:val="0"/>
          <w:sz w:val="52"/>
          <w:szCs w:val="52"/>
          <w:lang w:val="en-US" w:eastAsia="zh-CN"/>
        </w:rPr>
        <w:t>25</w:t>
      </w:r>
      <w:r>
        <w:rPr>
          <w:rFonts w:hint="eastAsia" w:ascii="Times New Roman" w:hAnsi="Times New Roman" w:eastAsia="方正小标宋_GBK" w:cs="Times New Roman"/>
          <w:kern w:val="0"/>
          <w:sz w:val="52"/>
          <w:szCs w:val="52"/>
          <w:lang w:eastAsia="zh-CN"/>
        </w:rPr>
        <w:t>年</w:t>
      </w:r>
      <w:r>
        <w:rPr>
          <w:rFonts w:hint="eastAsia" w:ascii="Times New Roman" w:hAnsi="Times New Roman" w:eastAsia="方正小标宋_GBK" w:cs="Times New Roman"/>
          <w:kern w:val="0"/>
          <w:sz w:val="52"/>
          <w:szCs w:val="52"/>
        </w:rPr>
        <w:t>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2025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度收、支总计</w:t>
      </w:r>
      <w:r>
        <w:rPr>
          <w:rFonts w:hint="eastAsia" w:ascii="Times New Roman" w:hAnsi="Times New Roman" w:eastAsia="仿宋_GB2312"/>
          <w:sz w:val="32"/>
          <w:szCs w:val="32"/>
          <w:lang w:val="en-US" w:eastAsia="zh-CN"/>
        </w:rPr>
        <w:t>88.99</w:t>
      </w:r>
      <w:r>
        <w:rPr>
          <w:rFonts w:hint="eastAsia" w:ascii="Times New Roman" w:hAnsi="Times New Roman" w:eastAsia="仿宋_GB2312"/>
          <w:sz w:val="32"/>
          <w:szCs w:val="32"/>
        </w:rPr>
        <w:t>万元。与上年相比，减少</w:t>
      </w:r>
      <w:r>
        <w:rPr>
          <w:rFonts w:hint="eastAsia" w:ascii="Times New Roman" w:hAnsi="Times New Roman" w:eastAsia="仿宋_GB2312"/>
          <w:sz w:val="32"/>
          <w:szCs w:val="32"/>
          <w:lang w:val="en-US" w:eastAsia="zh-CN"/>
        </w:rPr>
        <w:t>159.2</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64</w:t>
      </w:r>
      <w:r>
        <w:rPr>
          <w:rFonts w:hint="eastAsia" w:ascii="Times New Roman" w:hAnsi="Times New Roman" w:eastAsia="仿宋_GB2312"/>
          <w:sz w:val="32"/>
          <w:szCs w:val="32"/>
        </w:rPr>
        <w:t>%，主要是因为火车站新区工程款拨款紧张因素所致</w:t>
      </w:r>
      <w:r>
        <w:rPr>
          <w:rFonts w:hint="eastAsia" w:ascii="Times New Roman" w:hAnsi="Times New Roman" w:eastAsia="仿宋_GB2312"/>
          <w:sz w:val="32"/>
          <w:szCs w:val="32"/>
          <w:lang w:eastAsia="zh-CN"/>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2025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度收入合计</w:t>
      </w:r>
      <w:r>
        <w:rPr>
          <w:rFonts w:hint="eastAsia" w:ascii="Times New Roman" w:hAnsi="Times New Roman" w:eastAsia="仿宋_GB2312"/>
          <w:sz w:val="32"/>
          <w:szCs w:val="32"/>
          <w:lang w:val="en-US" w:eastAsia="zh-CN"/>
        </w:rPr>
        <w:t>88.99</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88.99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2025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度支出合计</w:t>
      </w:r>
      <w:r>
        <w:rPr>
          <w:rFonts w:hint="eastAsia" w:ascii="Times New Roman" w:hAnsi="Times New Roman" w:eastAsia="仿宋_GB2312"/>
          <w:sz w:val="32"/>
          <w:szCs w:val="32"/>
          <w:lang w:val="en-US" w:eastAsia="zh-CN"/>
        </w:rPr>
        <w:t>88.99</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88.99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2"/>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val="en-US" w:eastAsia="zh-CN"/>
        </w:rPr>
        <w:t>2025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度财政拨款收、支总计</w:t>
      </w:r>
      <w:r>
        <w:rPr>
          <w:rFonts w:hint="eastAsia" w:ascii="Times New Roman" w:hAnsi="Times New Roman" w:eastAsia="仿宋_GB2312"/>
          <w:sz w:val="32"/>
          <w:szCs w:val="32"/>
          <w:lang w:val="en-US" w:eastAsia="zh-CN"/>
        </w:rPr>
        <w:t>88.99</w:t>
      </w:r>
      <w:r>
        <w:rPr>
          <w:rFonts w:hint="eastAsia" w:ascii="Times New Roman" w:hAnsi="Times New Roman" w:eastAsia="仿宋_GB2312"/>
          <w:sz w:val="32"/>
          <w:szCs w:val="32"/>
        </w:rPr>
        <w:t>元，与上年相比，减少</w:t>
      </w:r>
      <w:r>
        <w:rPr>
          <w:rFonts w:hint="eastAsia" w:ascii="Times New Roman" w:hAnsi="Times New Roman" w:eastAsia="仿宋_GB2312"/>
          <w:sz w:val="32"/>
          <w:szCs w:val="32"/>
          <w:lang w:val="en-US" w:eastAsia="zh-CN"/>
        </w:rPr>
        <w:t>159.2</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64</w:t>
      </w:r>
      <w:r>
        <w:rPr>
          <w:rFonts w:hint="eastAsia" w:ascii="Times New Roman" w:hAnsi="Times New Roman" w:eastAsia="仿宋_GB2312"/>
          <w:sz w:val="32"/>
          <w:szCs w:val="32"/>
        </w:rPr>
        <w:t>%，主要是因为火车站新区工程款拨款紧张因素所致</w:t>
      </w:r>
      <w:r>
        <w:rPr>
          <w:rFonts w:hint="eastAsia" w:ascii="Times New Roman" w:hAnsi="Times New Roman" w:eastAsia="仿宋_GB2312"/>
          <w:sz w:val="32"/>
          <w:szCs w:val="32"/>
          <w:lang w:eastAsia="zh-CN"/>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2025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88.99</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%，与上年相比，财政拨款支出减少</w:t>
      </w:r>
      <w:r>
        <w:rPr>
          <w:rFonts w:hint="eastAsia" w:ascii="Times New Roman" w:hAnsi="Times New Roman" w:eastAsia="仿宋_GB2312"/>
          <w:sz w:val="32"/>
          <w:szCs w:val="32"/>
          <w:lang w:val="en-US" w:eastAsia="zh-CN"/>
        </w:rPr>
        <w:t>17.59</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16</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人员减少。</w:t>
      </w:r>
    </w:p>
    <w:p>
      <w:pPr>
        <w:pStyle w:val="12"/>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2025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88.99</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70.43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79.14</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社会保障和就业</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支出</w:t>
      </w:r>
      <w:r>
        <w:rPr>
          <w:rFonts w:hint="eastAsia" w:ascii="Times New Roman" w:hAnsi="Times New Roman" w:eastAsia="仿宋_GB2312"/>
          <w:sz w:val="32"/>
          <w:szCs w:val="32"/>
          <w:lang w:val="en-US" w:eastAsia="zh-CN"/>
        </w:rPr>
        <w:t>8.3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9.33</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卫生健康（类）支出</w:t>
      </w:r>
      <w:r>
        <w:rPr>
          <w:rFonts w:hint="eastAsia" w:ascii="Times New Roman" w:hAnsi="Times New Roman" w:eastAsia="仿宋_GB2312"/>
          <w:sz w:val="32"/>
          <w:szCs w:val="32"/>
          <w:lang w:val="en-US" w:eastAsia="zh-CN"/>
        </w:rPr>
        <w:t>4.54万元，占5.1%；住房保障（类）支出5.72万元，占6.43%。</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2025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度财政拨款支出年初预算数为</w:t>
      </w:r>
      <w:r>
        <w:rPr>
          <w:rFonts w:hint="eastAsia" w:ascii="Times New Roman" w:hAnsi="Times New Roman" w:eastAsia="仿宋_GB2312"/>
          <w:sz w:val="32"/>
          <w:szCs w:val="32"/>
          <w:lang w:val="en-US" w:eastAsia="zh-CN"/>
        </w:rPr>
        <w:t>98.54</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88.99</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90</w:t>
      </w:r>
      <w:r>
        <w:rPr>
          <w:rFonts w:hint="eastAsia" w:ascii="Times New Roman" w:hAnsi="Times New Roman" w:eastAsia="仿宋_GB2312"/>
          <w:sz w:val="32"/>
          <w:szCs w:val="32"/>
        </w:rPr>
        <w:t>%，其中：</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1、一般公共服务支出（类）政府办公厅（室）及相关机构事务(款) 事业运行(项)。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79.43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70.43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89</w:t>
      </w:r>
      <w:r>
        <w:rPr>
          <w:rFonts w:hint="eastAsia" w:ascii="Times New Roman" w:hAnsi="Times New Roman" w:eastAsia="仿宋_GB2312"/>
          <w:sz w:val="32"/>
          <w:szCs w:val="32"/>
        </w:rPr>
        <w:t>%，决算数小于年初预算数的主要原因是：</w:t>
      </w:r>
      <w:r>
        <w:rPr>
          <w:rFonts w:hint="eastAsia" w:ascii="Times New Roman" w:hAnsi="Times New Roman" w:eastAsia="仿宋_GB2312"/>
          <w:sz w:val="32"/>
          <w:szCs w:val="32"/>
          <w:lang w:eastAsia="zh-CN"/>
        </w:rPr>
        <w:t>人员减少。</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2、社会保障和就业支出(类)行政事业单位离退休(款)机关事业单位基本养老保险缴费支出(项)。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8.35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8.3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99</w:t>
      </w:r>
      <w:r>
        <w:rPr>
          <w:rFonts w:hint="eastAsia" w:ascii="Times New Roman" w:hAnsi="Times New Roman" w:eastAsia="仿宋_GB2312"/>
          <w:sz w:val="32"/>
          <w:szCs w:val="32"/>
        </w:rPr>
        <w:t>%，决算数小于年初预算数的主要原因是：人员减少。</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3、卫生健康支出(类)行政事业单位医疗(款)事业单位医疗(项)。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4.54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4.54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4、住房保障支出（类）住房改革支出（款）住房公积金（项）。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6.22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5.72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92</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人员减少</w:t>
      </w:r>
      <w:r>
        <w:rPr>
          <w:rFonts w:hint="eastAsia" w:ascii="Times New Roman" w:hAnsi="Times New Roman" w:eastAsia="仿宋_GB2312"/>
          <w:sz w:val="32"/>
          <w:szCs w:val="32"/>
        </w:rPr>
        <w:t>。</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eastAsia="zh-CN"/>
        </w:rPr>
        <w:t>按照支出功能分类，</w:t>
      </w:r>
      <w:r>
        <w:rPr>
          <w:rFonts w:hint="eastAsia" w:ascii="Times New Roman" w:hAnsi="Times New Roman" w:eastAsia="仿宋_GB2312"/>
          <w:sz w:val="32"/>
          <w:szCs w:val="32"/>
        </w:rPr>
        <w:t>一般公共服务（类）</w:t>
      </w:r>
      <w:r>
        <w:rPr>
          <w:rFonts w:hint="eastAsia" w:ascii="Times New Roman" w:hAnsi="Times New Roman" w:eastAsia="仿宋_GB2312"/>
          <w:sz w:val="32"/>
          <w:szCs w:val="32"/>
          <w:lang w:eastAsia="zh-CN"/>
        </w:rPr>
        <w:t>方面的</w:t>
      </w:r>
      <w:r>
        <w:rPr>
          <w:rFonts w:hint="eastAsia" w:ascii="Times New Roman" w:hAnsi="Times New Roman" w:eastAsia="仿宋_GB2312"/>
          <w:sz w:val="32"/>
          <w:szCs w:val="32"/>
        </w:rPr>
        <w:t>支出</w:t>
      </w:r>
      <w:r>
        <w:rPr>
          <w:rFonts w:hint="eastAsia" w:ascii="Times New Roman" w:hAnsi="Times New Roman" w:eastAsia="仿宋_GB2312"/>
          <w:sz w:val="32"/>
          <w:szCs w:val="32"/>
          <w:lang w:eastAsia="zh-CN"/>
        </w:rPr>
        <w:t>规模较大，主要是：</w:t>
      </w:r>
      <w:r>
        <w:rPr>
          <w:rFonts w:hint="eastAsia" w:ascii="Times New Roman" w:hAnsi="Times New Roman" w:eastAsia="仿宋_GB2312"/>
          <w:sz w:val="32"/>
          <w:szCs w:val="32"/>
        </w:rPr>
        <w:t>一般公共服务支出（类）政府办公厅（室）及相关机构事务(款) 事业运行(项)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2025年度决算数为70.43万元，占财政拨款支出总额的79.14%，主要用于基本工资、津补贴、奖金、绩效工资、办公费、印刷费、邮电费、维修费、培训费、劳务费、工会经费、其他交通费用、其他商品和服务支出。</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2025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度财政拨款基本支出</w:t>
      </w:r>
      <w:r>
        <w:rPr>
          <w:rFonts w:hint="eastAsia" w:ascii="Times New Roman" w:hAnsi="Times New Roman" w:eastAsia="仿宋_GB2312"/>
          <w:sz w:val="32"/>
          <w:szCs w:val="32"/>
          <w:lang w:val="en-US" w:eastAsia="zh-CN"/>
        </w:rPr>
        <w:t>88.99</w:t>
      </w:r>
      <w:r>
        <w:rPr>
          <w:rFonts w:hint="eastAsia" w:ascii="Times New Roman" w:hAnsi="Times New Roman" w:eastAsia="仿宋_GB2312"/>
          <w:sz w:val="32"/>
          <w:szCs w:val="32"/>
        </w:rPr>
        <w:t>万元，其中：</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76.22</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86</w:t>
      </w:r>
      <w:r>
        <w:rPr>
          <w:rFonts w:hint="eastAsia" w:ascii="Times New Roman" w:hAnsi="Times New Roman" w:eastAsia="仿宋_GB2312"/>
          <w:sz w:val="32"/>
          <w:szCs w:val="32"/>
        </w:rPr>
        <w:t>%,主要包括基本工资、津贴补贴、奖金、</w:t>
      </w:r>
      <w:r>
        <w:rPr>
          <w:rFonts w:hint="eastAsia" w:ascii="Times New Roman" w:hAnsi="Times New Roman" w:eastAsia="仿宋_GB2312"/>
          <w:sz w:val="32"/>
          <w:szCs w:val="32"/>
          <w:lang w:eastAsia="zh-CN"/>
        </w:rPr>
        <w:t>绩效工资、机关事业单位基本养老保险缴费、职工基本医疗保险缴费、住房公积金。</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sz w:val="32"/>
          <w:szCs w:val="32"/>
          <w:lang w:eastAsia="zh-CN"/>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12.77</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14</w:t>
      </w:r>
      <w:r>
        <w:rPr>
          <w:rFonts w:hint="eastAsia" w:ascii="Times New Roman" w:hAnsi="Times New Roman" w:eastAsia="仿宋_GB2312"/>
          <w:sz w:val="32"/>
          <w:szCs w:val="32"/>
        </w:rPr>
        <w:t>%，主要包括办公费、印刷费、</w:t>
      </w:r>
      <w:r>
        <w:rPr>
          <w:rFonts w:hint="eastAsia" w:ascii="Times New Roman" w:hAnsi="Times New Roman" w:eastAsia="仿宋_GB2312"/>
          <w:sz w:val="32"/>
          <w:szCs w:val="32"/>
          <w:lang w:eastAsia="zh-CN"/>
        </w:rPr>
        <w:t>邮电费</w:t>
      </w:r>
      <w:r>
        <w:rPr>
          <w:rFonts w:hint="eastAsia" w:ascii="Times New Roman" w:hAnsi="Times New Roman" w:eastAsia="仿宋_GB2312"/>
          <w:sz w:val="32"/>
          <w:szCs w:val="32"/>
        </w:rPr>
        <w:t>、劳务费、工会经费、其他交通费、其他商品和服务支出</w:t>
      </w:r>
      <w:r>
        <w:rPr>
          <w:rFonts w:hint="eastAsia" w:ascii="Times New Roman" w:hAnsi="Times New Roman" w:eastAsia="仿宋_GB2312"/>
          <w:sz w:val="32"/>
          <w:szCs w:val="32"/>
          <w:lang w:eastAsia="zh-CN"/>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0.2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%，决算数小于预算数的主要原因是单位</w:t>
      </w:r>
      <w:r>
        <w:rPr>
          <w:rFonts w:hint="eastAsia" w:ascii="Times New Roman" w:hAnsi="Times New Roman" w:eastAsia="仿宋_GB2312"/>
          <w:sz w:val="32"/>
          <w:szCs w:val="32"/>
          <w:lang w:eastAsia="zh-CN"/>
        </w:rPr>
        <w:t>无</w:t>
      </w:r>
      <w:r>
        <w:rPr>
          <w:rFonts w:hint="eastAsia" w:ascii="Times New Roman" w:hAnsi="Times New Roman" w:eastAsia="仿宋_GB2312"/>
          <w:sz w:val="32"/>
          <w:szCs w:val="32"/>
        </w:rPr>
        <w:t>公务接待活动</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0.2</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%,减少的主要原因是单位</w:t>
      </w:r>
      <w:r>
        <w:rPr>
          <w:rFonts w:hint="eastAsia" w:ascii="Times New Roman" w:hAnsi="Times New Roman" w:eastAsia="仿宋_GB2312"/>
          <w:sz w:val="32"/>
          <w:szCs w:val="32"/>
          <w:lang w:eastAsia="zh-CN"/>
        </w:rPr>
        <w:t>无</w:t>
      </w:r>
      <w:r>
        <w:rPr>
          <w:rFonts w:hint="eastAsia" w:ascii="Times New Roman" w:hAnsi="Times New Roman" w:eastAsia="仿宋_GB2312"/>
          <w:sz w:val="32"/>
          <w:szCs w:val="32"/>
        </w:rPr>
        <w:t>公务接待活动。其中：</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%，决算数小于预算数的主要原因是单位</w:t>
      </w:r>
      <w:r>
        <w:rPr>
          <w:rFonts w:hint="eastAsia" w:ascii="Times New Roman" w:hAnsi="Times New Roman" w:eastAsia="仿宋_GB2312"/>
          <w:sz w:val="32"/>
          <w:szCs w:val="32"/>
          <w:lang w:eastAsia="zh-CN"/>
        </w:rPr>
        <w:t>无</w:t>
      </w:r>
      <w:r>
        <w:rPr>
          <w:rFonts w:hint="eastAsia" w:ascii="Times New Roman" w:hAnsi="Times New Roman" w:eastAsia="仿宋_GB2312"/>
          <w:sz w:val="32"/>
          <w:szCs w:val="32"/>
        </w:rPr>
        <w:t>公务接待活动，与上年相比减少</w:t>
      </w:r>
      <w:r>
        <w:rPr>
          <w:rFonts w:hint="eastAsia" w:ascii="Times New Roman" w:hAnsi="Times New Roman" w:eastAsia="仿宋_GB2312"/>
          <w:sz w:val="32"/>
          <w:szCs w:val="32"/>
          <w:lang w:val="en-US" w:eastAsia="zh-CN"/>
        </w:rPr>
        <w:t>0.2</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%,减少的主要原因是单位</w:t>
      </w:r>
      <w:r>
        <w:rPr>
          <w:rFonts w:hint="eastAsia" w:ascii="Times New Roman" w:hAnsi="Times New Roman" w:eastAsia="仿宋_GB2312"/>
          <w:sz w:val="32"/>
          <w:szCs w:val="32"/>
          <w:lang w:eastAsia="zh-CN"/>
        </w:rPr>
        <w:t>无</w:t>
      </w:r>
      <w:r>
        <w:rPr>
          <w:rFonts w:hint="eastAsia" w:ascii="Times New Roman" w:hAnsi="Times New Roman" w:eastAsia="仿宋_GB2312"/>
          <w:sz w:val="32"/>
          <w:szCs w:val="32"/>
        </w:rPr>
        <w:t>公务接待活动。</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2025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w:t>
      </w:r>
      <w:r>
        <w:rPr>
          <w:rFonts w:hint="eastAsia" w:ascii="Times New Roman" w:hAnsi="Times New Roman" w:eastAsia="仿宋_GB2312"/>
          <w:sz w:val="32"/>
          <w:szCs w:val="32"/>
          <w:lang w:eastAsia="zh-CN"/>
        </w:rPr>
        <w:t>无</w:t>
      </w:r>
      <w:r>
        <w:rPr>
          <w:rFonts w:hint="eastAsia" w:ascii="Times New Roman" w:hAnsi="Times New Roman" w:eastAsia="仿宋_GB2312"/>
          <w:sz w:val="32"/>
          <w:szCs w:val="32"/>
        </w:rPr>
        <w:t>“三公”经费财政拨款支出</w:t>
      </w:r>
      <w:r>
        <w:rPr>
          <w:rFonts w:hint="eastAsia" w:ascii="Times New Roman" w:hAnsi="Times New Roman" w:eastAsia="仿宋_GB2312"/>
          <w:sz w:val="32"/>
          <w:szCs w:val="32"/>
          <w:lang w:eastAsia="zh-CN"/>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2"/>
        <w:keepNext w:val="0"/>
        <w:keepLines w:val="0"/>
        <w:pageBreakBefore w:val="0"/>
        <w:widowControl w:val="0"/>
        <w:kinsoku/>
        <w:wordWrap/>
        <w:overflowPunct/>
        <w:topLinePunct w:val="0"/>
        <w:bidi w:val="0"/>
        <w:snapToGrid/>
        <w:spacing w:line="600" w:lineRule="exact"/>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val="en-US" w:eastAsia="zh-CN"/>
        </w:rPr>
        <w:t>2025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度政府性基金预算财政拨款收入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万元。具体情况如下：</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1、城乡社区支出（类）国有土地使用权出让收入安排的支出（款）其他国有土地使用权出让收入安排的支出（项）。</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83.09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%，决算数小于年初预算数的主要原因是：</w:t>
      </w:r>
      <w:r>
        <w:rPr>
          <w:rFonts w:hint="eastAsia" w:ascii="Times New Roman" w:hAnsi="Times New Roman" w:eastAsia="仿宋_GB2312"/>
          <w:sz w:val="32"/>
          <w:szCs w:val="32"/>
          <w:lang w:eastAsia="zh-CN"/>
        </w:rPr>
        <w:t>财政资金紧张。</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val="en-US" w:eastAsia="zh-CN"/>
        </w:rPr>
        <w:t>2025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度机关运行经费支出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万元，与年初预算数持平。</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lang w:val="en-US" w:eastAsia="zh-CN"/>
        </w:rPr>
        <w:t>2025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万元；开支培训费</w:t>
      </w:r>
      <w:r>
        <w:rPr>
          <w:rFonts w:hint="eastAsia" w:ascii="Times New Roman" w:hAnsi="Times New Roman" w:eastAsia="仿宋_GB2312"/>
          <w:sz w:val="32"/>
          <w:szCs w:val="32"/>
          <w:lang w:val="en-US" w:eastAsia="zh-CN"/>
        </w:rPr>
        <w:t>0.23</w:t>
      </w:r>
      <w:r>
        <w:rPr>
          <w:rFonts w:hint="eastAsia" w:ascii="Times New Roman" w:hAnsi="Times New Roman" w:eastAsia="仿宋_GB2312"/>
          <w:sz w:val="32"/>
          <w:szCs w:val="32"/>
        </w:rPr>
        <w:t>万元。</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楷体" w:hAnsi="楷体" w:eastAsia="仿宋_GB2312" w:cs="楷体"/>
          <w:b/>
          <w:bCs/>
          <w:i/>
          <w:color w:val="auto"/>
          <w:kern w:val="0"/>
          <w:sz w:val="32"/>
          <w:szCs w:val="32"/>
          <w:lang w:val="en-US" w:eastAsia="zh-CN" w:bidi="ar-SA"/>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度政府采购支出总额</w:t>
      </w:r>
      <w:r>
        <w:rPr>
          <w:rFonts w:hint="eastAsia" w:ascii="Times New Roman" w:hAnsi="Times New Roman" w:eastAsia="仿宋_GB2312"/>
          <w:sz w:val="32"/>
          <w:szCs w:val="32"/>
          <w:lang w:val="en-US" w:eastAsia="zh-CN"/>
        </w:rPr>
        <w:t>3.28</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3.28</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3.28</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3.28</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w:t>
      </w:r>
      <w:r>
        <w:rPr>
          <w:rFonts w:hint="eastAsia" w:ascii="Times New Roman" w:hAnsi="Times New Roman" w:eastAsia="仿宋_GB2312"/>
          <w:color w:val="auto"/>
          <w:sz w:val="32"/>
          <w:szCs w:val="32"/>
          <w:lang w:val="en-US" w:eastAsia="zh-CN"/>
        </w:rPr>
        <w:t>25</w:t>
      </w:r>
      <w:r>
        <w:rPr>
          <w:rFonts w:hint="eastAsia" w:ascii="Times New Roman" w:hAnsi="Times New Roman" w:eastAsia="仿宋_GB2312"/>
          <w:color w:val="auto"/>
          <w:sz w:val="32"/>
          <w:szCs w:val="32"/>
          <w:lang w:eastAsia="zh-CN"/>
        </w:rPr>
        <w:t>年</w:t>
      </w:r>
      <w:r>
        <w:rPr>
          <w:rFonts w:hint="eastAsia" w:ascii="Times New Roman" w:hAnsi="Times New Roman" w:eastAsia="仿宋_GB2312"/>
          <w:color w:val="auto"/>
          <w:sz w:val="32"/>
          <w:szCs w:val="32"/>
        </w:rPr>
        <w:t>12月31日，</w:t>
      </w:r>
      <w:r>
        <w:rPr>
          <w:rFonts w:hint="eastAsia" w:ascii="Times New Roman" w:hAnsi="Times New Roman" w:eastAsia="仿宋_GB2312"/>
          <w:color w:val="auto"/>
          <w:sz w:val="32"/>
          <w:szCs w:val="32"/>
          <w:lang w:eastAsia="zh-CN"/>
        </w:rPr>
        <w:t>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w:t>
      </w:r>
      <w:r>
        <w:rPr>
          <w:rFonts w:hint="eastAsia" w:ascii="Times New Roman" w:hAnsi="Times New Roman" w:eastAsia="仿宋_GB2312"/>
          <w:color w:val="auto"/>
          <w:sz w:val="32"/>
          <w:szCs w:val="32"/>
          <w:lang w:val="en-US" w:eastAsia="zh-CN"/>
        </w:rPr>
        <w:t>25</w:t>
      </w:r>
      <w:r>
        <w:rPr>
          <w:rFonts w:hint="eastAsia" w:ascii="Times New Roman" w:hAnsi="Times New Roman" w:eastAsia="仿宋_GB2312"/>
          <w:color w:val="auto"/>
          <w:sz w:val="32"/>
          <w:szCs w:val="32"/>
          <w:lang w:eastAsia="zh-CN"/>
        </w:rPr>
        <w:t>年</w:t>
      </w:r>
      <w:r>
        <w:rPr>
          <w:rFonts w:hint="eastAsia" w:ascii="黑体" w:hAnsi="黑体" w:eastAsia="黑体" w:cs="黑体"/>
          <w:b w:val="0"/>
          <w:bCs/>
          <w:color w:val="auto"/>
          <w:sz w:val="32"/>
          <w:szCs w:val="32"/>
        </w:rPr>
        <w:t>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1、完善制度，规范管理。</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完善了濂溪山庄预算管理、收入管理、财务支出、报销、借款、国有资产管理、政府采购管理、建设工程管理、合同管理、会议管理、集体决策管理十一个制度，对行政运行、内部控制、会议、差旅、培训等按新政策进行修订和细化。</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2、严格执行预算，控制各项支出。</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要按预算的项目进行支出，严格控制各项支出。</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3、完善监管，进行常态管理。</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）严格控制公务接待费。</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公务接待严格按接待标准执行，严禁超标准和使用烟酒。</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）加强培训费及差旅费的管理。</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严格控制培训参会次数、人数，实行出差审批制，控制出差次数、人数。</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）严格执行政府采购。</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单位购置物品按采购规定实施，耗材、办公用品实行定点采购。</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）加强用电管理。</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提倡节约用电，下班后办公室进行统一关闭电源。</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）加强资产管理。</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 xml:space="preserve"> 加强对资产的管理，经常对资产的进行清理，要帐实相符。</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1、经济效益评价</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本年预算配置控制较好。</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财政供养人员控制在预算编制以内，编制12人，在职</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人，编制内在职人员控制率100%；本年三公经费支出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万元，其中公务接待0.2万元，与预算的</w:t>
      </w:r>
      <w:r>
        <w:rPr>
          <w:rFonts w:hint="eastAsia" w:ascii="Times New Roman" w:hAnsi="Times New Roman" w:eastAsia="仿宋_GB2312"/>
          <w:sz w:val="32"/>
          <w:szCs w:val="32"/>
          <w:lang w:val="en-US" w:eastAsia="zh-CN"/>
        </w:rPr>
        <w:t>0.2</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0.2</w:t>
      </w:r>
      <w:r>
        <w:rPr>
          <w:rFonts w:hint="eastAsia" w:ascii="Times New Roman" w:hAnsi="Times New Roman" w:eastAsia="仿宋_GB2312"/>
          <w:sz w:val="32"/>
          <w:szCs w:val="32"/>
        </w:rPr>
        <w:t>万元。比上年决算</w:t>
      </w:r>
      <w:r>
        <w:rPr>
          <w:rFonts w:hint="eastAsia" w:ascii="Times New Roman" w:hAnsi="Times New Roman" w:eastAsia="仿宋_GB2312"/>
          <w:sz w:val="32"/>
          <w:szCs w:val="32"/>
          <w:lang w:val="en-US" w:eastAsia="zh-CN"/>
        </w:rPr>
        <w:t>0.2</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0.2</w:t>
      </w:r>
      <w:r>
        <w:rPr>
          <w:rFonts w:hint="eastAsia" w:ascii="Times New Roman" w:hAnsi="Times New Roman" w:eastAsia="仿宋_GB2312"/>
          <w:sz w:val="32"/>
          <w:szCs w:val="32"/>
        </w:rPr>
        <w:t>万元。</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（2）预算执行方面。</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支出总额控制在预算总额以内，严格按预算项目支出。</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（3）预算管理方面。</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履行职责职能,严格按财经法规及制度使用和管理资金，完成本单位预算收支计划，实现收支平衡。</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（4）资产管理方面。</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建立了资产管理制度，进行了资产清理，做到帐实相符。</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2、效率性评价和有效性评价</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预算安排的基本支出资金的支付，保障了职工工资,津补贴及商品和服务支出、个人和家庭补助等各项支出的足额支付，保证了单位的工作正常运转。</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 xml:space="preserve">3、社会公众满意度评价    </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在火车站新区工程项目建设和安置区建设及</w:t>
      </w:r>
      <w:r>
        <w:rPr>
          <w:rFonts w:hint="eastAsia" w:ascii="Times New Roman" w:hAnsi="Times New Roman" w:eastAsia="仿宋_GB2312"/>
          <w:sz w:val="32"/>
          <w:szCs w:val="32"/>
          <w:lang w:eastAsia="zh-CN"/>
        </w:rPr>
        <w:t>广文铺村乡村振兴、</w:t>
      </w:r>
      <w:r>
        <w:rPr>
          <w:rFonts w:hint="eastAsia" w:ascii="Times New Roman" w:hAnsi="Times New Roman" w:eastAsia="仿宋_GB2312"/>
          <w:sz w:val="32"/>
          <w:szCs w:val="32"/>
        </w:rPr>
        <w:t>扶贫为群众服务方面，得到了群众的满意评价。</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4、完成产出指标任务，产生了很好的经济社会效益。</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完成了联系白芒铺镇</w:t>
      </w:r>
      <w:r>
        <w:rPr>
          <w:rFonts w:hint="eastAsia" w:ascii="Times New Roman" w:hAnsi="Times New Roman" w:eastAsia="仿宋_GB2312"/>
          <w:sz w:val="32"/>
          <w:szCs w:val="32"/>
          <w:lang w:eastAsia="zh-CN"/>
        </w:rPr>
        <w:t>广文铺村</w:t>
      </w:r>
      <w:r>
        <w:rPr>
          <w:rFonts w:hint="eastAsia" w:ascii="Times New Roman" w:hAnsi="Times New Roman" w:eastAsia="仿宋_GB2312"/>
          <w:sz w:val="32"/>
          <w:szCs w:val="32"/>
        </w:rPr>
        <w:t>脱贫户扶贫帮困工作，为其村群众解决实际问题</w:t>
      </w:r>
      <w:r>
        <w:rPr>
          <w:rFonts w:hint="eastAsia" w:ascii="Times New Roman" w:hAnsi="Times New Roman" w:eastAsia="仿宋_GB2312"/>
          <w:sz w:val="32"/>
          <w:szCs w:val="32"/>
          <w:lang w:eastAsia="zh-CN"/>
        </w:rPr>
        <w:t>。</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方正小标宋_GBK" w:hAnsi="方正小标宋_GBK" w:eastAsia="方正小标宋_GBK" w:cs="方正小标宋_GBK"/>
          <w:sz w:val="72"/>
          <w:szCs w:val="72"/>
        </w:rPr>
      </w:pPr>
      <w:r>
        <w:rPr>
          <w:rFonts w:hint="eastAsia" w:ascii="Times New Roman" w:hAnsi="Times New Roman" w:eastAsia="仿宋_GB2312"/>
          <w:sz w:val="32"/>
          <w:szCs w:val="32"/>
        </w:rPr>
        <w:t>由于财政资金困难，单位的支出付款受到影响，加大资金调度力度，保证各项目款的及时支付。</w:t>
      </w:r>
    </w:p>
    <w:p>
      <w:pPr>
        <w:pStyle w:val="12"/>
        <w:jc w:val="center"/>
        <w:rPr>
          <w:rFonts w:hint="eastAsia" w:ascii="方正小标宋_GBK" w:hAnsi="方正小标宋_GBK" w:eastAsia="方正小标宋_GBK" w:cs="方正小标宋_GBK"/>
          <w:sz w:val="72"/>
          <w:szCs w:val="72"/>
        </w:rPr>
      </w:pPr>
    </w:p>
    <w:p>
      <w:pPr>
        <w:pStyle w:val="12"/>
        <w:jc w:val="both"/>
        <w:rPr>
          <w:rFonts w:hint="eastAsia" w:ascii="方正小标宋_GBK" w:hAnsi="方正小标宋_GBK" w:eastAsia="方正小标宋_GBK" w:cs="方正小标宋_GBK"/>
          <w:sz w:val="72"/>
          <w:szCs w:val="72"/>
        </w:rPr>
      </w:pPr>
    </w:p>
    <w:p>
      <w:pPr>
        <w:pStyle w:val="12"/>
        <w:spacing w:line="360" w:lineRule="auto"/>
        <w:jc w:val="center"/>
        <w:rPr>
          <w:rFonts w:hint="eastAsia" w:ascii="Times New Roman" w:hAnsi="Times New Roman" w:eastAsia="方正小标宋_GBK" w:cs="Times New Roman"/>
          <w:kern w:val="0"/>
          <w:sz w:val="52"/>
          <w:szCs w:val="52"/>
        </w:rPr>
      </w:pPr>
      <w:r>
        <w:rPr>
          <w:rFonts w:hint="eastAsia" w:ascii="Times New Roman" w:hAnsi="Times New Roman" w:eastAsia="方正小标宋_GBK" w:cs="Times New Roman"/>
          <w:kern w:val="0"/>
          <w:sz w:val="52"/>
          <w:szCs w:val="52"/>
        </w:rPr>
        <w:t>第四部分</w:t>
      </w:r>
      <w:r>
        <w:rPr>
          <w:rFonts w:hint="eastAsia" w:ascii="Times New Roman" w:hAnsi="Times New Roman" w:eastAsia="方正小标宋_GBK" w:cs="Times New Roman"/>
          <w:kern w:val="0"/>
          <w:sz w:val="52"/>
          <w:szCs w:val="52"/>
          <w:lang w:val="en-US" w:eastAsia="zh-CN"/>
        </w:rPr>
        <w:t xml:space="preserve">  </w:t>
      </w:r>
      <w:r>
        <w:rPr>
          <w:rFonts w:hint="eastAsia" w:ascii="Times New Roman" w:hAnsi="Times New Roman" w:eastAsia="方正小标宋_GBK" w:cs="Times New Roman"/>
          <w:kern w:val="0"/>
          <w:sz w:val="52"/>
          <w:szCs w:val="52"/>
        </w:rPr>
        <w:t>名词解释</w:t>
      </w:r>
    </w:p>
    <w:p>
      <w:pPr>
        <w:widowControl/>
        <w:jc w:val="left"/>
        <w:rPr>
          <w:rFonts w:cs="黑体" w:asciiTheme="minorEastAsia" w:hAnsiTheme="minorEastAsia"/>
          <w:color w:val="000000"/>
          <w:kern w:val="0"/>
          <w:sz w:val="32"/>
          <w:szCs w:val="32"/>
        </w:rPr>
      </w:pPr>
    </w:p>
    <w:p>
      <w:pPr>
        <w:widowControl/>
        <w:ind w:left="210" w:leftChars="100" w:firstLine="320" w:firstLineChars="1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一、</w:t>
      </w:r>
      <w:r>
        <w:rPr>
          <w:rFonts w:ascii="Times New Roman" w:hAnsi="Times New Roman" w:eastAsia="仿宋_GB2312" w:cs="黑体"/>
          <w:color w:val="000000"/>
          <w:kern w:val="0"/>
          <w:sz w:val="32"/>
          <w:szCs w:val="32"/>
        </w:rPr>
        <w:t xml:space="preserve">财政拨款收入：指单位本年度从同级财政部门取得的各类财政 拨款。 </w:t>
      </w:r>
      <w:r>
        <w:rPr>
          <w:rFonts w:hint="eastAsia" w:ascii="Times New Roman" w:hAnsi="Times New Roman" w:eastAsia="仿宋_GB2312" w:cs="黑体"/>
          <w:color w:val="000000"/>
          <w:kern w:val="0"/>
          <w:sz w:val="32"/>
          <w:szCs w:val="32"/>
        </w:rPr>
        <w:t xml:space="preserve">  </w:t>
      </w:r>
    </w:p>
    <w:p>
      <w:pPr>
        <w:widowControl/>
        <w:ind w:left="210" w:leftChars="100" w:firstLine="320" w:firstLineChars="1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二、</w:t>
      </w:r>
      <w:r>
        <w:rPr>
          <w:rFonts w:ascii="Times New Roman" w:hAnsi="Times New Roman" w:eastAsia="仿宋_GB2312" w:cs="黑体"/>
          <w:color w:val="000000"/>
          <w:kern w:val="0"/>
          <w:sz w:val="32"/>
          <w:szCs w:val="32"/>
        </w:rPr>
        <w:t xml:space="preserve">上级补助收入：指事业单位从主管部门和上级单位取得的非财 政补助收入。 </w:t>
      </w:r>
    </w:p>
    <w:p>
      <w:pPr>
        <w:widowControl/>
        <w:ind w:firstLine="480" w:firstLineChars="15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三、</w:t>
      </w:r>
      <w:r>
        <w:rPr>
          <w:rFonts w:ascii="Times New Roman" w:hAnsi="Times New Roman" w:eastAsia="仿宋_GB2312" w:cs="黑体"/>
          <w:color w:val="000000"/>
          <w:kern w:val="0"/>
          <w:sz w:val="32"/>
          <w:szCs w:val="32"/>
        </w:rPr>
        <w:t xml:space="preserve">机关运行经费：指行政单位（含参照公务员法管理的事业单位） 使用一般公共预算安排的基本支出中的公用经费支出，包括办公及印刷 费、邮电费、差旅费、会议费、福利费、日常维修费、专用材料及一般 设备购置费、办公用房水电费、办公用房取暖费、办公用房物业管理费、 公务用车运行维护费及其他费用。 </w:t>
      </w:r>
    </w:p>
    <w:p>
      <w:pPr>
        <w:widowControl/>
        <w:ind w:firstLine="480" w:firstLineChars="15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四、</w:t>
      </w:r>
      <w:r>
        <w:rPr>
          <w:rFonts w:ascii="Times New Roman" w:hAnsi="Times New Roman" w:eastAsia="仿宋_GB2312" w:cs="黑体"/>
          <w:color w:val="000000"/>
          <w:kern w:val="0"/>
          <w:sz w:val="32"/>
          <w:szCs w:val="32"/>
        </w:rPr>
        <w:t xml:space="preserve">“三公”经费：指单位用一般公共预算财政拨款安排的因公出 国（境）费、公务用车购置及运行维护费和公务接待费。其中，因公出 国（境）费反映单位公务出国（境）的国际旅费、国外城市间交通费、 住宿费、伙食费、培训费、公杂费等支出；公务用车购置及运行维护费 反映单位公务用车购置支出（含车辆购置税、牌照费）以及按规定保留 的公务用车燃料费、维修费、过路过桥费、保险费、安全奖励费用等支 出；公务接待费反映单位按规定开支的各类公务接待（含外宾接待）费 用。 </w:t>
      </w:r>
    </w:p>
    <w:p>
      <w:pPr>
        <w:widowControl/>
        <w:ind w:firstLine="480" w:firstLineChars="15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五、</w:t>
      </w:r>
      <w:r>
        <w:rPr>
          <w:rFonts w:ascii="Times New Roman" w:hAnsi="Times New Roman" w:eastAsia="仿宋_GB2312" w:cs="黑体"/>
          <w:color w:val="000000"/>
          <w:kern w:val="0"/>
          <w:sz w:val="32"/>
          <w:szCs w:val="32"/>
        </w:rPr>
        <w:t xml:space="preserve">对附属单位补助支出：指事业单位用财政拨款收入之外的收入 对附属单位补助发生的支出。 </w:t>
      </w:r>
    </w:p>
    <w:p>
      <w:pPr>
        <w:widowControl/>
        <w:ind w:firstLine="480" w:firstLineChars="15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六、</w:t>
      </w:r>
      <w:r>
        <w:rPr>
          <w:rFonts w:ascii="Times New Roman" w:hAnsi="Times New Roman" w:eastAsia="仿宋_GB2312" w:cs="黑体"/>
          <w:color w:val="000000"/>
          <w:kern w:val="0"/>
          <w:sz w:val="32"/>
          <w:szCs w:val="32"/>
        </w:rPr>
        <w:t xml:space="preserve">经营支出：指事业单位在专业业务活动及其辅助活动之外开展 非独立核算经营活动发生的支出。 </w:t>
      </w:r>
    </w:p>
    <w:p>
      <w:pPr>
        <w:widowControl/>
        <w:ind w:firstLine="480" w:firstLineChars="150"/>
        <w:jc w:val="left"/>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七、</w:t>
      </w:r>
      <w:r>
        <w:rPr>
          <w:rFonts w:ascii="Times New Roman" w:hAnsi="Times New Roman" w:eastAsia="仿宋_GB2312" w:cs="黑体"/>
          <w:color w:val="000000"/>
          <w:kern w:val="0"/>
          <w:sz w:val="32"/>
          <w:szCs w:val="32"/>
        </w:rPr>
        <w:t>上缴上级支出：指事业单位按照财政部门和主管部门的规定上</w:t>
      </w:r>
    </w:p>
    <w:p>
      <w:pPr>
        <w:widowControl/>
        <w:jc w:val="left"/>
        <w:rPr>
          <w:rFonts w:hint="eastAsia" w:ascii="Times New Roman" w:hAnsi="Times New Roman" w:eastAsia="仿宋_GB2312" w:cs="黑体"/>
          <w:color w:val="000000"/>
          <w:kern w:val="0"/>
          <w:sz w:val="32"/>
          <w:szCs w:val="32"/>
        </w:rPr>
      </w:pPr>
      <w:r>
        <w:rPr>
          <w:rFonts w:ascii="Times New Roman" w:hAnsi="Times New Roman" w:eastAsia="仿宋_GB2312" w:cs="黑体"/>
          <w:color w:val="000000"/>
          <w:kern w:val="0"/>
          <w:sz w:val="32"/>
          <w:szCs w:val="32"/>
        </w:rPr>
        <w:t xml:space="preserve">缴上级单位的支出。 </w:t>
      </w:r>
    </w:p>
    <w:p>
      <w:pPr>
        <w:widowControl/>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八、</w:t>
      </w:r>
      <w:r>
        <w:rPr>
          <w:rFonts w:ascii="Times New Roman" w:hAnsi="Times New Roman" w:eastAsia="仿宋_GB2312" w:cs="黑体"/>
          <w:color w:val="000000"/>
          <w:kern w:val="0"/>
          <w:sz w:val="32"/>
          <w:szCs w:val="32"/>
        </w:rPr>
        <w:t>事业收入：指事业单位开展专业业务活动及其辅助活动取得的 收入，事业单位收到的财政专户实际核拨的教育收费等资金在此反映。</w:t>
      </w:r>
    </w:p>
    <w:p>
      <w:pPr>
        <w:widowControl/>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九、</w:t>
      </w:r>
      <w:r>
        <w:rPr>
          <w:rFonts w:ascii="Times New Roman" w:hAnsi="Times New Roman" w:eastAsia="仿宋_GB2312" w:cs="黑体"/>
          <w:color w:val="000000"/>
          <w:kern w:val="0"/>
          <w:sz w:val="32"/>
          <w:szCs w:val="32"/>
        </w:rPr>
        <w:t xml:space="preserve">经营收入：指事业单位在专业业务活动及其辅助活动之外开展 非独立核算经营活动取得的收入。 </w:t>
      </w:r>
    </w:p>
    <w:p>
      <w:pPr>
        <w:widowControl/>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十、</w:t>
      </w:r>
      <w:r>
        <w:rPr>
          <w:rFonts w:ascii="Times New Roman" w:hAnsi="Times New Roman" w:eastAsia="仿宋_GB2312" w:cs="黑体"/>
          <w:color w:val="000000"/>
          <w:kern w:val="0"/>
          <w:sz w:val="32"/>
          <w:szCs w:val="32"/>
        </w:rPr>
        <w:t xml:space="preserve">附属单位上缴收入：指事业单位附属独立核算单位按照有关规 定上缴的收入。 </w:t>
      </w:r>
    </w:p>
    <w:p>
      <w:pPr>
        <w:widowControl/>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十一、</w:t>
      </w:r>
      <w:r>
        <w:rPr>
          <w:rFonts w:ascii="Times New Roman" w:hAnsi="Times New Roman" w:eastAsia="仿宋_GB2312" w:cs="黑体"/>
          <w:color w:val="000000"/>
          <w:kern w:val="0"/>
          <w:sz w:val="32"/>
          <w:szCs w:val="32"/>
        </w:rPr>
        <w:t xml:space="preserve">其他收入：指单位取得的除上述“财政拨款收入”、“事业收 入”、“经营收入”等以外的各项收入。 </w:t>
      </w:r>
    </w:p>
    <w:p>
      <w:pPr>
        <w:widowControl/>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十二、</w:t>
      </w:r>
      <w:r>
        <w:rPr>
          <w:rFonts w:ascii="Times New Roman" w:hAnsi="Times New Roman" w:eastAsia="仿宋_GB2312" w:cs="黑体"/>
          <w:color w:val="000000"/>
          <w:kern w:val="0"/>
          <w:sz w:val="32"/>
          <w:szCs w:val="32"/>
        </w:rPr>
        <w:t xml:space="preserve">使用非财政拨款结余：指事业单位使用非财政拨款结余（原事 业基金）弥补当年收支差额的数额。 </w:t>
      </w:r>
    </w:p>
    <w:p>
      <w:pPr>
        <w:widowControl/>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十三、</w:t>
      </w:r>
      <w:r>
        <w:rPr>
          <w:rFonts w:ascii="Times New Roman" w:hAnsi="Times New Roman" w:eastAsia="仿宋_GB2312" w:cs="黑体"/>
          <w:color w:val="000000"/>
          <w:kern w:val="0"/>
          <w:sz w:val="32"/>
          <w:szCs w:val="32"/>
        </w:rPr>
        <w:t xml:space="preserve">年初结转和结余：指单位上年结转本年使用的基本支出结转、 项目支出结转和结余和经营结余。 </w:t>
      </w:r>
    </w:p>
    <w:p>
      <w:pPr>
        <w:widowControl/>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十四、</w:t>
      </w:r>
      <w:r>
        <w:rPr>
          <w:rFonts w:ascii="Times New Roman" w:hAnsi="Times New Roman" w:eastAsia="仿宋_GB2312" w:cs="黑体"/>
          <w:color w:val="000000"/>
          <w:kern w:val="0"/>
          <w:sz w:val="32"/>
          <w:szCs w:val="32"/>
        </w:rPr>
        <w:t xml:space="preserve">结余分配：指事业单位按规定对非财政拨款结余资金提取的专 用基金、缴纳的所得税和转入非财政拨款结余等。 </w:t>
      </w:r>
    </w:p>
    <w:p>
      <w:pPr>
        <w:widowControl/>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十五、</w:t>
      </w:r>
      <w:r>
        <w:rPr>
          <w:rFonts w:ascii="Times New Roman" w:hAnsi="Times New Roman" w:eastAsia="仿宋_GB2312" w:cs="黑体"/>
          <w:color w:val="000000"/>
          <w:kern w:val="0"/>
          <w:sz w:val="32"/>
          <w:szCs w:val="32"/>
        </w:rPr>
        <w:t xml:space="preserve">年末结转和结余资金：指本年度或以前年度预算安排、因客观 条件发生变化无法按原计划实施，需要延迟到以后年度按有关规定继续 使用的资金。 </w:t>
      </w:r>
    </w:p>
    <w:p>
      <w:pPr>
        <w:widowControl/>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十六、</w:t>
      </w:r>
      <w:r>
        <w:rPr>
          <w:rFonts w:ascii="Times New Roman" w:hAnsi="Times New Roman" w:eastAsia="仿宋_GB2312" w:cs="黑体"/>
          <w:color w:val="000000"/>
          <w:kern w:val="0"/>
          <w:sz w:val="32"/>
          <w:szCs w:val="32"/>
        </w:rPr>
        <w:t xml:space="preserve">基本支出：指为保障机构正常运转、完成日常工作任务而发生 的支出，包括人员经费和公用经费。 </w:t>
      </w:r>
    </w:p>
    <w:p>
      <w:pPr>
        <w:widowControl/>
        <w:ind w:firstLine="640" w:firstLineChars="200"/>
        <w:jc w:val="left"/>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十七、</w:t>
      </w:r>
      <w:r>
        <w:rPr>
          <w:rFonts w:ascii="Times New Roman" w:hAnsi="Times New Roman" w:eastAsia="仿宋_GB2312" w:cs="黑体"/>
          <w:color w:val="000000"/>
          <w:kern w:val="0"/>
          <w:sz w:val="32"/>
          <w:szCs w:val="32"/>
        </w:rPr>
        <w:t>项目支出：指在为完成特定的工作任务和事业发展目标所发生 的支出。</w:t>
      </w:r>
    </w:p>
    <w:p>
      <w:pPr>
        <w:widowControl/>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十八、</w:t>
      </w:r>
      <w:r>
        <w:rPr>
          <w:rFonts w:ascii="Times New Roman" w:hAnsi="Times New Roman" w:eastAsia="仿宋_GB2312" w:cs="黑体"/>
          <w:color w:val="000000"/>
          <w:kern w:val="0"/>
          <w:sz w:val="32"/>
          <w:szCs w:val="32"/>
        </w:rPr>
        <w:t xml:space="preserve">一般公共服务支出（类）政府办公厅（室）及相关机构事务（款） 行政运行（项）：反映行政单位（包括实行公务员管理的事业单位）的 基本 支出。 </w:t>
      </w:r>
    </w:p>
    <w:p>
      <w:pPr>
        <w:widowControl/>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十九、</w:t>
      </w:r>
      <w:r>
        <w:rPr>
          <w:rFonts w:ascii="Times New Roman" w:hAnsi="Times New Roman" w:eastAsia="仿宋_GB2312" w:cs="黑体"/>
          <w:color w:val="000000"/>
          <w:kern w:val="0"/>
          <w:sz w:val="32"/>
          <w:szCs w:val="32"/>
        </w:rPr>
        <w:t xml:space="preserve">一般公共服务支出（类）政府办公厅（室）及相关机构事务（款） 事业运行（项）：反映事业单位的基本支出，不包括行政单位（包括实 行公务 员管理的事业单位）后勤服务中心、医务室等附属事业单位。 </w:t>
      </w:r>
    </w:p>
    <w:p>
      <w:pPr>
        <w:widowControl/>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二十、</w:t>
      </w:r>
      <w:r>
        <w:rPr>
          <w:rFonts w:ascii="Times New Roman" w:hAnsi="Times New Roman" w:eastAsia="仿宋_GB2312" w:cs="黑体"/>
          <w:color w:val="000000"/>
          <w:kern w:val="0"/>
          <w:sz w:val="32"/>
          <w:szCs w:val="32"/>
        </w:rPr>
        <w:t xml:space="preserve">一般公共服务支出（类）政府办公厅（室）及相关机构事务（款） 其他政府办公厅（室）及相关机构事务支出（项）：反映除上述项目以 外的其他政府办公厅（室）及相关机构事 务支出。 </w:t>
      </w:r>
    </w:p>
    <w:p>
      <w:pPr>
        <w:widowControl/>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二十一、</w:t>
      </w:r>
      <w:r>
        <w:rPr>
          <w:rFonts w:ascii="Times New Roman" w:hAnsi="Times New Roman" w:eastAsia="仿宋_GB2312" w:cs="黑体"/>
          <w:color w:val="000000"/>
          <w:kern w:val="0"/>
          <w:sz w:val="32"/>
          <w:szCs w:val="32"/>
        </w:rPr>
        <w:t xml:space="preserve">社会保障和就业支出（类）行政事业单位养老支出（款）机关 事业单位基本养老保险缴费支出（项）：反映机关事业单位实施养老保 险制度由单位缴纳的基本养老保险费支出。 </w:t>
      </w:r>
    </w:p>
    <w:p>
      <w:pPr>
        <w:widowControl/>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二十二、</w:t>
      </w:r>
      <w:r>
        <w:rPr>
          <w:rFonts w:ascii="Times New Roman" w:hAnsi="Times New Roman" w:eastAsia="仿宋_GB2312" w:cs="黑体"/>
          <w:color w:val="000000"/>
          <w:kern w:val="0"/>
          <w:sz w:val="32"/>
          <w:szCs w:val="32"/>
        </w:rPr>
        <w:t xml:space="preserve">卫生健康支出（类）行政事业单位医疗（款）事业单位医疗（项）： 反映财政部门安排的事业单位基本医疗保险缴费经费，未参 加医疗保 险的事业单位的公费医疗经费，按国家规定享受离休 人员待遇的医疗 经费。 </w:t>
      </w:r>
    </w:p>
    <w:p>
      <w:pPr>
        <w:pStyle w:val="12"/>
        <w:ind w:firstLine="640" w:firstLineChars="200"/>
        <w:jc w:val="left"/>
        <w:rPr>
          <w:sz w:val="72"/>
          <w:szCs w:val="72"/>
        </w:rPr>
      </w:pPr>
      <w:r>
        <w:rPr>
          <w:rFonts w:hint="eastAsia" w:ascii="Times New Roman" w:hAnsi="Times New Roman" w:eastAsia="仿宋_GB2312" w:cs="黑体"/>
          <w:color w:val="000000"/>
          <w:kern w:val="0"/>
          <w:sz w:val="32"/>
          <w:szCs w:val="32"/>
        </w:rPr>
        <w:t>二十三、</w:t>
      </w:r>
      <w:r>
        <w:rPr>
          <w:rFonts w:ascii="Times New Roman" w:hAnsi="Times New Roman" w:eastAsia="仿宋_GB2312" w:cs="黑体"/>
          <w:color w:val="000000"/>
          <w:kern w:val="0"/>
          <w:sz w:val="32"/>
          <w:szCs w:val="32"/>
        </w:rPr>
        <w:t>资源勘探工业信息等支出（类）制造业（款）其他制造业支出 （项）：反映除上述项目以外其他用于制造业方面的支出。</w:t>
      </w:r>
    </w:p>
    <w:p>
      <w:pPr>
        <w:pStyle w:val="12"/>
        <w:jc w:val="center"/>
        <w:rPr>
          <w:sz w:val="72"/>
          <w:szCs w:val="72"/>
        </w:rPr>
      </w:pPr>
    </w:p>
    <w:p>
      <w:pPr>
        <w:pStyle w:val="12"/>
        <w:jc w:val="center"/>
        <w:rPr>
          <w:sz w:val="72"/>
          <w:szCs w:val="72"/>
        </w:rPr>
      </w:pPr>
    </w:p>
    <w:p>
      <w:pPr>
        <w:pStyle w:val="12"/>
        <w:jc w:val="center"/>
        <w:rPr>
          <w:sz w:val="72"/>
          <w:szCs w:val="72"/>
        </w:rPr>
      </w:pPr>
    </w:p>
    <w:p>
      <w:pPr>
        <w:pStyle w:val="12"/>
        <w:jc w:val="both"/>
        <w:rPr>
          <w:rFonts w:hint="eastAsia" w:ascii="方正小标宋_GBK" w:hAnsi="方正小标宋_GBK" w:eastAsia="方正小标宋_GBK" w:cs="方正小标宋_GBK"/>
          <w:sz w:val="72"/>
          <w:szCs w:val="72"/>
        </w:rPr>
      </w:pPr>
    </w:p>
    <w:p>
      <w:pPr>
        <w:pStyle w:val="12"/>
        <w:jc w:val="both"/>
        <w:rPr>
          <w:rFonts w:hint="eastAsia" w:ascii="方正小标宋_GBK" w:hAnsi="方正小标宋_GBK" w:eastAsia="方正小标宋_GBK" w:cs="方正小标宋_GBK"/>
          <w:sz w:val="72"/>
          <w:szCs w:val="72"/>
        </w:rPr>
      </w:pPr>
    </w:p>
    <w:p>
      <w:pPr>
        <w:pStyle w:val="12"/>
        <w:numPr>
          <w:ilvl w:val="0"/>
          <w:numId w:val="2"/>
        </w:numPr>
        <w:spacing w:line="360" w:lineRule="auto"/>
        <w:jc w:val="center"/>
        <w:rPr>
          <w:rFonts w:hint="eastAsia" w:ascii="Times New Roman" w:hAnsi="Times New Roman" w:eastAsia="方正小标宋_GBK" w:cs="Times New Roman"/>
          <w:kern w:val="0"/>
          <w:sz w:val="52"/>
          <w:szCs w:val="52"/>
          <w:lang w:eastAsia="zh-CN"/>
        </w:rPr>
      </w:pPr>
      <w:r>
        <w:rPr>
          <w:rFonts w:hint="eastAsia" w:ascii="Times New Roman" w:hAnsi="Times New Roman" w:eastAsia="方正小标宋_GBK" w:cs="Times New Roman"/>
          <w:kern w:val="0"/>
          <w:sz w:val="52"/>
          <w:szCs w:val="52"/>
          <w:lang w:val="en-US" w:eastAsia="zh-CN"/>
        </w:rPr>
        <w:t xml:space="preserve">  </w:t>
      </w:r>
      <w:r>
        <w:rPr>
          <w:rFonts w:hint="eastAsia" w:ascii="Times New Roman" w:hAnsi="Times New Roman" w:eastAsia="方正小标宋_GBK" w:cs="Times New Roman"/>
          <w:kern w:val="0"/>
          <w:sz w:val="52"/>
          <w:szCs w:val="52"/>
          <w:lang w:eastAsia="zh-CN"/>
        </w:rPr>
        <w:t>附</w:t>
      </w:r>
      <w:r>
        <w:rPr>
          <w:rFonts w:hint="eastAsia" w:ascii="Times New Roman" w:hAnsi="Times New Roman" w:eastAsia="方正小标宋_GBK" w:cs="Times New Roman"/>
          <w:kern w:val="0"/>
          <w:sz w:val="52"/>
          <w:szCs w:val="52"/>
          <w:lang w:val="en-US" w:eastAsia="zh-CN"/>
        </w:rPr>
        <w:t xml:space="preserve"> </w:t>
      </w:r>
      <w:r>
        <w:rPr>
          <w:rFonts w:hint="eastAsia" w:ascii="Times New Roman" w:hAnsi="Times New Roman" w:eastAsia="方正小标宋_GBK" w:cs="Times New Roman"/>
          <w:kern w:val="0"/>
          <w:sz w:val="52"/>
          <w:szCs w:val="52"/>
          <w:lang w:eastAsia="zh-CN"/>
        </w:rPr>
        <w:t>件</w:t>
      </w:r>
    </w:p>
    <w:p>
      <w:pPr>
        <w:pStyle w:val="12"/>
        <w:numPr>
          <w:ilvl w:val="0"/>
          <w:numId w:val="0"/>
        </w:numPr>
        <w:spacing w:line="360" w:lineRule="auto"/>
        <w:jc w:val="both"/>
        <w:rPr>
          <w:rFonts w:hint="eastAsia" w:ascii="Times New Roman" w:hAnsi="Times New Roman" w:eastAsia="方正小标宋_GBK" w:cs="Times New Roman"/>
          <w:kern w:val="0"/>
          <w:sz w:val="52"/>
          <w:szCs w:val="52"/>
          <w:lang w:eastAsia="zh-CN"/>
        </w:rPr>
      </w:pPr>
    </w:p>
    <w:p>
      <w:pPr>
        <w:pStyle w:val="12"/>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道县濂溪山庄管委会2025年度部门整体支出绩效自评报告。</w:t>
      </w:r>
    </w:p>
    <w:p>
      <w:pPr>
        <w:pStyle w:val="12"/>
        <w:jc w:val="center"/>
        <w:rPr>
          <w:sz w:val="72"/>
          <w:szCs w:val="72"/>
        </w:rPr>
      </w:pPr>
    </w:p>
    <w:p>
      <w:pPr>
        <w:pStyle w:val="12"/>
        <w:jc w:val="center"/>
        <w:rPr>
          <w:sz w:val="72"/>
          <w:szCs w:val="72"/>
        </w:rPr>
      </w:pPr>
    </w:p>
    <w:p>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EEE971"/>
    <w:multiLevelType w:val="singleLevel"/>
    <w:tmpl w:val="F9EEE971"/>
    <w:lvl w:ilvl="0" w:tentative="0">
      <w:start w:val="5"/>
      <w:numFmt w:val="chineseCounting"/>
      <w:suff w:val="space"/>
      <w:lvlText w:val="第%1部分"/>
      <w:lvlJc w:val="left"/>
      <w:rPr>
        <w:rFonts w:hint="eastAsia"/>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4ODY1NTBhOThiNzA2ZjgyYjhjNjFiMWQ3ZDhkN2Q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A75B6"/>
    <w:rsid w:val="00FB462F"/>
    <w:rsid w:val="00FE16FA"/>
    <w:rsid w:val="00FE328A"/>
    <w:rsid w:val="00FE6269"/>
    <w:rsid w:val="00FF5CD6"/>
    <w:rsid w:val="029176E8"/>
    <w:rsid w:val="02A467FD"/>
    <w:rsid w:val="054524A2"/>
    <w:rsid w:val="057B7CD3"/>
    <w:rsid w:val="05F803AA"/>
    <w:rsid w:val="06942683"/>
    <w:rsid w:val="07E843FF"/>
    <w:rsid w:val="0935597E"/>
    <w:rsid w:val="09CA70DA"/>
    <w:rsid w:val="09E20F09"/>
    <w:rsid w:val="0A351D1B"/>
    <w:rsid w:val="0ABB5C64"/>
    <w:rsid w:val="0B6F5469"/>
    <w:rsid w:val="0BA26556"/>
    <w:rsid w:val="0BE75329"/>
    <w:rsid w:val="0C5D4E6E"/>
    <w:rsid w:val="0C770FB6"/>
    <w:rsid w:val="0CBA5EC5"/>
    <w:rsid w:val="0CF61FEF"/>
    <w:rsid w:val="0D714026"/>
    <w:rsid w:val="0D8D2885"/>
    <w:rsid w:val="0E9C5C19"/>
    <w:rsid w:val="0EC1373E"/>
    <w:rsid w:val="0F9B0E51"/>
    <w:rsid w:val="105B290B"/>
    <w:rsid w:val="12771340"/>
    <w:rsid w:val="12AC5C39"/>
    <w:rsid w:val="13C0085B"/>
    <w:rsid w:val="145B41D9"/>
    <w:rsid w:val="14BF308F"/>
    <w:rsid w:val="15E5703D"/>
    <w:rsid w:val="161D5095"/>
    <w:rsid w:val="17104777"/>
    <w:rsid w:val="19170B78"/>
    <w:rsid w:val="198E2032"/>
    <w:rsid w:val="1A231CAA"/>
    <w:rsid w:val="1B682C77"/>
    <w:rsid w:val="1B9976D6"/>
    <w:rsid w:val="1C4A6111"/>
    <w:rsid w:val="1C701257"/>
    <w:rsid w:val="1CCC04E5"/>
    <w:rsid w:val="1D61049B"/>
    <w:rsid w:val="1D97DEFF"/>
    <w:rsid w:val="1DF90288"/>
    <w:rsid w:val="1DFF72E5"/>
    <w:rsid w:val="1E1A67CE"/>
    <w:rsid w:val="1EC34B82"/>
    <w:rsid w:val="1EFC6F07"/>
    <w:rsid w:val="1F0D7E73"/>
    <w:rsid w:val="20010127"/>
    <w:rsid w:val="21215D03"/>
    <w:rsid w:val="21FB3DAF"/>
    <w:rsid w:val="22AB406C"/>
    <w:rsid w:val="22C04DB2"/>
    <w:rsid w:val="23A31DB0"/>
    <w:rsid w:val="243064D7"/>
    <w:rsid w:val="25533998"/>
    <w:rsid w:val="255D3992"/>
    <w:rsid w:val="256F0B2F"/>
    <w:rsid w:val="25BC13C8"/>
    <w:rsid w:val="264B154F"/>
    <w:rsid w:val="26EB30D0"/>
    <w:rsid w:val="27015343"/>
    <w:rsid w:val="288A21A2"/>
    <w:rsid w:val="28F473F7"/>
    <w:rsid w:val="29D7481E"/>
    <w:rsid w:val="2A420F8C"/>
    <w:rsid w:val="2A491523"/>
    <w:rsid w:val="2ABF6D81"/>
    <w:rsid w:val="2D501F77"/>
    <w:rsid w:val="2D5A68B5"/>
    <w:rsid w:val="2E093F32"/>
    <w:rsid w:val="2EBA7900"/>
    <w:rsid w:val="2EDF3E8E"/>
    <w:rsid w:val="2EFD2739"/>
    <w:rsid w:val="2F0E77DD"/>
    <w:rsid w:val="2F2D1F5D"/>
    <w:rsid w:val="2F2E66F6"/>
    <w:rsid w:val="2FDF85B8"/>
    <w:rsid w:val="2FFFEE04"/>
    <w:rsid w:val="30001646"/>
    <w:rsid w:val="300C3A81"/>
    <w:rsid w:val="31742197"/>
    <w:rsid w:val="32A30DFF"/>
    <w:rsid w:val="32E21FDB"/>
    <w:rsid w:val="330B2354"/>
    <w:rsid w:val="335B0110"/>
    <w:rsid w:val="342E7EB7"/>
    <w:rsid w:val="348C29EA"/>
    <w:rsid w:val="3493343B"/>
    <w:rsid w:val="34DF85B0"/>
    <w:rsid w:val="34E40F28"/>
    <w:rsid w:val="360E12C4"/>
    <w:rsid w:val="369C7ECE"/>
    <w:rsid w:val="36D050FC"/>
    <w:rsid w:val="36F8316E"/>
    <w:rsid w:val="36FB27E3"/>
    <w:rsid w:val="3A715B31"/>
    <w:rsid w:val="3B8F36BC"/>
    <w:rsid w:val="3C243796"/>
    <w:rsid w:val="3E2B1721"/>
    <w:rsid w:val="3E2F6CC3"/>
    <w:rsid w:val="3F602DE4"/>
    <w:rsid w:val="3FE6778C"/>
    <w:rsid w:val="3FEF3F7E"/>
    <w:rsid w:val="40D338C9"/>
    <w:rsid w:val="424E7A37"/>
    <w:rsid w:val="4270624F"/>
    <w:rsid w:val="4298533C"/>
    <w:rsid w:val="42BF052E"/>
    <w:rsid w:val="45FA1605"/>
    <w:rsid w:val="46393232"/>
    <w:rsid w:val="4658147C"/>
    <w:rsid w:val="47776B56"/>
    <w:rsid w:val="4795714F"/>
    <w:rsid w:val="47C921FA"/>
    <w:rsid w:val="48140322"/>
    <w:rsid w:val="48D1075D"/>
    <w:rsid w:val="491FF225"/>
    <w:rsid w:val="4AB501F2"/>
    <w:rsid w:val="4C295532"/>
    <w:rsid w:val="4C3233FC"/>
    <w:rsid w:val="4C44331C"/>
    <w:rsid w:val="4CB76F68"/>
    <w:rsid w:val="4D1924B7"/>
    <w:rsid w:val="4F343F38"/>
    <w:rsid w:val="4F4664E8"/>
    <w:rsid w:val="4F740DE7"/>
    <w:rsid w:val="4FC4743C"/>
    <w:rsid w:val="4FFD214C"/>
    <w:rsid w:val="54E243F5"/>
    <w:rsid w:val="555D60B2"/>
    <w:rsid w:val="565B7A52"/>
    <w:rsid w:val="56805BB3"/>
    <w:rsid w:val="572A01B5"/>
    <w:rsid w:val="5777D4F5"/>
    <w:rsid w:val="57E954B1"/>
    <w:rsid w:val="583A608E"/>
    <w:rsid w:val="58C32DD4"/>
    <w:rsid w:val="59DD8326"/>
    <w:rsid w:val="5A711C75"/>
    <w:rsid w:val="5AFD3541"/>
    <w:rsid w:val="5C235D47"/>
    <w:rsid w:val="5C932695"/>
    <w:rsid w:val="5CD2658E"/>
    <w:rsid w:val="5D7962A0"/>
    <w:rsid w:val="5DB5108F"/>
    <w:rsid w:val="5DBA068A"/>
    <w:rsid w:val="5DEF592A"/>
    <w:rsid w:val="5FC6BB1E"/>
    <w:rsid w:val="5FF720F1"/>
    <w:rsid w:val="60317316"/>
    <w:rsid w:val="60953505"/>
    <w:rsid w:val="61E022EC"/>
    <w:rsid w:val="6231274D"/>
    <w:rsid w:val="64BD7B95"/>
    <w:rsid w:val="65B91409"/>
    <w:rsid w:val="66915FF4"/>
    <w:rsid w:val="670B5F73"/>
    <w:rsid w:val="67FF5C0B"/>
    <w:rsid w:val="68C93337"/>
    <w:rsid w:val="68EB1E20"/>
    <w:rsid w:val="6A161B42"/>
    <w:rsid w:val="6AB61250"/>
    <w:rsid w:val="6BC96073"/>
    <w:rsid w:val="6DD97B85"/>
    <w:rsid w:val="6E370583"/>
    <w:rsid w:val="6EAE29BE"/>
    <w:rsid w:val="6EFC0924"/>
    <w:rsid w:val="6FB05B75"/>
    <w:rsid w:val="6FB73A7B"/>
    <w:rsid w:val="6FB74722"/>
    <w:rsid w:val="6FEF8B7E"/>
    <w:rsid w:val="70105F7B"/>
    <w:rsid w:val="708308B7"/>
    <w:rsid w:val="71A6591B"/>
    <w:rsid w:val="72260EA0"/>
    <w:rsid w:val="73271C2A"/>
    <w:rsid w:val="737D59BA"/>
    <w:rsid w:val="73C02E61"/>
    <w:rsid w:val="75590F25"/>
    <w:rsid w:val="75BD0396"/>
    <w:rsid w:val="75CB27A8"/>
    <w:rsid w:val="76372D4E"/>
    <w:rsid w:val="76BB6D94"/>
    <w:rsid w:val="7730568E"/>
    <w:rsid w:val="775B2F1E"/>
    <w:rsid w:val="77C37683"/>
    <w:rsid w:val="787060AF"/>
    <w:rsid w:val="789023CC"/>
    <w:rsid w:val="78A37800"/>
    <w:rsid w:val="78E3341A"/>
    <w:rsid w:val="790A172A"/>
    <w:rsid w:val="79A315E0"/>
    <w:rsid w:val="79D53E42"/>
    <w:rsid w:val="79FF515B"/>
    <w:rsid w:val="7A452483"/>
    <w:rsid w:val="7AE04F95"/>
    <w:rsid w:val="7B7A05FE"/>
    <w:rsid w:val="7B8E4281"/>
    <w:rsid w:val="7BEA3098"/>
    <w:rsid w:val="7C0210F9"/>
    <w:rsid w:val="7C1E70C1"/>
    <w:rsid w:val="7C717F14"/>
    <w:rsid w:val="7DD8269D"/>
    <w:rsid w:val="7E9E1962"/>
    <w:rsid w:val="7E9F11B4"/>
    <w:rsid w:val="7F37EC1E"/>
    <w:rsid w:val="7F545483"/>
    <w:rsid w:val="7F6B4DFE"/>
    <w:rsid w:val="7F7DCD9D"/>
    <w:rsid w:val="7F970A6F"/>
    <w:rsid w:val="7FBC0D52"/>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customStyle="1" w:styleId="18">
    <w:name w:val="列出段落1"/>
    <w:qFormat/>
    <w:uiPriority w:val="0"/>
    <w:pPr>
      <w:widowControl w:val="0"/>
      <w:spacing w:after="0" w:line="240" w:lineRule="auto"/>
      <w:ind w:firstLine="420"/>
      <w:jc w:val="both"/>
    </w:pPr>
    <w:rPr>
      <w:rFonts w:ascii="Times New Roman" w:hAnsi="Times New Roman"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1347</Words>
  <Characters>7679</Characters>
  <Lines>63</Lines>
  <Paragraphs>18</Paragraphs>
  <TotalTime>6</TotalTime>
  <ScaleCrop>false</ScaleCrop>
  <LinksUpToDate>false</LinksUpToDate>
  <CharactersWithSpaces>9008</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2020-07-08T10:32:00Z</dcterms:created>
  <dc:creator>李航 null</dc:creator>
  <cp:lastModifiedBy>蒋琼</cp:lastModifiedBy>
  <cp:lastPrinted>2024-08-08T18:20:00Z</cp:lastPrinted>
  <dcterms:modified xsi:type="dcterms:W3CDTF">2026-09-15T03:10:15Z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4614E527DDC3447688902339FB4025AB_12</vt:lpwstr>
  </property>
</Properties>
</file>