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rPr>
                      </w:pPr>
                    </w:p>
                  </w:txbxContent>
                </v:textbox>
              </v:shape>
            </w:pict>
          </mc:Fallback>
        </mc:AlternateContent>
      </w:r>
    </w:p>
    <w:p>
      <w:pPr>
        <w:pStyle w:val="18"/>
        <w:jc w:val="center"/>
        <w:rPr>
          <w:sz w:val="56"/>
          <w:szCs w:val="56"/>
        </w:rPr>
      </w:pPr>
    </w:p>
    <w:p>
      <w:pPr>
        <w:pStyle w:val="18"/>
        <w:jc w:val="center"/>
        <w:rPr>
          <w:sz w:val="84"/>
          <w:szCs w:val="84"/>
        </w:rPr>
      </w:pPr>
    </w:p>
    <w:p>
      <w:pPr>
        <w:pStyle w:val="18"/>
        <w:jc w:val="center"/>
        <w:rPr>
          <w:sz w:val="84"/>
          <w:szCs w:val="84"/>
        </w:rPr>
      </w:pPr>
    </w:p>
    <w:p>
      <w:pPr>
        <w:pStyle w:val="18"/>
        <w:jc w:val="center"/>
        <w:rPr>
          <w:sz w:val="84"/>
          <w:szCs w:val="84"/>
        </w:rPr>
      </w:pPr>
    </w:p>
    <w:p>
      <w:pPr>
        <w:pStyle w:val="18"/>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2025年度</w:t>
      </w:r>
    </w:p>
    <w:p>
      <w:pPr>
        <w:pStyle w:val="18"/>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道县城市环境卫生和园林绿化</w:t>
      </w:r>
    </w:p>
    <w:p>
      <w:pPr>
        <w:pStyle w:val="18"/>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服务中心部门决算</w:t>
      </w:r>
    </w:p>
    <w:p>
      <w:pPr>
        <w:pStyle w:val="18"/>
        <w:jc w:val="center"/>
        <w:rPr>
          <w:rFonts w:hint="eastAsia" w:ascii="方正小标宋_GBK" w:hAnsi="方正小标宋_GBK" w:eastAsia="方正小标宋_GBK" w:cs="方正小标宋_GBK"/>
          <w:sz w:val="56"/>
          <w:szCs w:val="56"/>
        </w:rPr>
      </w:pPr>
    </w:p>
    <w:p>
      <w:pPr>
        <w:pStyle w:val="18"/>
        <w:jc w:val="center"/>
        <w:rPr>
          <w:sz w:val="56"/>
          <w:szCs w:val="56"/>
        </w:rPr>
      </w:pPr>
    </w:p>
    <w:p>
      <w:pPr>
        <w:pStyle w:val="18"/>
        <w:jc w:val="center"/>
        <w:rPr>
          <w:sz w:val="56"/>
          <w:szCs w:val="56"/>
        </w:rPr>
      </w:pPr>
    </w:p>
    <w:p>
      <w:pPr>
        <w:pStyle w:val="18"/>
        <w:jc w:val="center"/>
        <w:rPr>
          <w:sz w:val="56"/>
          <w:szCs w:val="56"/>
        </w:rPr>
      </w:pPr>
    </w:p>
    <w:p>
      <w:pPr>
        <w:pStyle w:val="18"/>
        <w:jc w:val="center"/>
        <w:rPr>
          <w:sz w:val="32"/>
          <w:szCs w:val="32"/>
        </w:rPr>
      </w:pPr>
    </w:p>
    <w:p>
      <w:pPr>
        <w:pStyle w:val="18"/>
        <w:jc w:val="center"/>
        <w:rPr>
          <w:sz w:val="32"/>
          <w:szCs w:val="32"/>
        </w:rPr>
      </w:pPr>
    </w:p>
    <w:p>
      <w:pPr>
        <w:pStyle w:val="18"/>
        <w:jc w:val="center"/>
        <w:rPr>
          <w:sz w:val="32"/>
          <w:szCs w:val="32"/>
        </w:rPr>
      </w:pPr>
    </w:p>
    <w:p>
      <w:pPr>
        <w:pStyle w:val="18"/>
        <w:jc w:val="center"/>
        <w:rPr>
          <w:sz w:val="32"/>
          <w:szCs w:val="32"/>
        </w:rPr>
      </w:pPr>
    </w:p>
    <w:p>
      <w:pPr>
        <w:pStyle w:val="18"/>
        <w:jc w:val="center"/>
        <w:rPr>
          <w:sz w:val="32"/>
          <w:szCs w:val="32"/>
        </w:rPr>
      </w:pPr>
    </w:p>
    <w:p>
      <w:pPr>
        <w:pStyle w:val="18"/>
        <w:spacing w:line="540" w:lineRule="exact"/>
        <w:jc w:val="center"/>
        <w:rPr>
          <w:sz w:val="56"/>
          <w:szCs w:val="56"/>
        </w:rPr>
      </w:pPr>
    </w:p>
    <w:p>
      <w:pPr>
        <w:pStyle w:val="18"/>
        <w:spacing w:line="500" w:lineRule="exact"/>
        <w:jc w:val="both"/>
        <w:rPr>
          <w:b/>
          <w:sz w:val="36"/>
          <w:szCs w:val="28"/>
        </w:rPr>
      </w:pPr>
    </w:p>
    <w:p>
      <w:pPr>
        <w:pStyle w:val="18"/>
        <w:spacing w:line="500" w:lineRule="exact"/>
        <w:jc w:val="both"/>
        <w:rPr>
          <w:rFonts w:hint="eastAsia" w:ascii="仿宋" w:hAnsi="仿宋" w:eastAsia="仿宋" w:cs="仿宋"/>
          <w:b/>
          <w:sz w:val="32"/>
          <w:szCs w:val="32"/>
        </w:rPr>
      </w:pPr>
    </w:p>
    <w:p>
      <w:pPr>
        <w:pStyle w:val="18"/>
        <w:spacing w:line="500" w:lineRule="exact"/>
        <w:jc w:val="both"/>
        <w:rPr>
          <w:rFonts w:hint="eastAsia" w:ascii="仿宋" w:hAnsi="仿宋" w:eastAsia="仿宋" w:cs="仿宋"/>
          <w:b/>
          <w:sz w:val="32"/>
          <w:szCs w:val="32"/>
        </w:rPr>
      </w:pPr>
    </w:p>
    <w:p>
      <w:pPr>
        <w:pStyle w:val="18"/>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     录</w:t>
      </w:r>
    </w:p>
    <w:p>
      <w:pPr>
        <w:pStyle w:val="18"/>
        <w:spacing w:line="500" w:lineRule="exact"/>
        <w:ind w:firstLine="562" w:firstLineChars="200"/>
        <w:rPr>
          <w:rFonts w:hint="eastAsia" w:ascii="仿宋" w:hAnsi="仿宋" w:eastAsia="仿宋" w:cs="仿宋"/>
          <w:bCs/>
          <w:sz w:val="28"/>
          <w:szCs w:val="28"/>
        </w:rPr>
      </w:pPr>
      <w:r>
        <w:rPr>
          <w:rFonts w:hint="eastAsia" w:ascii="仿宋" w:hAnsi="仿宋" w:eastAsia="仿宋" w:cs="仿宋"/>
          <w:b/>
          <w:sz w:val="28"/>
          <w:szCs w:val="28"/>
        </w:rPr>
        <w:t>第一部分 道县城市环境卫生和园林绿化服务中心概况</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一、部门职责</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二、机构设置</w:t>
      </w:r>
    </w:p>
    <w:p>
      <w:pPr>
        <w:pStyle w:val="18"/>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第二部分 部门决算表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一、收入支出决算总表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二、收入决算表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三、支出决算表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四、财政拨款收入支出决算总表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六、一般公共预算财政拨款基本支出决算明细表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七、政府性基金预算财政拨款收入支出决算表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八、国有资本经营预算财政拨款支出决算表</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九、财政拨款“三公”经费支出决算表</w:t>
      </w:r>
    </w:p>
    <w:p>
      <w:pPr>
        <w:pStyle w:val="18"/>
        <w:spacing w:line="500" w:lineRule="exact"/>
        <w:ind w:firstLine="562" w:firstLineChars="200"/>
        <w:rPr>
          <w:rFonts w:hint="eastAsia" w:ascii="仿宋" w:hAnsi="仿宋" w:eastAsia="仿宋" w:cs="仿宋"/>
          <w:bCs/>
          <w:sz w:val="28"/>
          <w:szCs w:val="28"/>
        </w:rPr>
      </w:pPr>
      <w:r>
        <w:rPr>
          <w:rFonts w:hint="eastAsia" w:ascii="仿宋" w:hAnsi="仿宋" w:eastAsia="仿宋" w:cs="仿宋"/>
          <w:b/>
          <w:sz w:val="28"/>
          <w:szCs w:val="28"/>
        </w:rPr>
        <w:t>第三部分 部门决算情况说明</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一、收入支出决算总体情况说明</w:t>
      </w:r>
    </w:p>
    <w:p>
      <w:pPr>
        <w:spacing w:line="5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二、收入决算情况说明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pPr>
        <w:pStyle w:val="18"/>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十三、关于202</w:t>
      </w:r>
      <w:r>
        <w:rPr>
          <w:rFonts w:hint="eastAsia" w:ascii="仿宋" w:hAnsi="仿宋" w:eastAsia="仿宋" w:cs="仿宋"/>
          <w:sz w:val="28"/>
          <w:szCs w:val="28"/>
          <w:lang w:val="en-US" w:eastAsia="zh-CN"/>
        </w:rPr>
        <w:t>5</w:t>
      </w:r>
      <w:r>
        <w:rPr>
          <w:rFonts w:hint="eastAsia" w:ascii="仿宋" w:hAnsi="仿宋" w:eastAsia="仿宋" w:cs="仿宋"/>
          <w:sz w:val="28"/>
          <w:szCs w:val="28"/>
        </w:rPr>
        <w:t>年度预算绩效情况的说明</w:t>
      </w:r>
    </w:p>
    <w:p>
      <w:pPr>
        <w:pStyle w:val="18"/>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第四部分 名词解释</w:t>
      </w:r>
    </w:p>
    <w:p>
      <w:pPr>
        <w:pStyle w:val="18"/>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第五部分 附件</w:t>
      </w:r>
    </w:p>
    <w:p>
      <w:pPr>
        <w:pStyle w:val="18"/>
        <w:spacing w:line="500" w:lineRule="exact"/>
        <w:rPr>
          <w:rFonts w:hint="eastAsia" w:hAnsi="黑体"/>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 xml:space="preserve">第一部分 </w:t>
      </w:r>
    </w:p>
    <w:p>
      <w:pPr>
        <w:pStyle w:val="18"/>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道县城市环境卫生和园林绿化</w:t>
      </w:r>
    </w:p>
    <w:p>
      <w:pPr>
        <w:pStyle w:val="18"/>
        <w:spacing w:line="360" w:lineRule="auto"/>
        <w:jc w:val="center"/>
        <w:rPr>
          <w:rFonts w:hint="eastAsia" w:ascii="仿宋" w:hAnsi="仿宋" w:eastAsia="仿宋" w:cs="仿宋"/>
          <w:b/>
          <w:bCs/>
          <w:sz w:val="52"/>
          <w:szCs w:val="52"/>
        </w:rPr>
      </w:pPr>
      <w:r>
        <w:rPr>
          <w:rFonts w:hint="eastAsia" w:ascii="方正小标宋_GBK" w:hAnsi="方正小标宋_GBK" w:eastAsia="方正小标宋_GBK" w:cs="方正小标宋_GBK"/>
          <w:color w:val="auto"/>
          <w:kern w:val="2"/>
          <w:sz w:val="72"/>
          <w:szCs w:val="72"/>
          <w:lang w:val="en-US" w:eastAsia="zh-CN" w:bidi="ar-SA"/>
        </w:rPr>
        <w:t>服务中心概况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jc w:val="center"/>
        <w:rPr>
          <w:rFonts w:hint="eastAsia" w:ascii="仿宋" w:hAnsi="仿宋" w:eastAsia="仿宋" w:cs="仿宋"/>
          <w:b/>
          <w:bCs/>
          <w:sz w:val="32"/>
          <w:szCs w:val="32"/>
        </w:rPr>
      </w:pPr>
      <w:r>
        <w:rPr>
          <w:rFonts w:hint="eastAsia"/>
          <w:sz w:val="72"/>
          <w:szCs w:val="72"/>
        </w:rPr>
        <w:t xml:space="preserve"> </w:t>
      </w:r>
    </w:p>
    <w:p>
      <w:pPr>
        <w:pStyle w:val="19"/>
        <w:numPr>
          <w:ilvl w:val="0"/>
          <w:numId w:val="1"/>
        </w:numPr>
        <w:ind w:firstLine="643"/>
        <w:jc w:val="left"/>
        <w:rPr>
          <w:rFonts w:hint="eastAsia" w:ascii="仿宋" w:hAnsi="仿宋" w:eastAsia="仿宋" w:cs="仿宋"/>
          <w:b/>
          <w:bCs/>
          <w:sz w:val="32"/>
          <w:szCs w:val="32"/>
        </w:rPr>
      </w:pPr>
      <w:r>
        <w:rPr>
          <w:rFonts w:hint="eastAsia" w:ascii="仿宋" w:hAnsi="仿宋" w:eastAsia="仿宋" w:cs="仿宋"/>
          <w:b/>
          <w:bCs/>
          <w:sz w:val="32"/>
          <w:szCs w:val="32"/>
        </w:rPr>
        <w:t>部门职责</w:t>
      </w:r>
    </w:p>
    <w:p>
      <w:pPr>
        <w:spacing w:line="600" w:lineRule="exact"/>
        <w:ind w:left="567"/>
        <w:jc w:val="left"/>
        <w:rPr>
          <w:rFonts w:ascii="Times New Roman" w:hAnsi="Times New Roman" w:eastAsia="仿宋_GB2312" w:cs="仿宋_GB2312"/>
          <w:bCs/>
          <w:kern w:val="0"/>
          <w:sz w:val="32"/>
          <w:szCs w:val="32"/>
        </w:rPr>
      </w:pPr>
      <w:r>
        <w:rPr>
          <w:rFonts w:hint="eastAsia" w:ascii="仿宋" w:hAnsi="仿宋" w:eastAsia="仿宋" w:cs="仿宋"/>
          <w:b/>
          <w:bCs/>
          <w:sz w:val="32"/>
          <w:szCs w:val="32"/>
        </w:rPr>
        <w:t xml:space="preserve">    </w:t>
      </w:r>
      <w:r>
        <w:rPr>
          <w:rFonts w:hint="eastAsia" w:ascii="Times New Roman" w:hAnsi="Times New Roman" w:eastAsia="仿宋_GB2312" w:cs="仿宋_GB2312"/>
          <w:bCs/>
          <w:kern w:val="0"/>
          <w:sz w:val="32"/>
          <w:szCs w:val="32"/>
        </w:rPr>
        <w:t>(一)</w:t>
      </w:r>
      <w:r>
        <w:rPr>
          <w:rFonts w:ascii="Times New Roman" w:hAnsi="Times New Roman" w:eastAsia="仿宋_GB2312" w:cs="仿宋_GB2312"/>
          <w:bCs/>
          <w:kern w:val="0"/>
          <w:sz w:val="32"/>
          <w:szCs w:val="32"/>
        </w:rPr>
        <w:t xml:space="preserve"> </w:t>
      </w:r>
      <w:r>
        <w:rPr>
          <w:rFonts w:hint="eastAsia" w:ascii="Times New Roman" w:hAnsi="Times New Roman" w:eastAsia="仿宋_GB2312" w:cs="仿宋_GB2312"/>
          <w:bCs/>
          <w:kern w:val="0"/>
          <w:sz w:val="32"/>
          <w:szCs w:val="32"/>
        </w:rPr>
        <w:t>参与拟订城市环境卫生和园林绿化工作的中长期规划、城市绿地系统规划并组织实施；参与县城新建、改建、扩建项目的环卫绿化规划论证。</w:t>
      </w:r>
    </w:p>
    <w:p>
      <w:pPr>
        <w:spacing w:line="600" w:lineRule="exact"/>
        <w:ind w:firstLine="640" w:firstLineChars="2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w:t>
      </w:r>
      <w:r>
        <w:rPr>
          <w:rFonts w:ascii="Times New Roman" w:hAnsi="Times New Roman" w:eastAsia="仿宋_GB2312" w:cs="仿宋_GB2312"/>
          <w:bCs/>
          <w:kern w:val="0"/>
          <w:sz w:val="32"/>
          <w:szCs w:val="32"/>
        </w:rPr>
        <w:t xml:space="preserve"> </w:t>
      </w:r>
      <w:r>
        <w:rPr>
          <w:rFonts w:hint="eastAsia" w:ascii="Times New Roman" w:hAnsi="Times New Roman" w:eastAsia="仿宋_GB2312" w:cs="仿宋_GB2312"/>
          <w:bCs/>
          <w:kern w:val="0"/>
          <w:sz w:val="32"/>
          <w:szCs w:val="32"/>
        </w:rPr>
        <w:t>负责拟定县城环境卫生和园林绿化建设、管理年度经费预案。</w:t>
      </w:r>
    </w:p>
    <w:p>
      <w:pPr>
        <w:spacing w:line="600" w:lineRule="exact"/>
        <w:ind w:firstLine="640" w:firstLineChars="2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(三)</w:t>
      </w:r>
      <w:r>
        <w:rPr>
          <w:rFonts w:ascii="Times New Roman" w:hAnsi="Times New Roman" w:eastAsia="仿宋_GB2312" w:cs="仿宋_GB2312"/>
          <w:bCs/>
          <w:kern w:val="0"/>
          <w:sz w:val="32"/>
          <w:szCs w:val="32"/>
        </w:rPr>
        <w:t xml:space="preserve"> </w:t>
      </w:r>
      <w:r>
        <w:rPr>
          <w:rFonts w:hint="eastAsia" w:ascii="Times New Roman" w:hAnsi="Times New Roman" w:eastAsia="仿宋_GB2312" w:cs="仿宋_GB2312"/>
          <w:bCs/>
          <w:kern w:val="0"/>
          <w:sz w:val="32"/>
          <w:szCs w:val="32"/>
        </w:rPr>
        <w:t>根据授权，参与县城新建、改建、扩建工程建设项目附属环卫、绿化工程设计方案和占用城市绿地的初审；负责对县城环境卫生和园林绿化工程项目开展技术指导。</w:t>
      </w:r>
    </w:p>
    <w:p>
      <w:pPr>
        <w:spacing w:line="600" w:lineRule="exact"/>
        <w:ind w:left="283" w:firstLine="320" w:firstLineChars="1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(四)</w:t>
      </w:r>
      <w:r>
        <w:rPr>
          <w:rFonts w:ascii="Times New Roman" w:hAnsi="Times New Roman" w:eastAsia="仿宋_GB2312" w:cs="仿宋_GB2312"/>
          <w:bCs/>
          <w:kern w:val="0"/>
          <w:sz w:val="32"/>
          <w:szCs w:val="32"/>
        </w:rPr>
        <w:t xml:space="preserve"> </w:t>
      </w:r>
      <w:r>
        <w:rPr>
          <w:rFonts w:hint="eastAsia" w:ascii="Times New Roman" w:hAnsi="Times New Roman" w:eastAsia="仿宋_GB2312" w:cs="仿宋_GB2312"/>
          <w:bCs/>
          <w:kern w:val="0"/>
          <w:sz w:val="32"/>
          <w:szCs w:val="32"/>
        </w:rPr>
        <w:t>承担县城管辖范围内公园、游园、广场等公共绿地及配套设施的管理与维护工作；负责县城园林绿化信息系统的数据采集和维护工作。</w:t>
      </w:r>
    </w:p>
    <w:p>
      <w:pPr>
        <w:spacing w:line="600" w:lineRule="exact"/>
        <w:ind w:left="425" w:firstLine="320" w:firstLineChars="1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(五)承担国家和省级园林县城创建、大型花卉展览、园林绿化科普活动的相关事务性工作。</w:t>
      </w:r>
    </w:p>
    <w:p>
      <w:pPr>
        <w:spacing w:line="600" w:lineRule="exact"/>
        <w:ind w:left="425" w:firstLine="320" w:firstLineChars="1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(六)承担环卫园林科研、花卉生产、苗木培育、园林设计等技术指导工作。</w:t>
      </w:r>
    </w:p>
    <w:p>
      <w:pPr>
        <w:spacing w:line="600" w:lineRule="exact"/>
        <w:ind w:left="567" w:firstLine="320" w:firstLineChars="1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七)参与拟订县城环境卫生工作的中长期规划并组织实施；负责组织、指导、监督环卫专业服务机构开展城区清扫保洁、垃圾清运、道路清洗、公厕管理、河道卫生、城区“牛皮癣”清理等工作；负责环卫作业质量考核、垃圾处理营运监管等品质管理工作。</w:t>
      </w:r>
    </w:p>
    <w:p>
      <w:pPr>
        <w:spacing w:line="600" w:lineRule="exact"/>
        <w:ind w:firstLine="960" w:firstLineChars="3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(八)参与拟订县城环境卫生作业和绿地养护管理技术标准、规范并具体实施；负责县城名木古树保护的技术指导工作；指导环境卫生和园林绿化行业协会开展学术、技术交流活动。</w:t>
      </w:r>
    </w:p>
    <w:p>
      <w:pPr>
        <w:spacing w:line="600" w:lineRule="exact"/>
        <w:ind w:firstLine="960" w:firstLineChars="300"/>
        <w:jc w:val="left"/>
        <w:rPr>
          <w:rFonts w:hint="eastAsia" w:asciiTheme="minorEastAsia" w:hAnsiTheme="minorEastAsia"/>
          <w:bCs/>
          <w:kern w:val="0"/>
          <w:sz w:val="32"/>
          <w:szCs w:val="32"/>
        </w:rPr>
      </w:pPr>
      <w:r>
        <w:rPr>
          <w:rFonts w:hint="eastAsia" w:ascii="Times New Roman" w:hAnsi="Times New Roman" w:eastAsia="仿宋_GB2312" w:cs="仿宋_GB2312"/>
          <w:bCs/>
          <w:kern w:val="0"/>
          <w:sz w:val="32"/>
          <w:szCs w:val="32"/>
        </w:rPr>
        <w:t>(九)承办县委、县政府、县城市管理和综合执法局交办的其它事项</w:t>
      </w:r>
      <w:r>
        <w:rPr>
          <w:rFonts w:hint="eastAsia" w:asciiTheme="minorEastAsia" w:hAnsiTheme="minorEastAsia"/>
          <w:bCs/>
          <w:kern w:val="0"/>
          <w:sz w:val="32"/>
          <w:szCs w:val="32"/>
        </w:rPr>
        <w:t>。</w:t>
      </w:r>
    </w:p>
    <w:p>
      <w:pPr>
        <w:pStyle w:val="19"/>
        <w:ind w:left="643" w:firstLine="0" w:firstLineChars="0"/>
        <w:jc w:val="left"/>
        <w:rPr>
          <w:rFonts w:hint="eastAsia" w:ascii="仿宋" w:hAnsi="仿宋" w:eastAsia="仿宋" w:cs="仿宋"/>
          <w:b/>
          <w:bCs/>
          <w:sz w:val="32"/>
          <w:szCs w:val="32"/>
        </w:rPr>
      </w:pPr>
    </w:p>
    <w:p>
      <w:pPr>
        <w:widowControl/>
        <w:spacing w:line="600" w:lineRule="exact"/>
        <w:ind w:firstLine="643" w:firstLineChars="200"/>
        <w:rPr>
          <w:rFonts w:hint="eastAsia" w:ascii="黑体" w:hAnsi="黑体" w:eastAsia="黑体" w:cs="黑体"/>
          <w:bCs/>
          <w:kern w:val="0"/>
          <w:sz w:val="32"/>
          <w:szCs w:val="32"/>
        </w:rPr>
      </w:pPr>
      <w:r>
        <w:rPr>
          <w:rFonts w:hint="eastAsia" w:ascii="仿宋" w:hAnsi="仿宋" w:eastAsia="仿宋" w:cs="仿宋"/>
          <w:b/>
          <w:kern w:val="0"/>
          <w:sz w:val="32"/>
          <w:szCs w:val="32"/>
        </w:rPr>
        <w:t>二、机构设置及决算单位构成</w:t>
      </w:r>
    </w:p>
    <w:p>
      <w:pPr>
        <w:widowControl/>
        <w:spacing w:line="600" w:lineRule="exact"/>
        <w:ind w:firstLine="640" w:firstLineChars="200"/>
        <w:rPr>
          <w:rFonts w:hint="eastAsia" w:asciiTheme="minorEastAsia" w:hAnsiTheme="minorEastAsia"/>
          <w:bCs/>
          <w:kern w:val="0"/>
          <w:sz w:val="32"/>
          <w:szCs w:val="32"/>
        </w:rPr>
      </w:pPr>
      <w:r>
        <w:rPr>
          <w:rFonts w:hint="eastAsia" w:ascii="Times New Roman" w:hAnsi="Times New Roman" w:eastAsia="仿宋_GB2312" w:cs="仿宋_GB2312"/>
          <w:bCs/>
          <w:kern w:val="0"/>
          <w:sz w:val="32"/>
          <w:szCs w:val="32"/>
        </w:rPr>
        <w:t>（一）内设机构设置。内设机构包括办公室、政工财务室、环卫事务室、绿化建设事务室、绿化管护事务室、公园管理事务室六个机构</w:t>
      </w:r>
      <w:r>
        <w:rPr>
          <w:rFonts w:hint="eastAsia" w:asciiTheme="minorEastAsia" w:hAnsiTheme="minorEastAsia"/>
          <w:bCs/>
          <w:kern w:val="0"/>
          <w:sz w:val="32"/>
          <w:szCs w:val="32"/>
        </w:rPr>
        <w:t>。</w:t>
      </w:r>
    </w:p>
    <w:p>
      <w:pPr>
        <w:spacing w:before="251" w:line="353" w:lineRule="auto"/>
        <w:ind w:right="89" w:firstLine="640" w:firstLineChars="200"/>
        <w:rPr>
          <w:rFonts w:hint="eastAsia" w:ascii="仿宋" w:hAnsi="仿宋" w:eastAsia="仿宋" w:cs="仿宋"/>
          <w:sz w:val="32"/>
          <w:szCs w:val="32"/>
        </w:rPr>
      </w:pPr>
      <w:r>
        <w:rPr>
          <w:rFonts w:hint="eastAsia" w:ascii="Times New Roman" w:hAnsi="Times New Roman" w:eastAsia="仿宋_GB2312" w:cs="仿宋_GB2312"/>
          <w:bCs/>
          <w:kern w:val="0"/>
          <w:sz w:val="32"/>
          <w:szCs w:val="32"/>
        </w:rPr>
        <w:t>（二）决算单位构成。</w:t>
      </w:r>
      <w:r>
        <w:rPr>
          <w:rFonts w:ascii="仿宋" w:hAnsi="仿宋" w:eastAsia="仿宋" w:cs="仿宋"/>
          <w:sz w:val="32"/>
          <w:szCs w:val="32"/>
        </w:rPr>
        <w:t>道县</w:t>
      </w:r>
      <w:r>
        <w:rPr>
          <w:rFonts w:hint="eastAsia" w:ascii="仿宋" w:hAnsi="仿宋" w:eastAsia="仿宋" w:cs="仿宋"/>
          <w:sz w:val="32"/>
          <w:szCs w:val="32"/>
        </w:rPr>
        <w:t>城市环境卫生和园林绿化服务中心</w:t>
      </w:r>
      <w:r>
        <w:rPr>
          <w:rFonts w:ascii="仿宋" w:hAnsi="仿宋" w:eastAsia="仿宋" w:cs="仿宋"/>
          <w:spacing w:val="-62"/>
          <w:sz w:val="32"/>
          <w:szCs w:val="32"/>
        </w:rPr>
        <w:t xml:space="preserve"> </w:t>
      </w:r>
      <w:r>
        <w:rPr>
          <w:rFonts w:ascii="仿宋" w:hAnsi="仿宋" w:eastAsia="仿宋" w:cs="仿宋"/>
          <w:sz w:val="32"/>
          <w:szCs w:val="32"/>
        </w:rPr>
        <w:t>202</w:t>
      </w:r>
      <w:r>
        <w:rPr>
          <w:rFonts w:hint="eastAsia" w:ascii="仿宋" w:hAnsi="仿宋" w:eastAsia="仿宋" w:cs="仿宋"/>
          <w:sz w:val="32"/>
          <w:szCs w:val="32"/>
        </w:rPr>
        <w:t>5</w:t>
      </w:r>
      <w:r>
        <w:rPr>
          <w:rFonts w:ascii="仿宋" w:hAnsi="仿宋" w:eastAsia="仿宋" w:cs="仿宋"/>
          <w:sz w:val="32"/>
          <w:szCs w:val="32"/>
        </w:rPr>
        <w:t>年部门决算汇总</w:t>
      </w:r>
      <w:r>
        <w:rPr>
          <w:rFonts w:ascii="仿宋" w:hAnsi="仿宋" w:eastAsia="仿宋" w:cs="仿宋"/>
          <w:spacing w:val="-1"/>
          <w:sz w:val="32"/>
          <w:szCs w:val="32"/>
        </w:rPr>
        <w:t>公开单位构成包</w:t>
      </w:r>
      <w:r>
        <w:rPr>
          <w:rFonts w:ascii="仿宋" w:hAnsi="仿宋" w:eastAsia="仿宋" w:cs="仿宋"/>
          <w:spacing w:val="-4"/>
          <w:sz w:val="32"/>
          <w:szCs w:val="32"/>
        </w:rPr>
        <w:t>括：</w:t>
      </w:r>
      <w:r>
        <w:rPr>
          <w:rFonts w:ascii="仿宋" w:hAnsi="仿宋" w:eastAsia="仿宋" w:cs="仿宋"/>
          <w:sz w:val="32"/>
          <w:szCs w:val="32"/>
        </w:rPr>
        <w:t>道县</w:t>
      </w:r>
      <w:r>
        <w:rPr>
          <w:rFonts w:hint="eastAsia" w:ascii="仿宋" w:hAnsi="仿宋" w:eastAsia="仿宋" w:cs="仿宋"/>
          <w:sz w:val="32"/>
          <w:szCs w:val="32"/>
        </w:rPr>
        <w:t>城市环境卫生和园林绿化服务中心</w:t>
      </w:r>
      <w:r>
        <w:rPr>
          <w:rFonts w:ascii="仿宋" w:hAnsi="仿宋" w:eastAsia="仿宋" w:cs="仿宋"/>
          <w:spacing w:val="-4"/>
          <w:sz w:val="32"/>
          <w:szCs w:val="32"/>
        </w:rPr>
        <w:t>本级。</w:t>
      </w:r>
    </w:p>
    <w:p>
      <w:pPr>
        <w:widowControl/>
        <w:spacing w:line="600" w:lineRule="exact"/>
        <w:rPr>
          <w:rFonts w:hint="eastAsia" w:ascii="仿宋" w:hAnsi="仿宋" w:eastAsia="仿宋" w:cs="仿宋"/>
          <w:spacing w:val="-3"/>
          <w:sz w:val="32"/>
          <w:szCs w:val="32"/>
        </w:rPr>
        <w:sectPr>
          <w:footerReference r:id="rId3" w:type="default"/>
          <w:pgSz w:w="11906" w:h="16839"/>
          <w:pgMar w:top="816" w:right="508" w:bottom="1165" w:left="740" w:header="0" w:footer="990" w:gutter="0"/>
          <w:cols w:space="720" w:num="1"/>
        </w:sectPr>
      </w:pPr>
    </w:p>
    <w:p>
      <w:pPr>
        <w:spacing w:before="253" w:line="319" w:lineRule="auto"/>
        <w:ind w:right="89"/>
        <w:rPr>
          <w:rFonts w:hint="eastAsia" w:ascii="仿宋" w:hAnsi="仿宋" w:eastAsia="仿宋" w:cs="仿宋"/>
          <w:sz w:val="32"/>
          <w:szCs w:val="32"/>
        </w:rPr>
      </w:pPr>
    </w:p>
    <w:p>
      <w:pPr>
        <w:jc w:val="left"/>
        <w:rPr>
          <w:rFonts w:hint="eastAsia" w:ascii="仿宋_GB2312" w:eastAsia="仿宋_GB2312" w:hAnsiTheme="minorEastAsia"/>
          <w:sz w:val="28"/>
          <w:szCs w:val="32"/>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jc w:val="center"/>
        <w:rPr>
          <w:rFonts w:hint="eastAsia" w:ascii="黑体" w:hAnsi="黑体" w:eastAsia="黑体"/>
          <w:sz w:val="28"/>
          <w:szCs w:val="28"/>
        </w:rPr>
      </w:pPr>
    </w:p>
    <w:p>
      <w:pPr>
        <w:pStyle w:val="18"/>
        <w:jc w:val="both"/>
        <w:rPr>
          <w:rFonts w:hint="eastAsia" w:ascii="方正小标宋_GBK" w:hAnsi="方正小标宋_GBK" w:eastAsia="方正小标宋_GBK" w:cs="方正小标宋_GBK"/>
          <w:sz w:val="84"/>
          <w:szCs w:val="84"/>
        </w:rPr>
      </w:pPr>
    </w:p>
    <w:p>
      <w:pPr>
        <w:pStyle w:val="18"/>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第二部分</w:t>
      </w:r>
    </w:p>
    <w:p>
      <w:pPr>
        <w:pStyle w:val="18"/>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部门决算表</w:t>
      </w:r>
    </w:p>
    <w:p>
      <w:pPr>
        <w:pStyle w:val="18"/>
        <w:spacing w:line="360" w:lineRule="auto"/>
        <w:jc w:val="center"/>
        <w:rPr>
          <w:rFonts w:hint="eastAsia" w:ascii="方正小标宋_GBK" w:hAnsi="方正小标宋_GBK" w:eastAsia="方正小标宋_GBK" w:cs="方正小标宋_GBK"/>
          <w:color w:val="auto"/>
          <w:kern w:val="2"/>
          <w:sz w:val="72"/>
          <w:szCs w:val="72"/>
          <w:lang w:val="en-US" w:eastAsia="zh-CN" w:bidi="ar-SA"/>
        </w:rPr>
        <w:sectPr>
          <w:pgSz w:w="11906" w:h="16838"/>
          <w:pgMar w:top="720" w:right="720" w:bottom="720" w:left="720" w:header="851" w:footer="992" w:gutter="0"/>
          <w:cols w:space="425" w:num="1"/>
          <w:docGrid w:type="lines" w:linePitch="312" w:charSpace="0"/>
        </w:sectPr>
      </w:pPr>
    </w:p>
    <w:tbl>
      <w:tblPr>
        <w:tblStyle w:val="14"/>
        <w:tblW w:w="14494" w:type="dxa"/>
        <w:tblInd w:w="0" w:type="dxa"/>
        <w:tblLayout w:type="fixed"/>
        <w:tblCellMar>
          <w:top w:w="0" w:type="dxa"/>
          <w:left w:w="0" w:type="dxa"/>
          <w:bottom w:w="0" w:type="dxa"/>
          <w:right w:w="0" w:type="dxa"/>
        </w:tblCellMar>
      </w:tblPr>
      <w:tblGrid>
        <w:gridCol w:w="379"/>
        <w:gridCol w:w="629"/>
        <w:gridCol w:w="5056"/>
        <w:gridCol w:w="1545"/>
        <w:gridCol w:w="1410"/>
        <w:gridCol w:w="919"/>
        <w:gridCol w:w="1151"/>
        <w:gridCol w:w="870"/>
        <w:gridCol w:w="1125"/>
        <w:gridCol w:w="1410"/>
      </w:tblGrid>
      <w:tr>
        <w:tblPrEx>
          <w:tblCellMar>
            <w:top w:w="0" w:type="dxa"/>
            <w:left w:w="0" w:type="dxa"/>
            <w:bottom w:w="0" w:type="dxa"/>
            <w:right w:w="0" w:type="dxa"/>
          </w:tblCellMar>
        </w:tblPrEx>
        <w:trPr>
          <w:trHeight w:val="435" w:hRule="atLeast"/>
        </w:trPr>
        <w:tc>
          <w:tcPr>
            <w:tcW w:w="14494" w:type="dxa"/>
            <w:gridSpan w:val="10"/>
            <w:tcBorders>
              <w:top w:val="nil"/>
              <w:left w:val="nil"/>
              <w:bottom w:val="nil"/>
              <w:right w:val="nil"/>
            </w:tcBorders>
            <w:noWrap/>
            <w:tcMar>
              <w:top w:w="15" w:type="dxa"/>
              <w:left w:w="15" w:type="dxa"/>
              <w:bottom w:w="0" w:type="dxa"/>
              <w:right w:w="15" w:type="dxa"/>
            </w:tcMar>
            <w:vAlign w:val="center"/>
          </w:tcPr>
          <w:tbl>
            <w:tblPr>
              <w:tblStyle w:val="14"/>
              <w:tblW w:w="15398" w:type="dxa"/>
              <w:tblInd w:w="0" w:type="dxa"/>
              <w:tblLayout w:type="fixed"/>
              <w:tblCellMar>
                <w:top w:w="0" w:type="dxa"/>
                <w:left w:w="108" w:type="dxa"/>
                <w:bottom w:w="0" w:type="dxa"/>
                <w:right w:w="108" w:type="dxa"/>
              </w:tblCellMar>
            </w:tblPr>
            <w:tblGrid>
              <w:gridCol w:w="4203"/>
              <w:gridCol w:w="878"/>
              <w:gridCol w:w="1845"/>
              <w:gridCol w:w="4695"/>
              <w:gridCol w:w="1080"/>
              <w:gridCol w:w="224"/>
              <w:gridCol w:w="1486"/>
              <w:gridCol w:w="987"/>
            </w:tblGrid>
            <w:tr>
              <w:trPr>
                <w:trHeight w:val="609" w:hRule="atLeast"/>
              </w:trPr>
              <w:tc>
                <w:tcPr>
                  <w:tcW w:w="15398" w:type="dxa"/>
                  <w:gridSpan w:val="8"/>
                  <w:tcBorders>
                    <w:top w:val="nil"/>
                    <w:left w:val="nil"/>
                    <w:bottom w:val="nil"/>
                    <w:right w:val="nil"/>
                  </w:tcBorders>
                  <w:noWrap/>
                  <w:vAlign w:val="center"/>
                </w:tcPr>
                <w:p>
                  <w:pPr>
                    <w:widowControl/>
                    <w:jc w:val="center"/>
                    <w:textAlignment w:val="center"/>
                    <w:rPr>
                      <w:rFonts w:hint="eastAsia"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收入支出决算总表</w:t>
                  </w:r>
                </w:p>
              </w:tc>
            </w:tr>
            <w:tr>
              <w:tblPrEx>
                <w:tblCellMar>
                  <w:top w:w="0" w:type="dxa"/>
                  <w:left w:w="108" w:type="dxa"/>
                  <w:bottom w:w="0" w:type="dxa"/>
                  <w:right w:w="108" w:type="dxa"/>
                </w:tblCellMar>
              </w:tblPrEx>
              <w:trPr>
                <w:trHeight w:val="304" w:hRule="atLeast"/>
              </w:trPr>
              <w:tc>
                <w:tcPr>
                  <w:tcW w:w="4203" w:type="dxa"/>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878" w:type="dxa"/>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1845" w:type="dxa"/>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4695" w:type="dxa"/>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1304" w:type="dxa"/>
                  <w:gridSpan w:val="2"/>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2473" w:type="dxa"/>
                  <w:gridSpan w:val="2"/>
                  <w:tcBorders>
                    <w:top w:val="nil"/>
                    <w:left w:val="nil"/>
                    <w:bottom w:val="nil"/>
                    <w:right w:val="nil"/>
                  </w:tcBorders>
                  <w:shd w:val="clear" w:color="auto" w:fill="FFFFFF"/>
                  <w:noWrap/>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公开01表</w:t>
                  </w:r>
                </w:p>
              </w:tc>
            </w:tr>
            <w:tr>
              <w:tblPrEx>
                <w:tblCellMar>
                  <w:top w:w="0" w:type="dxa"/>
                  <w:left w:w="108" w:type="dxa"/>
                  <w:bottom w:w="0" w:type="dxa"/>
                  <w:right w:w="108" w:type="dxa"/>
                </w:tblCellMar>
              </w:tblPrEx>
              <w:trPr>
                <w:trHeight w:val="304" w:hRule="atLeast"/>
              </w:trPr>
              <w:tc>
                <w:tcPr>
                  <w:tcW w:w="4203" w:type="dxa"/>
                  <w:tcBorders>
                    <w:top w:val="nil"/>
                    <w:left w:val="nil"/>
                    <w:bottom w:val="nil"/>
                    <w:right w:val="nil"/>
                  </w:tcBorders>
                  <w:shd w:val="clear" w:color="auto" w:fill="FFFFFF"/>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部门：道县城市环境卫生和园林绿化服务中心</w:t>
                  </w:r>
                </w:p>
              </w:tc>
              <w:tc>
                <w:tcPr>
                  <w:tcW w:w="878" w:type="dxa"/>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1845" w:type="dxa"/>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4695" w:type="dxa"/>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1304" w:type="dxa"/>
                  <w:gridSpan w:val="2"/>
                  <w:tcBorders>
                    <w:top w:val="nil"/>
                    <w:left w:val="nil"/>
                    <w:bottom w:val="nil"/>
                    <w:right w:val="nil"/>
                  </w:tcBorders>
                  <w:shd w:val="clear" w:color="auto" w:fill="FFFFFF"/>
                  <w:noWrap/>
                  <w:vAlign w:val="center"/>
                </w:tcPr>
                <w:p>
                  <w:pPr>
                    <w:jc w:val="right"/>
                    <w:rPr>
                      <w:rFonts w:hint="eastAsia" w:ascii="宋体" w:hAnsi="宋体" w:eastAsia="宋体" w:cs="宋体"/>
                      <w:color w:val="000000"/>
                      <w:sz w:val="24"/>
                      <w:szCs w:val="24"/>
                    </w:rPr>
                  </w:pPr>
                </w:p>
              </w:tc>
              <w:tc>
                <w:tcPr>
                  <w:tcW w:w="2473" w:type="dxa"/>
                  <w:gridSpan w:val="2"/>
                  <w:tcBorders>
                    <w:top w:val="nil"/>
                    <w:left w:val="nil"/>
                    <w:bottom w:val="nil"/>
                    <w:right w:val="nil"/>
                  </w:tcBorders>
                  <w:shd w:val="clear" w:color="auto" w:fill="FFFFFF"/>
                  <w:noWrap/>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0" w:type="dxa"/>
                  <w:left w:w="108" w:type="dxa"/>
                  <w:bottom w:w="0" w:type="dxa"/>
                  <w:right w:w="108" w:type="dxa"/>
                </w:tblCellMar>
              </w:tblPrEx>
              <w:trPr>
                <w:gridAfter w:val="1"/>
                <w:wAfter w:w="987" w:type="dxa"/>
                <w:trHeight w:val="448" w:hRule="atLeast"/>
              </w:trPr>
              <w:tc>
                <w:tcPr>
                  <w:tcW w:w="692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收入</w:t>
                  </w:r>
                </w:p>
              </w:tc>
              <w:tc>
                <w:tcPr>
                  <w:tcW w:w="7485"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支出</w:t>
                  </w:r>
                </w:p>
              </w:tc>
            </w:tr>
            <w:tr>
              <w:tblPrEx>
                <w:tblCellMar>
                  <w:top w:w="0" w:type="dxa"/>
                  <w:left w:w="108" w:type="dxa"/>
                  <w:bottom w:w="0" w:type="dxa"/>
                  <w:right w:w="108" w:type="dxa"/>
                </w:tblCellMar>
              </w:tblPrEx>
              <w:trPr>
                <w:gridAfter w:val="1"/>
                <w:wAfter w:w="987" w:type="dxa"/>
                <w:trHeight w:val="62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    目</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8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决算数</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    目</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决算数</w:t>
                  </w:r>
                </w:p>
              </w:tc>
            </w:tr>
            <w:tr>
              <w:tblPrEx>
                <w:tblCellMar>
                  <w:top w:w="0" w:type="dxa"/>
                  <w:left w:w="108" w:type="dxa"/>
                  <w:bottom w:w="0" w:type="dxa"/>
                  <w:right w:w="108" w:type="dxa"/>
                </w:tblCellMar>
              </w:tblPrEx>
              <w:trPr>
                <w:gridAfter w:val="1"/>
                <w:wAfter w:w="987" w:type="dxa"/>
                <w:trHeight w:val="49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栏    次</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color w:val="000000"/>
                      <w:sz w:val="24"/>
                      <w:szCs w:val="24"/>
                    </w:rPr>
                  </w:pPr>
                </w:p>
              </w:tc>
              <w:tc>
                <w:tcPr>
                  <w:tcW w:w="18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栏    次</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color w:val="000000"/>
                      <w:sz w:val="24"/>
                      <w:szCs w:val="24"/>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一、一般公共预算财政拨款收入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1622.39</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一、一般公共服务支出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14</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二、政府性基金预算财政拨款收入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450.89</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八、社会保障和就业支出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15</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78.35</w:t>
                  </w: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三、国有资本经营预算财政拨款收入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3</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九、卫生健康支出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16</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41.74</w:t>
                  </w:r>
                </w:p>
              </w:tc>
            </w:tr>
            <w:tr>
              <w:tblPrEx>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四、上级补助收入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4</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十、节能环保支出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17</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r>
            <w:tr>
              <w:tblPrEx>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五、事业收入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5</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十一、城乡社区支出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18</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1532.79</w:t>
                  </w: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六、经营收入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6</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十二、农林水支出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19</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r>
            <w:tr>
              <w:tblPrEx>
                <w:tblCellMar>
                  <w:top w:w="0" w:type="dxa"/>
                  <w:left w:w="108" w:type="dxa"/>
                  <w:bottom w:w="0" w:type="dxa"/>
                  <w:right w:w="108" w:type="dxa"/>
                </w:tblCellMar>
              </w:tblPrEx>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七、附属单位上缴收入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7</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20</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八、其他收入</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8</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color w:val="000000"/>
                      <w:sz w:val="22"/>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21</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color w:val="000000"/>
                      <w:sz w:val="22"/>
                    </w:rPr>
                  </w:pP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0"/>
                      <w:szCs w:val="20"/>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9</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22</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b/>
                      <w:color w:val="000000"/>
                      <w:sz w:val="22"/>
                    </w:rPr>
                  </w:pP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b/>
                      <w:color w:val="000000"/>
                      <w:sz w:val="22"/>
                    </w:rPr>
                  </w:pPr>
                  <w:r>
                    <w:rPr>
                      <w:rFonts w:hint="eastAsia" w:ascii="宋体" w:hAnsi="宋体" w:eastAsia="宋体" w:cs="宋体"/>
                      <w:b/>
                      <w:color w:val="000000"/>
                      <w:kern w:val="0"/>
                      <w:sz w:val="22"/>
                      <w:lang w:bidi="ar"/>
                    </w:rPr>
                    <w:t>本年收入合计</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10</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2073.28</w:t>
                  </w:r>
                </w:p>
              </w:tc>
              <w:tc>
                <w:tcPr>
                  <w:tcW w:w="469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b/>
                      <w:color w:val="000000"/>
                      <w:sz w:val="22"/>
                    </w:rPr>
                  </w:pPr>
                  <w:r>
                    <w:rPr>
                      <w:rFonts w:hint="eastAsia" w:ascii="宋体" w:hAnsi="宋体" w:eastAsia="宋体" w:cs="宋体"/>
                      <w:b/>
                      <w:color w:val="000000"/>
                      <w:kern w:val="0"/>
                      <w:sz w:val="22"/>
                      <w:lang w:bidi="ar"/>
                    </w:rPr>
                    <w:t>本年支出合计</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23</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22"/>
                    </w:rPr>
                  </w:pPr>
                  <w:r>
                    <w:rPr>
                      <w:rFonts w:hint="eastAsia" w:ascii="宋体" w:hAnsi="宋体" w:eastAsia="宋体" w:cs="宋体"/>
                      <w:color w:val="000000"/>
                      <w:sz w:val="22"/>
                    </w:rPr>
                    <w:t>2073.28</w:t>
                  </w: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 xml:space="preserve">    使用非财政拨款结余（含专用结余）</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11</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 xml:space="preserve">                结余分配</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24</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22"/>
                    </w:rPr>
                  </w:pPr>
                </w:p>
              </w:tc>
            </w:tr>
            <w:tr>
              <w:tblPrEx>
                <w:tblCellMar>
                  <w:top w:w="0" w:type="dxa"/>
                  <w:left w:w="108" w:type="dxa"/>
                  <w:bottom w:w="0" w:type="dxa"/>
                  <w:right w:w="108" w:type="dxa"/>
                </w:tblCellMar>
              </w:tblPrEx>
              <w:trPr>
                <w:gridAfter w:val="1"/>
                <w:wAfter w:w="987" w:type="dxa"/>
                <w:trHeight w:val="628" w:hRule="atLeast"/>
              </w:trPr>
              <w:tc>
                <w:tcPr>
                  <w:tcW w:w="4203"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 xml:space="preserve">         年初结转和结余</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12</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p>
              </w:tc>
              <w:tc>
                <w:tcPr>
                  <w:tcW w:w="469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 xml:space="preserve">                年末结转和结余</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25</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color w:val="000000"/>
                      <w:sz w:val="22"/>
                    </w:rPr>
                  </w:pPr>
                </w:p>
              </w:tc>
            </w:tr>
            <w:tr>
              <w:trPr>
                <w:gridAfter w:val="1"/>
                <w:wAfter w:w="987"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b/>
                      <w:color w:val="000000"/>
                      <w:sz w:val="22"/>
                    </w:rPr>
                  </w:pPr>
                  <w:r>
                    <w:rPr>
                      <w:rFonts w:hint="eastAsia" w:ascii="宋体" w:hAnsi="宋体" w:eastAsia="宋体" w:cs="宋体"/>
                      <w:b/>
                      <w:color w:val="000000"/>
                      <w:kern w:val="0"/>
                      <w:sz w:val="22"/>
                      <w:lang w:bidi="ar"/>
                    </w:rPr>
                    <w:t>总计</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13</w:t>
                  </w:r>
                </w:p>
              </w:tc>
              <w:tc>
                <w:tcPr>
                  <w:tcW w:w="1845"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2073.28</w:t>
                  </w:r>
                </w:p>
              </w:tc>
              <w:tc>
                <w:tcPr>
                  <w:tcW w:w="4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b/>
                      <w:color w:val="000000"/>
                      <w:sz w:val="22"/>
                    </w:rPr>
                  </w:pPr>
                  <w:r>
                    <w:rPr>
                      <w:rFonts w:hint="eastAsia" w:ascii="宋体" w:hAnsi="宋体" w:eastAsia="宋体" w:cs="宋体"/>
                      <w:b/>
                      <w:color w:val="000000"/>
                      <w:kern w:val="0"/>
                      <w:sz w:val="22"/>
                      <w:lang w:bidi="ar"/>
                    </w:rPr>
                    <w:t>总计</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26</w:t>
                  </w:r>
                </w:p>
              </w:tc>
              <w:tc>
                <w:tcPr>
                  <w:tcW w:w="1710" w:type="dxa"/>
                  <w:gridSpan w:val="2"/>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bCs/>
                      <w:color w:val="000000"/>
                      <w:sz w:val="22"/>
                    </w:rPr>
                  </w:pPr>
                  <w:r>
                    <w:rPr>
                      <w:rFonts w:hint="eastAsia" w:ascii="宋体" w:hAnsi="宋体" w:eastAsia="宋体" w:cs="宋体"/>
                      <w:color w:val="000000"/>
                      <w:sz w:val="22"/>
                    </w:rPr>
                    <w:t>2073.28</w:t>
                  </w:r>
                </w:p>
              </w:tc>
            </w:tr>
            <w:tr>
              <w:trPr>
                <w:trHeight w:val="1015" w:hRule="atLeast"/>
              </w:trPr>
              <w:tc>
                <w:tcPr>
                  <w:tcW w:w="15398" w:type="dxa"/>
                  <w:gridSpan w:val="8"/>
                  <w:tcBorders>
                    <w:top w:val="nil"/>
                    <w:left w:val="nil"/>
                    <w:bottom w:val="nil"/>
                    <w:right w:val="nil"/>
                  </w:tcBorders>
                  <w:vAlign w:val="center"/>
                </w:tcPr>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注：1.本表反映部门本年度的总收支和年末结转结余情况。</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    2.本套报表金额单位转换时可能存在尾数误差。</w:t>
                  </w:r>
                </w:p>
              </w:tc>
            </w:tr>
          </w:tbl>
          <w:p>
            <w:pPr>
              <w:jc w:val="center"/>
              <w:rPr>
                <w:rFonts w:hint="eastAsia"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37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62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505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54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91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5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8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2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1008"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hint="eastAsia" w:ascii="宋体" w:hAnsi="宋体" w:eastAsia="宋体" w:cs="宋体"/>
                <w:color w:val="000000"/>
                <w:sz w:val="20"/>
                <w:szCs w:val="20"/>
              </w:rPr>
            </w:pPr>
            <w:r>
              <w:rPr>
                <w:rFonts w:hint="eastAsia"/>
                <w:color w:val="000000"/>
                <w:sz w:val="20"/>
                <w:szCs w:val="20"/>
              </w:rPr>
              <w:t>部门：</w:t>
            </w:r>
          </w:p>
        </w:tc>
        <w:tc>
          <w:tcPr>
            <w:tcW w:w="5056" w:type="dxa"/>
            <w:tcBorders>
              <w:top w:val="nil"/>
              <w:left w:val="nil"/>
              <w:bottom w:val="nil"/>
              <w:right w:val="nil"/>
            </w:tcBorders>
            <w:shd w:val="clear" w:color="000000" w:fill="FFFFFF"/>
            <w:noWrap/>
            <w:tcMar>
              <w:top w:w="15" w:type="dxa"/>
              <w:left w:w="15" w:type="dxa"/>
              <w:bottom w:w="0" w:type="dxa"/>
              <w:right w:w="15" w:type="dxa"/>
            </w:tcMar>
            <w:vAlign w:val="center"/>
          </w:tcPr>
          <w:p>
            <w:pPr>
              <w:jc w:val="left"/>
              <w:rPr>
                <w:rFonts w:hint="eastAsia" w:ascii="宋体" w:hAnsi="宋体" w:eastAsia="宋体" w:cs="宋体"/>
                <w:sz w:val="24"/>
                <w:szCs w:val="24"/>
              </w:rPr>
            </w:pPr>
            <w:r>
              <w:rPr>
                <w:rFonts w:hint="eastAsia" w:ascii="宋体" w:hAnsi="宋体" w:eastAsia="宋体" w:cs="宋体"/>
                <w:color w:val="000000"/>
                <w:kern w:val="0"/>
                <w:sz w:val="20"/>
                <w:szCs w:val="20"/>
                <w:lang w:bidi="ar"/>
              </w:rPr>
              <w:t>道县城市环境卫生和园林绿化服务中心</w:t>
            </w:r>
            <w:r>
              <w:rPr>
                <w:rFonts w:hint="eastAsia"/>
              </w:rPr>
              <w:t>　</w:t>
            </w:r>
          </w:p>
        </w:tc>
        <w:tc>
          <w:tcPr>
            <w:tcW w:w="154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919"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color w:val="000000"/>
                <w:sz w:val="20"/>
                <w:szCs w:val="20"/>
              </w:rPr>
            </w:pPr>
            <w:r>
              <w:rPr>
                <w:rFonts w:hint="eastAsia"/>
                <w:color w:val="000000"/>
                <w:sz w:val="20"/>
                <w:szCs w:val="20"/>
              </w:rPr>
              <w:t>　</w:t>
            </w:r>
          </w:p>
        </w:tc>
        <w:tc>
          <w:tcPr>
            <w:tcW w:w="115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8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2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4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hint="eastAsia"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606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项    目</w:t>
            </w:r>
          </w:p>
        </w:tc>
        <w:tc>
          <w:tcPr>
            <w:tcW w:w="154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本年收入合计</w:t>
            </w:r>
          </w:p>
        </w:tc>
        <w:tc>
          <w:tcPr>
            <w:tcW w:w="1410"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财政拨款收入</w:t>
            </w:r>
          </w:p>
        </w:tc>
        <w:tc>
          <w:tcPr>
            <w:tcW w:w="91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上级补助收入</w:t>
            </w:r>
          </w:p>
        </w:tc>
        <w:tc>
          <w:tcPr>
            <w:tcW w:w="115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事业收入</w:t>
            </w:r>
          </w:p>
        </w:tc>
        <w:tc>
          <w:tcPr>
            <w:tcW w:w="8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经营收入</w:t>
            </w:r>
          </w:p>
        </w:tc>
        <w:tc>
          <w:tcPr>
            <w:tcW w:w="11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附属单位上缴收入</w:t>
            </w:r>
          </w:p>
        </w:tc>
        <w:tc>
          <w:tcPr>
            <w:tcW w:w="14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00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功能分类科目编码</w:t>
            </w:r>
          </w:p>
        </w:tc>
        <w:tc>
          <w:tcPr>
            <w:tcW w:w="505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科目名称</w:t>
            </w:r>
          </w:p>
        </w:tc>
        <w:tc>
          <w:tcPr>
            <w:tcW w:w="154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15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12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0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5056"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54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151"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125"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606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栏次</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1</w:t>
            </w:r>
          </w:p>
        </w:tc>
        <w:tc>
          <w:tcPr>
            <w:tcW w:w="14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2</w:t>
            </w:r>
          </w:p>
        </w:tc>
        <w:tc>
          <w:tcPr>
            <w:tcW w:w="91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3</w:t>
            </w:r>
          </w:p>
        </w:tc>
        <w:tc>
          <w:tcPr>
            <w:tcW w:w="11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4</w:t>
            </w:r>
          </w:p>
        </w:tc>
        <w:tc>
          <w:tcPr>
            <w:tcW w:w="8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5</w:t>
            </w:r>
          </w:p>
        </w:tc>
        <w:tc>
          <w:tcPr>
            <w:tcW w:w="11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6</w:t>
            </w:r>
          </w:p>
        </w:tc>
        <w:tc>
          <w:tcPr>
            <w:tcW w:w="14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606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rPr>
              <w:t>合计</w:t>
            </w:r>
          </w:p>
        </w:tc>
        <w:tc>
          <w:tcPr>
            <w:tcW w:w="154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2073.28　</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2073.28</w:t>
            </w:r>
          </w:p>
        </w:tc>
        <w:tc>
          <w:tcPr>
            <w:tcW w:w="91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8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2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0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cs="宋体"/>
                <w:sz w:val="24"/>
                <w:szCs w:val="24"/>
              </w:rPr>
            </w:pPr>
            <w:r>
              <w:rPr>
                <w:rFonts w:hint="eastAsia"/>
                <w:color w:val="000000"/>
                <w:sz w:val="22"/>
              </w:rPr>
              <w:t>2120899</w:t>
            </w:r>
          </w:p>
        </w:tc>
        <w:tc>
          <w:tcPr>
            <w:tcW w:w="50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rPr>
                <w:rFonts w:hint="eastAsia" w:ascii="宋体" w:hAnsi="宋体" w:cs="宋体"/>
                <w:color w:val="000000"/>
                <w:kern w:val="0"/>
                <w:sz w:val="22"/>
              </w:rPr>
            </w:pPr>
            <w:r>
              <w:rPr>
                <w:rFonts w:hint="eastAsia" w:ascii="宋体" w:hAnsi="宋体" w:eastAsia="宋体" w:cs="宋体"/>
                <w:color w:val="000000"/>
                <w:kern w:val="0"/>
                <w:sz w:val="22"/>
                <w:lang w:bidi="ar"/>
              </w:rPr>
              <w:t>其他国有土地使用权出让收入安排的支出</w:t>
            </w:r>
          </w:p>
        </w:tc>
        <w:tc>
          <w:tcPr>
            <w:tcW w:w="154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30.49</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30.49</w:t>
            </w:r>
          </w:p>
        </w:tc>
        <w:tc>
          <w:tcPr>
            <w:tcW w:w="91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8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2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0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color w:val="000000"/>
                <w:sz w:val="22"/>
              </w:rPr>
            </w:pPr>
            <w:r>
              <w:rPr>
                <w:color w:val="000000"/>
                <w:sz w:val="22"/>
              </w:rPr>
              <w:t>2290403</w:t>
            </w:r>
          </w:p>
        </w:tc>
        <w:tc>
          <w:tcPr>
            <w:tcW w:w="50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其他政府性基金债务收入安排的支出</w:t>
            </w:r>
          </w:p>
        </w:tc>
        <w:tc>
          <w:tcPr>
            <w:tcW w:w="154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r>
              <w:rPr>
                <w:rFonts w:hint="eastAsia"/>
              </w:rPr>
              <w:t>420.40</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r>
              <w:rPr>
                <w:rFonts w:hint="eastAsia"/>
              </w:rPr>
              <w:t>420.40</w:t>
            </w:r>
          </w:p>
        </w:tc>
        <w:tc>
          <w:tcPr>
            <w:tcW w:w="91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1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8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12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10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cs="宋体"/>
                <w:color w:val="000000"/>
                <w:kern w:val="0"/>
                <w:sz w:val="22"/>
              </w:rPr>
            </w:pPr>
            <w:r>
              <w:rPr>
                <w:rFonts w:hint="eastAsia"/>
                <w:color w:val="000000"/>
                <w:sz w:val="22"/>
              </w:rPr>
              <w:t>2080505</w:t>
            </w:r>
          </w:p>
        </w:tc>
        <w:tc>
          <w:tcPr>
            <w:tcW w:w="50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color w:val="000000"/>
                <w:sz w:val="22"/>
              </w:rPr>
              <w:t>机关事业单位基本养老保险缴费支出</w:t>
            </w:r>
          </w:p>
        </w:tc>
        <w:tc>
          <w:tcPr>
            <w:tcW w:w="154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r>
              <w:rPr>
                <w:rFonts w:hint="eastAsia"/>
              </w:rPr>
              <w:t>76.77</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r>
              <w:rPr>
                <w:rFonts w:hint="eastAsia"/>
              </w:rPr>
              <w:t>76.77</w:t>
            </w:r>
          </w:p>
        </w:tc>
        <w:tc>
          <w:tcPr>
            <w:tcW w:w="91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1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8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12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10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cs="宋体"/>
                <w:color w:val="000000"/>
                <w:kern w:val="0"/>
                <w:sz w:val="22"/>
              </w:rPr>
            </w:pPr>
            <w:r>
              <w:rPr>
                <w:rFonts w:ascii="宋体" w:hAnsi="宋体" w:eastAsia="宋体" w:cs="宋体"/>
                <w:color w:val="000000"/>
                <w:kern w:val="0"/>
                <w:sz w:val="22"/>
                <w:lang w:bidi="ar"/>
              </w:rPr>
              <w:t>2080801</w:t>
            </w:r>
          </w:p>
        </w:tc>
        <w:tc>
          <w:tcPr>
            <w:tcW w:w="50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rPr>
                <w:rFonts w:hint="eastAsia" w:ascii="宋体" w:hAnsi="宋体" w:cs="宋体"/>
                <w:color w:val="000000"/>
                <w:kern w:val="0"/>
                <w:sz w:val="22"/>
              </w:rPr>
            </w:pPr>
            <w:r>
              <w:rPr>
                <w:rFonts w:hint="eastAsia" w:ascii="宋体" w:hAnsi="宋体" w:eastAsia="宋体" w:cs="宋体"/>
                <w:color w:val="000000"/>
                <w:kern w:val="0"/>
                <w:sz w:val="22"/>
                <w:lang w:bidi="ar"/>
              </w:rPr>
              <w:t>死亡抚恤</w:t>
            </w:r>
          </w:p>
        </w:tc>
        <w:tc>
          <w:tcPr>
            <w:tcW w:w="154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r>
              <w:rPr>
                <w:rFonts w:hint="eastAsia"/>
              </w:rPr>
              <w:t>1.58</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r>
              <w:rPr>
                <w:rFonts w:hint="eastAsia"/>
              </w:rPr>
              <w:t>1.58</w:t>
            </w:r>
          </w:p>
        </w:tc>
        <w:tc>
          <w:tcPr>
            <w:tcW w:w="91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1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8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12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10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ascii="宋体" w:hAnsi="宋体" w:eastAsia="宋体" w:cs="宋体"/>
                <w:color w:val="000000"/>
                <w:kern w:val="0"/>
                <w:sz w:val="22"/>
                <w:lang w:bidi="ar"/>
              </w:rPr>
              <w:t>2120501</w:t>
            </w:r>
          </w:p>
        </w:tc>
        <w:tc>
          <w:tcPr>
            <w:tcW w:w="50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pPr>
            <w:r>
              <w:rPr>
                <w:rFonts w:hint="eastAsia" w:ascii="宋体" w:hAnsi="宋体" w:eastAsia="宋体" w:cs="宋体"/>
                <w:color w:val="000000"/>
                <w:kern w:val="0"/>
                <w:sz w:val="22"/>
                <w:lang w:bidi="ar"/>
              </w:rPr>
              <w:t>城乡社区环境卫生</w:t>
            </w:r>
          </w:p>
        </w:tc>
        <w:tc>
          <w:tcPr>
            <w:tcW w:w="154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r>
              <w:rPr>
                <w:rFonts w:hint="eastAsia"/>
              </w:rPr>
              <w:t>884.28　</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r>
              <w:rPr>
                <w:rFonts w:hint="eastAsia"/>
              </w:rPr>
              <w:t>884.28　</w:t>
            </w:r>
          </w:p>
        </w:tc>
        <w:tc>
          <w:tcPr>
            <w:tcW w:w="91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1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8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12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10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sz w:val="24"/>
                <w:szCs w:val="24"/>
              </w:rPr>
            </w:pPr>
            <w:r>
              <w:rPr>
                <w:rFonts w:ascii="宋体" w:hAnsi="宋体" w:eastAsia="宋体" w:cs="宋体"/>
                <w:color w:val="000000"/>
                <w:kern w:val="0"/>
                <w:sz w:val="22"/>
                <w:lang w:bidi="ar"/>
              </w:rPr>
              <w:t>21</w:t>
            </w:r>
            <w:r>
              <w:rPr>
                <w:rFonts w:hint="eastAsia" w:ascii="宋体" w:hAnsi="宋体" w:eastAsia="宋体" w:cs="宋体"/>
                <w:color w:val="000000"/>
                <w:kern w:val="0"/>
                <w:sz w:val="22"/>
                <w:lang w:bidi="ar"/>
              </w:rPr>
              <w:t>2</w:t>
            </w:r>
            <w:r>
              <w:rPr>
                <w:rFonts w:ascii="宋体" w:hAnsi="宋体" w:eastAsia="宋体" w:cs="宋体"/>
                <w:color w:val="000000"/>
                <w:kern w:val="0"/>
                <w:sz w:val="22"/>
                <w:lang w:bidi="ar"/>
              </w:rPr>
              <w:t>0101</w:t>
            </w:r>
          </w:p>
        </w:tc>
        <w:tc>
          <w:tcPr>
            <w:tcW w:w="50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sz w:val="24"/>
                <w:szCs w:val="24"/>
              </w:rPr>
            </w:pPr>
            <w:r>
              <w:rPr>
                <w:rFonts w:hint="eastAsia"/>
              </w:rPr>
              <w:t>行政运行</w:t>
            </w:r>
          </w:p>
        </w:tc>
        <w:tc>
          <w:tcPr>
            <w:tcW w:w="154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658.01　</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658.01</w:t>
            </w:r>
          </w:p>
        </w:tc>
        <w:tc>
          <w:tcPr>
            <w:tcW w:w="91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8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2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0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sz w:val="24"/>
                <w:szCs w:val="24"/>
              </w:rPr>
            </w:pPr>
            <w:r>
              <w:rPr>
                <w:rFonts w:ascii="宋体" w:hAnsi="宋体" w:eastAsia="宋体" w:cs="宋体"/>
                <w:color w:val="000000"/>
                <w:kern w:val="0"/>
                <w:sz w:val="22"/>
                <w:lang w:bidi="ar"/>
              </w:rPr>
              <w:t>2101102</w:t>
            </w:r>
          </w:p>
        </w:tc>
        <w:tc>
          <w:tcPr>
            <w:tcW w:w="50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宋体" w:hAnsi="宋体" w:eastAsia="宋体" w:cs="宋体"/>
                <w:sz w:val="24"/>
                <w:szCs w:val="24"/>
              </w:rPr>
            </w:pPr>
            <w:r>
              <w:rPr>
                <w:rFonts w:hint="eastAsia"/>
                <w:color w:val="000000"/>
                <w:sz w:val="22"/>
              </w:rPr>
              <w:t>事业单位医疗</w:t>
            </w:r>
          </w:p>
        </w:tc>
        <w:tc>
          <w:tcPr>
            <w:tcW w:w="154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41.74</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41.74</w:t>
            </w:r>
          </w:p>
        </w:tc>
        <w:tc>
          <w:tcPr>
            <w:tcW w:w="91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87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125"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c>
          <w:tcPr>
            <w:tcW w:w="1410"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right"/>
              <w:rPr>
                <w:rFonts w:hint="eastAsia" w:ascii="宋体" w:hAnsi="宋体" w:eastAsia="宋体" w:cs="宋体"/>
                <w:sz w:val="24"/>
                <w:szCs w:val="24"/>
              </w:rPr>
            </w:pPr>
            <w:r>
              <w:rPr>
                <w:rFonts w:hint="eastAsia"/>
              </w:rPr>
              <w:t>　</w:t>
            </w:r>
          </w:p>
        </w:tc>
      </w:tr>
    </w:tbl>
    <w:p>
      <w:pPr>
        <w:pStyle w:val="2"/>
        <w:ind w:left="0" w:leftChars="0" w:firstLine="0" w:firstLineChars="0"/>
        <w:rPr>
          <w:rFonts w:hint="eastAsia"/>
        </w:rPr>
      </w:pPr>
      <w:r>
        <w:rPr>
          <w:rFonts w:hint="eastAsia"/>
        </w:rPr>
        <w:t>注：本表反映部门本年度取得的各项收入情况。</w:t>
      </w:r>
    </w:p>
    <w:p>
      <w:pPr>
        <w:pStyle w:val="2"/>
        <w:ind w:left="0" w:leftChars="0" w:firstLine="0" w:firstLineChars="0"/>
        <w:rPr>
          <w:rFonts w:hint="eastAsia"/>
        </w:rPr>
      </w:pPr>
    </w:p>
    <w:p>
      <w:pPr>
        <w:pStyle w:val="2"/>
        <w:ind w:left="0" w:leftChars="0" w:firstLine="0" w:firstLineChars="0"/>
        <w:rPr>
          <w:rFonts w:hint="eastAsia"/>
        </w:rPr>
      </w:pPr>
    </w:p>
    <w:p>
      <w:pPr>
        <w:pStyle w:val="2"/>
        <w:ind w:left="0" w:leftChars="0" w:firstLine="0" w:firstLineChars="0"/>
        <w:rPr>
          <w:rFonts w:hint="eastAsia"/>
        </w:rPr>
      </w:pPr>
    </w:p>
    <w:tbl>
      <w:tblPr>
        <w:tblStyle w:val="14"/>
        <w:tblW w:w="15521" w:type="dxa"/>
        <w:tblInd w:w="93" w:type="dxa"/>
        <w:tblLayout w:type="fixed"/>
        <w:tblCellMar>
          <w:top w:w="0" w:type="dxa"/>
          <w:left w:w="108" w:type="dxa"/>
          <w:bottom w:w="0" w:type="dxa"/>
          <w:right w:w="108" w:type="dxa"/>
        </w:tblCellMar>
      </w:tblPr>
      <w:tblGrid>
        <w:gridCol w:w="15"/>
        <w:gridCol w:w="934"/>
        <w:gridCol w:w="240"/>
        <w:gridCol w:w="2402"/>
        <w:gridCol w:w="436"/>
        <w:gridCol w:w="1227"/>
        <w:gridCol w:w="1290"/>
        <w:gridCol w:w="1710"/>
        <w:gridCol w:w="274"/>
        <w:gridCol w:w="631"/>
        <w:gridCol w:w="435"/>
        <w:gridCol w:w="16"/>
        <w:gridCol w:w="1555"/>
        <w:gridCol w:w="455"/>
        <w:gridCol w:w="937"/>
        <w:gridCol w:w="338"/>
        <w:gridCol w:w="1054"/>
        <w:gridCol w:w="176"/>
        <w:gridCol w:w="1236"/>
        <w:gridCol w:w="9"/>
        <w:gridCol w:w="151"/>
      </w:tblGrid>
      <w:tr>
        <w:trPr>
          <w:gridBefore w:val="1"/>
          <w:gridAfter w:val="1"/>
          <w:wBefore w:w="15" w:type="dxa"/>
          <w:wAfter w:w="151" w:type="dxa"/>
          <w:trHeight w:val="807" w:hRule="atLeast"/>
        </w:trPr>
        <w:tc>
          <w:tcPr>
            <w:tcW w:w="15355" w:type="dxa"/>
            <w:gridSpan w:val="19"/>
            <w:tcBorders>
              <w:top w:val="nil"/>
              <w:left w:val="nil"/>
              <w:bottom w:val="nil"/>
              <w:right w:val="nil"/>
            </w:tcBorders>
            <w:noWrap/>
            <w:vAlign w:val="center"/>
          </w:tcPr>
          <w:p>
            <w:pPr>
              <w:widowControl/>
              <w:jc w:val="center"/>
              <w:rPr>
                <w:rFonts w:hint="eastAsia"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gridBefore w:val="1"/>
          <w:gridAfter w:val="2"/>
          <w:wBefore w:w="15" w:type="dxa"/>
          <w:wAfter w:w="160" w:type="dxa"/>
          <w:trHeight w:val="403" w:hRule="atLeast"/>
        </w:trPr>
        <w:tc>
          <w:tcPr>
            <w:tcW w:w="934"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5355" w:type="dxa"/>
            <w:gridSpan w:val="4"/>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710"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356" w:type="dxa"/>
            <w:gridSpan w:val="4"/>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010"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75"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6" w:type="dxa"/>
            <w:tcBorders>
              <w:top w:val="nil"/>
              <w:left w:val="nil"/>
              <w:bottom w:val="nil"/>
              <w:right w:val="nil"/>
            </w:tcBorders>
            <w:shd w:val="clear" w:color="000000" w:fill="FFFFFF"/>
            <w:noWrap/>
            <w:vAlign w:val="center"/>
          </w:tcPr>
          <w:p>
            <w:pPr>
              <w:widowControl/>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gridBefore w:val="1"/>
          <w:gridAfter w:val="2"/>
          <w:wBefore w:w="15" w:type="dxa"/>
          <w:wAfter w:w="160" w:type="dxa"/>
          <w:trHeight w:val="403" w:hRule="atLeast"/>
        </w:trPr>
        <w:tc>
          <w:tcPr>
            <w:tcW w:w="934" w:type="dxa"/>
            <w:tcBorders>
              <w:top w:val="nil"/>
              <w:left w:val="nil"/>
              <w:bottom w:val="nil"/>
              <w:right w:val="nil"/>
            </w:tcBorders>
            <w:shd w:val="clear" w:color="000000" w:fill="FFFFFF"/>
            <w:noWrap/>
            <w:vAlign w:val="center"/>
          </w:tcPr>
          <w:p>
            <w:pPr>
              <w:widowControl/>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pPr>
              <w:widowControl/>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5355" w:type="dxa"/>
            <w:gridSpan w:val="4"/>
            <w:tcBorders>
              <w:top w:val="nil"/>
              <w:left w:val="nil"/>
              <w:bottom w:val="nil"/>
              <w:right w:val="nil"/>
            </w:tcBorders>
            <w:shd w:val="clear" w:color="000000" w:fill="FFFFFF"/>
            <w:noWrap/>
            <w:vAlign w:val="center"/>
          </w:tcPr>
          <w:p>
            <w:pPr>
              <w:widowControl/>
              <w:rPr>
                <w:rFonts w:hint="eastAsia" w:ascii="宋体" w:hAnsi="宋体" w:eastAsia="宋体" w:cs="宋体"/>
                <w:kern w:val="0"/>
                <w:sz w:val="24"/>
                <w:szCs w:val="24"/>
              </w:rPr>
            </w:pPr>
            <w:r>
              <w:rPr>
                <w:rFonts w:hint="eastAsia" w:ascii="宋体" w:hAnsi="宋体" w:eastAsia="宋体" w:cs="宋体"/>
                <w:color w:val="000000"/>
                <w:kern w:val="0"/>
                <w:sz w:val="20"/>
                <w:szCs w:val="20"/>
                <w:lang w:bidi="ar"/>
              </w:rPr>
              <w:t>道县城市环境卫生和园林绿化服务中心</w:t>
            </w:r>
            <w:r>
              <w:rPr>
                <w:rFonts w:hint="eastAsia" w:ascii="宋体" w:hAnsi="宋体" w:eastAsia="宋体" w:cs="宋体"/>
                <w:kern w:val="0"/>
                <w:sz w:val="24"/>
                <w:szCs w:val="24"/>
              </w:rPr>
              <w:t>　</w:t>
            </w:r>
          </w:p>
        </w:tc>
        <w:tc>
          <w:tcPr>
            <w:tcW w:w="1710"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356" w:type="dxa"/>
            <w:gridSpan w:val="4"/>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010" w:type="dxa"/>
            <w:gridSpan w:val="2"/>
            <w:tcBorders>
              <w:top w:val="nil"/>
              <w:left w:val="nil"/>
              <w:bottom w:val="nil"/>
              <w:right w:val="nil"/>
            </w:tcBorders>
            <w:shd w:val="clear" w:color="000000" w:fill="FFFFFF"/>
            <w:noWrap/>
            <w:vAlign w:val="center"/>
          </w:tcPr>
          <w:p>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75"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6" w:type="dxa"/>
            <w:tcBorders>
              <w:top w:val="nil"/>
              <w:left w:val="nil"/>
              <w:bottom w:val="nil"/>
              <w:right w:val="nil"/>
            </w:tcBorders>
            <w:shd w:val="clear" w:color="000000" w:fill="FFFFFF"/>
            <w:noWrap/>
            <w:vAlign w:val="center"/>
          </w:tcPr>
          <w:p>
            <w:pPr>
              <w:widowControl/>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Before w:val="1"/>
          <w:gridAfter w:val="2"/>
          <w:wBefore w:w="15" w:type="dxa"/>
          <w:wAfter w:w="160" w:type="dxa"/>
          <w:trHeight w:val="595" w:hRule="atLeast"/>
        </w:trPr>
        <w:tc>
          <w:tcPr>
            <w:tcW w:w="6529"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项    目</w:t>
            </w:r>
          </w:p>
        </w:tc>
        <w:tc>
          <w:tcPr>
            <w:tcW w:w="171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本年支出合计</w:t>
            </w:r>
          </w:p>
        </w:tc>
        <w:tc>
          <w:tcPr>
            <w:tcW w:w="1356"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基本支出</w:t>
            </w:r>
          </w:p>
        </w:tc>
        <w:tc>
          <w:tcPr>
            <w:tcW w:w="201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项目支出</w:t>
            </w:r>
          </w:p>
        </w:tc>
        <w:tc>
          <w:tcPr>
            <w:tcW w:w="1275"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上缴上级支出</w:t>
            </w:r>
          </w:p>
        </w:tc>
        <w:tc>
          <w:tcPr>
            <w:tcW w:w="123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经营支出</w:t>
            </w:r>
          </w:p>
        </w:tc>
        <w:tc>
          <w:tcPr>
            <w:tcW w:w="123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gridBefore w:val="1"/>
          <w:gridAfter w:val="2"/>
          <w:wBefore w:w="15" w:type="dxa"/>
          <w:wAfter w:w="160" w:type="dxa"/>
          <w:trHeight w:val="595" w:hRule="atLeast"/>
        </w:trPr>
        <w:tc>
          <w:tcPr>
            <w:tcW w:w="117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功能分类科目编码</w:t>
            </w:r>
          </w:p>
        </w:tc>
        <w:tc>
          <w:tcPr>
            <w:tcW w:w="5355" w:type="dxa"/>
            <w:gridSpan w:val="4"/>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科目名称</w:t>
            </w:r>
          </w:p>
        </w:tc>
        <w:tc>
          <w:tcPr>
            <w:tcW w:w="17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356"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201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27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23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2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r>
      <w:tr>
        <w:trPr>
          <w:gridBefore w:val="1"/>
          <w:gridAfter w:val="2"/>
          <w:wBefore w:w="15" w:type="dxa"/>
          <w:wAfter w:w="160" w:type="dxa"/>
          <w:trHeight w:val="595" w:hRule="atLeast"/>
        </w:trPr>
        <w:tc>
          <w:tcPr>
            <w:tcW w:w="117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5355" w:type="dxa"/>
            <w:gridSpan w:val="4"/>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7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356"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201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27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23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c>
          <w:tcPr>
            <w:tcW w:w="12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24"/>
                <w:szCs w:val="24"/>
              </w:rPr>
            </w:pPr>
          </w:p>
        </w:tc>
      </w:tr>
      <w:tr>
        <w:trPr>
          <w:gridBefore w:val="1"/>
          <w:gridAfter w:val="2"/>
          <w:wBefore w:w="15" w:type="dxa"/>
          <w:wAfter w:w="160" w:type="dxa"/>
          <w:trHeight w:val="595" w:hRule="atLeast"/>
        </w:trPr>
        <w:tc>
          <w:tcPr>
            <w:tcW w:w="6529"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栏次</w:t>
            </w:r>
          </w:p>
        </w:tc>
        <w:tc>
          <w:tcPr>
            <w:tcW w:w="1710"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356" w:type="dxa"/>
            <w:gridSpan w:val="4"/>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01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275"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1236"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r>
      <w:tr>
        <w:trPr>
          <w:gridBefore w:val="1"/>
          <w:gridAfter w:val="2"/>
          <w:wBefore w:w="15" w:type="dxa"/>
          <w:wAfter w:w="160" w:type="dxa"/>
          <w:trHeight w:val="595" w:hRule="atLeast"/>
        </w:trPr>
        <w:tc>
          <w:tcPr>
            <w:tcW w:w="6529"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合计</w:t>
            </w:r>
          </w:p>
        </w:tc>
        <w:tc>
          <w:tcPr>
            <w:tcW w:w="1710" w:type="dxa"/>
            <w:tcBorders>
              <w:top w:val="nil"/>
              <w:left w:val="nil"/>
              <w:bottom w:val="single" w:color="auto" w:sz="4" w:space="0"/>
              <w:right w:val="single" w:color="auto" w:sz="4" w:space="0"/>
            </w:tcBorders>
            <w:noWrap/>
            <w:vAlign w:val="center"/>
          </w:tcPr>
          <w:p>
            <w:pPr>
              <w:jc w:val="right"/>
              <w:rPr>
                <w:rFonts w:hint="eastAsia" w:ascii="宋体" w:hAnsi="宋体" w:eastAsia="宋体" w:cs="宋体"/>
                <w:kern w:val="0"/>
                <w:sz w:val="24"/>
                <w:szCs w:val="24"/>
              </w:rPr>
            </w:pPr>
            <w:r>
              <w:rPr>
                <w:rFonts w:hint="eastAsia"/>
              </w:rPr>
              <w:t>2073.28　</w:t>
            </w:r>
          </w:p>
        </w:tc>
        <w:tc>
          <w:tcPr>
            <w:tcW w:w="1356"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853.38　</w:t>
            </w:r>
          </w:p>
        </w:tc>
        <w:tc>
          <w:tcPr>
            <w:tcW w:w="201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1219.90　</w:t>
            </w:r>
          </w:p>
        </w:tc>
        <w:tc>
          <w:tcPr>
            <w:tcW w:w="1275"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r>
      <w:tr>
        <w:trPr>
          <w:gridBefore w:val="1"/>
          <w:gridAfter w:val="2"/>
          <w:wBefore w:w="15" w:type="dxa"/>
          <w:wAfter w:w="160" w:type="dxa"/>
          <w:trHeight w:val="595" w:hRule="atLeast"/>
        </w:trPr>
        <w:tc>
          <w:tcPr>
            <w:tcW w:w="117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2080505</w:t>
            </w:r>
          </w:p>
        </w:tc>
        <w:tc>
          <w:tcPr>
            <w:tcW w:w="5355" w:type="dxa"/>
            <w:gridSpan w:val="4"/>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机关事业单位基本养老保险缴费支出</w:t>
            </w:r>
          </w:p>
        </w:tc>
        <w:tc>
          <w:tcPr>
            <w:tcW w:w="1710" w:type="dxa"/>
            <w:tcBorders>
              <w:top w:val="nil"/>
              <w:left w:val="nil"/>
              <w:bottom w:val="single" w:color="auto" w:sz="4" w:space="0"/>
              <w:right w:val="single" w:color="auto" w:sz="4" w:space="0"/>
            </w:tcBorders>
            <w:noWrap/>
            <w:vAlign w:val="center"/>
          </w:tcPr>
          <w:p>
            <w:pPr>
              <w:jc w:val="right"/>
              <w:rPr>
                <w:rFonts w:hint="eastAsia" w:ascii="宋体" w:hAnsi="宋体" w:eastAsia="宋体" w:cs="宋体"/>
                <w:kern w:val="0"/>
                <w:sz w:val="24"/>
                <w:szCs w:val="24"/>
              </w:rPr>
            </w:pPr>
            <w:r>
              <w:rPr>
                <w:rFonts w:hint="eastAsia"/>
              </w:rPr>
              <w:t>76.77　</w:t>
            </w:r>
          </w:p>
        </w:tc>
        <w:tc>
          <w:tcPr>
            <w:tcW w:w="1356"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rPr>
              <w:t>76.77　</w:t>
            </w:r>
          </w:p>
        </w:tc>
        <w:tc>
          <w:tcPr>
            <w:tcW w:w="201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75"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r>
      <w:tr>
        <w:trPr>
          <w:gridBefore w:val="1"/>
          <w:gridAfter w:val="2"/>
          <w:wBefore w:w="15" w:type="dxa"/>
          <w:wAfter w:w="160" w:type="dxa"/>
          <w:trHeight w:val="595" w:hRule="atLeast"/>
        </w:trPr>
        <w:tc>
          <w:tcPr>
            <w:tcW w:w="117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2080801</w:t>
            </w:r>
          </w:p>
        </w:tc>
        <w:tc>
          <w:tcPr>
            <w:tcW w:w="5355" w:type="dxa"/>
            <w:gridSpan w:val="4"/>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死亡抚恤</w:t>
            </w:r>
          </w:p>
        </w:tc>
        <w:tc>
          <w:tcPr>
            <w:tcW w:w="1710" w:type="dxa"/>
            <w:tcBorders>
              <w:top w:val="nil"/>
              <w:left w:val="nil"/>
              <w:bottom w:val="single" w:color="auto" w:sz="4" w:space="0"/>
              <w:right w:val="single" w:color="auto" w:sz="4" w:space="0"/>
            </w:tcBorders>
            <w:noWrap/>
            <w:vAlign w:val="center"/>
          </w:tcPr>
          <w:p>
            <w:pPr>
              <w:jc w:val="right"/>
              <w:rPr>
                <w:rFonts w:hint="eastAsia" w:ascii="宋体" w:hAnsi="宋体" w:eastAsia="宋体" w:cs="宋体"/>
                <w:kern w:val="0"/>
                <w:sz w:val="24"/>
                <w:szCs w:val="24"/>
              </w:rPr>
            </w:pPr>
            <w:r>
              <w:rPr>
                <w:rFonts w:hint="eastAsia" w:ascii="华文中宋" w:hAnsi="华文中宋" w:eastAsia="华文中宋"/>
              </w:rPr>
              <w:t>1.58</w:t>
            </w:r>
          </w:p>
        </w:tc>
        <w:tc>
          <w:tcPr>
            <w:tcW w:w="1356"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华文中宋" w:hAnsi="华文中宋" w:eastAsia="华文中宋"/>
              </w:rPr>
              <w:t>1.58</w:t>
            </w:r>
          </w:p>
        </w:tc>
        <w:tc>
          <w:tcPr>
            <w:tcW w:w="201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75"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3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r>
      <w:tr>
        <w:trPr>
          <w:gridBefore w:val="1"/>
          <w:gridAfter w:val="2"/>
          <w:wBefore w:w="15" w:type="dxa"/>
          <w:wAfter w:w="160" w:type="dxa"/>
          <w:trHeight w:val="595" w:hRule="atLeast"/>
        </w:trPr>
        <w:tc>
          <w:tcPr>
            <w:tcW w:w="117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2120101</w:t>
            </w:r>
          </w:p>
        </w:tc>
        <w:tc>
          <w:tcPr>
            <w:tcW w:w="5355" w:type="dxa"/>
            <w:gridSpan w:val="4"/>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行政运行</w:t>
            </w:r>
          </w:p>
        </w:tc>
        <w:tc>
          <w:tcPr>
            <w:tcW w:w="1710" w:type="dxa"/>
            <w:tcBorders>
              <w:top w:val="nil"/>
              <w:left w:val="nil"/>
              <w:bottom w:val="single" w:color="auto" w:sz="4" w:space="0"/>
              <w:right w:val="single" w:color="auto" w:sz="4" w:space="0"/>
            </w:tcBorders>
            <w:noWrap/>
            <w:vAlign w:val="center"/>
          </w:tcPr>
          <w:p>
            <w:pPr>
              <w:jc w:val="right"/>
              <w:rPr>
                <w:rFonts w:hint="eastAsia" w:ascii="宋体" w:hAnsi="宋体" w:eastAsia="宋体" w:cs="宋体"/>
                <w:kern w:val="0"/>
                <w:sz w:val="24"/>
                <w:szCs w:val="24"/>
              </w:rPr>
            </w:pPr>
            <w:r>
              <w:rPr>
                <w:rFonts w:hint="eastAsia"/>
              </w:rPr>
              <w:t>658.01</w:t>
            </w:r>
          </w:p>
        </w:tc>
        <w:tc>
          <w:tcPr>
            <w:tcW w:w="1356"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rPr>
              <w:t>658.01</w:t>
            </w:r>
          </w:p>
        </w:tc>
        <w:tc>
          <w:tcPr>
            <w:tcW w:w="201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75"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r>
      <w:tr>
        <w:trPr>
          <w:gridBefore w:val="1"/>
          <w:gridAfter w:val="2"/>
          <w:wBefore w:w="15" w:type="dxa"/>
          <w:wAfter w:w="160" w:type="dxa"/>
          <w:trHeight w:val="595" w:hRule="atLeast"/>
        </w:trPr>
        <w:tc>
          <w:tcPr>
            <w:tcW w:w="117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color w:val="000000"/>
                <w:kern w:val="0"/>
                <w:sz w:val="22"/>
                <w:lang w:bidi="ar"/>
              </w:rPr>
            </w:pPr>
            <w:r>
              <w:rPr>
                <w:rFonts w:hint="eastAsia"/>
                <w:color w:val="000000"/>
                <w:sz w:val="22"/>
              </w:rPr>
              <w:t>2120501</w:t>
            </w:r>
          </w:p>
        </w:tc>
        <w:tc>
          <w:tcPr>
            <w:tcW w:w="5355" w:type="dxa"/>
            <w:gridSpan w:val="4"/>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color w:val="000000"/>
                <w:kern w:val="0"/>
                <w:sz w:val="22"/>
                <w:lang w:bidi="ar"/>
              </w:rPr>
            </w:pPr>
            <w:r>
              <w:rPr>
                <w:rFonts w:hint="eastAsia"/>
                <w:color w:val="000000"/>
                <w:sz w:val="22"/>
              </w:rPr>
              <w:t>城乡社区环境卫生</w:t>
            </w:r>
          </w:p>
        </w:tc>
        <w:tc>
          <w:tcPr>
            <w:tcW w:w="1710" w:type="dxa"/>
            <w:tcBorders>
              <w:top w:val="nil"/>
              <w:left w:val="nil"/>
              <w:bottom w:val="single" w:color="auto" w:sz="4" w:space="0"/>
              <w:right w:val="single" w:color="auto" w:sz="4" w:space="0"/>
            </w:tcBorders>
            <w:noWrap/>
            <w:vAlign w:val="center"/>
          </w:tcPr>
          <w:p>
            <w:pPr>
              <w:jc w:val="right"/>
            </w:pPr>
            <w:r>
              <w:rPr>
                <w:rFonts w:hint="eastAsia"/>
              </w:rPr>
              <w:t>844.28</w:t>
            </w:r>
          </w:p>
        </w:tc>
        <w:tc>
          <w:tcPr>
            <w:tcW w:w="1356"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75.28</w:t>
            </w:r>
          </w:p>
        </w:tc>
        <w:tc>
          <w:tcPr>
            <w:tcW w:w="201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769</w:t>
            </w:r>
          </w:p>
        </w:tc>
        <w:tc>
          <w:tcPr>
            <w:tcW w:w="1275"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r>
      <w:tr>
        <w:trPr>
          <w:gridBefore w:val="1"/>
          <w:gridAfter w:val="2"/>
          <w:wBefore w:w="15" w:type="dxa"/>
          <w:wAfter w:w="160" w:type="dxa"/>
          <w:trHeight w:val="595" w:hRule="atLeast"/>
        </w:trPr>
        <w:tc>
          <w:tcPr>
            <w:tcW w:w="117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2</w:t>
            </w:r>
            <w:r>
              <w:rPr>
                <w:color w:val="000000"/>
                <w:sz w:val="22"/>
              </w:rPr>
              <w:t>2101102</w:t>
            </w:r>
          </w:p>
        </w:tc>
        <w:tc>
          <w:tcPr>
            <w:tcW w:w="5355" w:type="dxa"/>
            <w:gridSpan w:val="4"/>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事业单位医疗</w:t>
            </w:r>
          </w:p>
        </w:tc>
        <w:tc>
          <w:tcPr>
            <w:tcW w:w="1710" w:type="dxa"/>
            <w:tcBorders>
              <w:top w:val="nil"/>
              <w:left w:val="nil"/>
              <w:bottom w:val="single" w:color="auto" w:sz="4" w:space="0"/>
              <w:right w:val="single" w:color="auto" w:sz="4" w:space="0"/>
            </w:tcBorders>
            <w:noWrap/>
            <w:vAlign w:val="center"/>
          </w:tcPr>
          <w:p>
            <w:pPr>
              <w:jc w:val="right"/>
              <w:rPr>
                <w:rFonts w:hint="eastAsia" w:ascii="宋体" w:hAnsi="宋体" w:eastAsia="宋体" w:cs="宋体"/>
                <w:kern w:val="0"/>
                <w:sz w:val="24"/>
                <w:szCs w:val="24"/>
              </w:rPr>
            </w:pPr>
            <w:r>
              <w:rPr>
                <w:rFonts w:hint="eastAsia"/>
              </w:rPr>
              <w:t>41.70</w:t>
            </w:r>
          </w:p>
        </w:tc>
        <w:tc>
          <w:tcPr>
            <w:tcW w:w="1356"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41.74</w:t>
            </w:r>
          </w:p>
        </w:tc>
        <w:tc>
          <w:tcPr>
            <w:tcW w:w="201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75"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r>
      <w:tr>
        <w:trPr>
          <w:gridBefore w:val="1"/>
          <w:gridAfter w:val="2"/>
          <w:wBefore w:w="15" w:type="dxa"/>
          <w:wAfter w:w="160" w:type="dxa"/>
          <w:trHeight w:val="595" w:hRule="atLeast"/>
        </w:trPr>
        <w:tc>
          <w:tcPr>
            <w:tcW w:w="117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color w:val="000000"/>
                <w:sz w:val="22"/>
              </w:rPr>
            </w:pPr>
            <w:r>
              <w:rPr>
                <w:color w:val="000000"/>
                <w:sz w:val="22"/>
              </w:rPr>
              <w:t>2290403</w:t>
            </w:r>
          </w:p>
        </w:tc>
        <w:tc>
          <w:tcPr>
            <w:tcW w:w="5355" w:type="dxa"/>
            <w:gridSpan w:val="4"/>
            <w:tcBorders>
              <w:top w:val="nil"/>
              <w:left w:val="nil"/>
              <w:bottom w:val="single" w:color="auto" w:sz="4" w:space="0"/>
              <w:right w:val="single" w:color="auto" w:sz="4" w:space="0"/>
            </w:tcBorders>
            <w:shd w:val="clear" w:color="000000" w:fill="FFFFFF"/>
            <w:noWrap/>
            <w:vAlign w:val="center"/>
          </w:tcPr>
          <w:p>
            <w:pPr>
              <w:widowControl/>
              <w:jc w:val="left"/>
              <w:textAlignment w:val="center"/>
              <w:rPr>
                <w:color w:val="000000"/>
                <w:sz w:val="22"/>
              </w:rPr>
            </w:pPr>
            <w:r>
              <w:rPr>
                <w:rFonts w:hint="eastAsia"/>
                <w:color w:val="000000"/>
                <w:sz w:val="22"/>
              </w:rPr>
              <w:t>其他政府性基金债务收入安排的支出</w:t>
            </w:r>
          </w:p>
        </w:tc>
        <w:tc>
          <w:tcPr>
            <w:tcW w:w="1710" w:type="dxa"/>
            <w:tcBorders>
              <w:top w:val="nil"/>
              <w:left w:val="nil"/>
              <w:bottom w:val="single" w:color="auto" w:sz="4" w:space="0"/>
              <w:right w:val="single" w:color="auto" w:sz="4" w:space="0"/>
            </w:tcBorders>
            <w:noWrap/>
            <w:vAlign w:val="center"/>
          </w:tcPr>
          <w:p>
            <w:pPr>
              <w:jc w:val="right"/>
            </w:pPr>
            <w:r>
              <w:rPr>
                <w:rFonts w:hint="eastAsia"/>
              </w:rPr>
              <w:t>420.4</w:t>
            </w:r>
          </w:p>
        </w:tc>
        <w:tc>
          <w:tcPr>
            <w:tcW w:w="1356"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201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420.40</w:t>
            </w:r>
          </w:p>
        </w:tc>
        <w:tc>
          <w:tcPr>
            <w:tcW w:w="1275"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r>
      <w:tr>
        <w:trPr>
          <w:gridBefore w:val="1"/>
          <w:gridAfter w:val="2"/>
          <w:wBefore w:w="15" w:type="dxa"/>
          <w:wAfter w:w="160" w:type="dxa"/>
          <w:trHeight w:val="595" w:hRule="atLeast"/>
        </w:trPr>
        <w:tc>
          <w:tcPr>
            <w:tcW w:w="117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2120899</w:t>
            </w:r>
          </w:p>
        </w:tc>
        <w:tc>
          <w:tcPr>
            <w:tcW w:w="5355" w:type="dxa"/>
            <w:gridSpan w:val="4"/>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hint="eastAsia" w:ascii="宋体" w:hAnsi="宋体" w:eastAsia="宋体" w:cs="宋体"/>
                <w:kern w:val="0"/>
                <w:sz w:val="24"/>
                <w:szCs w:val="24"/>
              </w:rPr>
            </w:pPr>
            <w:r>
              <w:rPr>
                <w:rFonts w:hint="eastAsia"/>
                <w:color w:val="000000"/>
                <w:sz w:val="22"/>
              </w:rPr>
              <w:t>其他国有土地使用权出让收入安排的支出</w:t>
            </w:r>
          </w:p>
        </w:tc>
        <w:tc>
          <w:tcPr>
            <w:tcW w:w="1710" w:type="dxa"/>
            <w:tcBorders>
              <w:top w:val="nil"/>
              <w:left w:val="nil"/>
              <w:bottom w:val="single" w:color="auto" w:sz="4" w:space="0"/>
              <w:right w:val="single" w:color="auto" w:sz="4" w:space="0"/>
            </w:tcBorders>
            <w:noWrap/>
            <w:vAlign w:val="center"/>
          </w:tcPr>
          <w:p>
            <w:pPr>
              <w:jc w:val="right"/>
              <w:rPr>
                <w:rFonts w:hint="eastAsia" w:ascii="宋体" w:hAnsi="宋体" w:eastAsia="宋体" w:cs="宋体"/>
                <w:kern w:val="0"/>
                <w:sz w:val="24"/>
                <w:szCs w:val="24"/>
              </w:rPr>
            </w:pPr>
            <w:r>
              <w:rPr>
                <w:rFonts w:hint="eastAsia"/>
              </w:rPr>
              <w:t>30.5</w:t>
            </w:r>
          </w:p>
        </w:tc>
        <w:tc>
          <w:tcPr>
            <w:tcW w:w="1356"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201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30.5</w:t>
            </w:r>
          </w:p>
        </w:tc>
        <w:tc>
          <w:tcPr>
            <w:tcW w:w="1275"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c>
          <w:tcPr>
            <w:tcW w:w="1236"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4"/>
                <w:szCs w:val="24"/>
              </w:rPr>
            </w:pPr>
          </w:p>
        </w:tc>
      </w:tr>
      <w:tr>
        <w:trPr>
          <w:gridBefore w:val="1"/>
          <w:gridAfter w:val="1"/>
          <w:wBefore w:w="15" w:type="dxa"/>
          <w:wAfter w:w="151" w:type="dxa"/>
          <w:trHeight w:val="828" w:hRule="atLeast"/>
        </w:trPr>
        <w:tc>
          <w:tcPr>
            <w:tcW w:w="15355" w:type="dxa"/>
            <w:gridSpan w:val="19"/>
            <w:tcBorders>
              <w:top w:val="nil"/>
              <w:left w:val="nil"/>
              <w:bottom w:val="nil"/>
              <w:right w:val="nil"/>
            </w:tcBorders>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trPr>
          <w:trHeight w:val="360" w:hRule="atLeast"/>
        </w:trPr>
        <w:tc>
          <w:tcPr>
            <w:tcW w:w="15521" w:type="dxa"/>
            <w:gridSpan w:val="21"/>
            <w:tcBorders>
              <w:top w:val="nil"/>
              <w:left w:val="nil"/>
              <w:bottom w:val="nil"/>
              <w:right w:val="nil"/>
            </w:tcBorders>
            <w:noWrap/>
            <w:vAlign w:val="center"/>
          </w:tcPr>
          <w:p>
            <w:pPr>
              <w:widowControl/>
              <w:rPr>
                <w:rFonts w:hint="eastAsia" w:ascii="华文中宋" w:hAnsi="华文中宋" w:eastAsia="华文中宋" w:cs="宋体"/>
                <w:color w:val="000000"/>
                <w:kern w:val="0"/>
                <w:sz w:val="32"/>
                <w:szCs w:val="32"/>
              </w:rPr>
            </w:pPr>
            <w:bookmarkStart w:id="0" w:name="RANGE!A1:F16"/>
          </w:p>
          <w:p>
            <w:pPr>
              <w:widowControl/>
              <w:jc w:val="center"/>
              <w:rPr>
                <w:rFonts w:hint="eastAsia"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rPr>
          <w:trHeight w:val="199" w:hRule="atLeast"/>
        </w:trPr>
        <w:tc>
          <w:tcPr>
            <w:tcW w:w="3591" w:type="dxa"/>
            <w:gridSpan w:val="4"/>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905" w:type="dxa"/>
            <w:gridSpan w:val="4"/>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4"/>
            <w:tcBorders>
              <w:top w:val="nil"/>
              <w:left w:val="nil"/>
              <w:bottom w:val="nil"/>
              <w:right w:val="nil"/>
            </w:tcBorders>
            <w:shd w:val="clear" w:color="000000" w:fill="FFFFFF"/>
            <w:noWrap/>
            <w:vAlign w:val="center"/>
          </w:tcPr>
          <w:p>
            <w:pPr>
              <w:widowControl/>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1" w:type="dxa"/>
            <w:gridSpan w:val="4"/>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bidi="ar"/>
              </w:rPr>
              <w:t>道县城市环境卫生和园林绿化服务中心</w:t>
            </w:r>
          </w:p>
        </w:tc>
        <w:tc>
          <w:tcPr>
            <w:tcW w:w="436"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905" w:type="dxa"/>
            <w:gridSpan w:val="4"/>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2"/>
            <w:tcBorders>
              <w:top w:val="nil"/>
              <w:left w:val="nil"/>
              <w:bottom w:val="nil"/>
              <w:right w:val="nil"/>
            </w:tcBorders>
            <w:shd w:val="clear" w:color="000000" w:fill="FFFFFF"/>
            <w:noWrap/>
            <w:vAlign w:val="center"/>
          </w:tcPr>
          <w:p>
            <w:pPr>
              <w:widowControl/>
              <w:jc w:val="righ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4"/>
            <w:tcBorders>
              <w:top w:val="nil"/>
              <w:left w:val="nil"/>
              <w:bottom w:val="nil"/>
              <w:right w:val="nil"/>
            </w:tcBorders>
            <w:shd w:val="clear" w:color="000000" w:fill="FFFFFF"/>
            <w:noWrap/>
            <w:vAlign w:val="center"/>
          </w:tcPr>
          <w:p>
            <w:pPr>
              <w:widowControl/>
              <w:jc w:val="righ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2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收入</w:t>
            </w:r>
          </w:p>
        </w:tc>
        <w:tc>
          <w:tcPr>
            <w:tcW w:w="10267" w:type="dxa"/>
            <w:gridSpan w:val="15"/>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行次</w:t>
            </w:r>
          </w:p>
        </w:tc>
        <w:tc>
          <w:tcPr>
            <w:tcW w:w="1227"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3274" w:type="dxa"/>
            <w:gridSpan w:val="3"/>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行次</w:t>
            </w:r>
          </w:p>
        </w:tc>
        <w:tc>
          <w:tcPr>
            <w:tcW w:w="157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合计</w:t>
            </w:r>
          </w:p>
        </w:tc>
        <w:tc>
          <w:tcPr>
            <w:tcW w:w="1392"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gridSpan w:val="4"/>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3274" w:type="dxa"/>
            <w:gridSpan w:val="3"/>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392"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392"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572" w:type="dxa"/>
            <w:gridSpan w:val="4"/>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1622.39　</w:t>
            </w:r>
          </w:p>
        </w:tc>
        <w:tc>
          <w:tcPr>
            <w:tcW w:w="3274"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15</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450.89　</w:t>
            </w:r>
          </w:p>
        </w:tc>
        <w:tc>
          <w:tcPr>
            <w:tcW w:w="3274" w:type="dxa"/>
            <w:gridSpan w:val="3"/>
            <w:tcBorders>
              <w:top w:val="nil"/>
              <w:left w:val="nil"/>
              <w:bottom w:val="single" w:color="auto" w:sz="4" w:space="0"/>
              <w:right w:val="single" w:color="auto" w:sz="4" w:space="0"/>
            </w:tcBorders>
            <w:noWrap/>
            <w:vAlign w:val="center"/>
          </w:tcPr>
          <w:p>
            <w:pPr>
              <w:widowControl/>
              <w:jc w:val="left"/>
              <w:textAlignment w:val="center"/>
              <w:rPr>
                <w:rFonts w:hint="eastAsia" w:ascii="宋体" w:hAnsi="宋体" w:eastAsia="宋体" w:cs="宋体"/>
                <w:kern w:val="0"/>
                <w:sz w:val="22"/>
              </w:rPr>
            </w:pPr>
            <w:r>
              <w:rPr>
                <w:rFonts w:hint="eastAsia" w:ascii="宋体" w:hAnsi="宋体" w:eastAsia="宋体" w:cs="宋体"/>
                <w:color w:val="000000"/>
                <w:kern w:val="0"/>
                <w:sz w:val="22"/>
                <w:lang w:bidi="ar"/>
              </w:rPr>
              <w:t>八、社会保障和就业支出</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16</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78.35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78.35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3</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left"/>
              <w:textAlignment w:val="center"/>
              <w:rPr>
                <w:rFonts w:hint="eastAsia" w:ascii="宋体" w:hAnsi="宋体" w:eastAsia="宋体" w:cs="宋体"/>
                <w:kern w:val="0"/>
                <w:sz w:val="22"/>
              </w:rPr>
            </w:pPr>
            <w:r>
              <w:rPr>
                <w:rFonts w:hint="eastAsia" w:ascii="宋体" w:hAnsi="宋体" w:eastAsia="宋体" w:cs="宋体"/>
                <w:color w:val="000000"/>
                <w:kern w:val="0"/>
                <w:sz w:val="22"/>
                <w:lang w:bidi="ar"/>
              </w:rPr>
              <w:t>九、卫生健康支出</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17</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41.74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41.74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5</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left"/>
              <w:textAlignment w:val="center"/>
              <w:rPr>
                <w:rFonts w:hint="eastAsia" w:ascii="宋体" w:hAnsi="宋体" w:eastAsia="宋体" w:cs="宋体"/>
                <w:kern w:val="0"/>
                <w:sz w:val="22"/>
              </w:rPr>
            </w:pPr>
            <w:r>
              <w:rPr>
                <w:rFonts w:hint="eastAsia" w:ascii="宋体" w:hAnsi="宋体" w:eastAsia="宋体" w:cs="宋体"/>
                <w:color w:val="000000"/>
                <w:kern w:val="0"/>
                <w:sz w:val="22"/>
                <w:lang w:bidi="ar"/>
              </w:rPr>
              <w:t>十一、城乡社区支出</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19</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1532.79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1502.3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30.49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6</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left"/>
              <w:textAlignment w:val="center"/>
              <w:rPr>
                <w:rFonts w:hint="eastAsia" w:ascii="宋体" w:hAnsi="宋体" w:eastAsia="宋体" w:cs="宋体"/>
                <w:kern w:val="0"/>
                <w:sz w:val="22"/>
              </w:rPr>
            </w:pPr>
            <w:r>
              <w:rPr>
                <w:rFonts w:hint="eastAsia" w:ascii="宋体" w:hAnsi="宋体" w:eastAsia="宋体" w:cs="宋体"/>
                <w:color w:val="000000"/>
                <w:kern w:val="0"/>
                <w:sz w:val="22"/>
                <w:lang w:bidi="ar"/>
              </w:rPr>
              <w:t>十二、农林水支出</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20</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7</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二十三、其他支出</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21</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420.40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420.4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8</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22</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9</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2073.28　</w:t>
            </w:r>
          </w:p>
        </w:tc>
        <w:tc>
          <w:tcPr>
            <w:tcW w:w="3274" w:type="dxa"/>
            <w:gridSpan w:val="3"/>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23</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2073.28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1622.39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450.89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10</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24</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11</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25</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12</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26</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13</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3274"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27</w:t>
            </w:r>
          </w:p>
        </w:tc>
        <w:tc>
          <w:tcPr>
            <w:tcW w:w="1571"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1" w:type="dxa"/>
            <w:gridSpan w:val="4"/>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14</w:t>
            </w:r>
          </w:p>
        </w:tc>
        <w:tc>
          <w:tcPr>
            <w:tcW w:w="1227" w:type="dxa"/>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2073.28　</w:t>
            </w:r>
          </w:p>
        </w:tc>
        <w:tc>
          <w:tcPr>
            <w:tcW w:w="3274"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28</w:t>
            </w:r>
          </w:p>
        </w:tc>
        <w:tc>
          <w:tcPr>
            <w:tcW w:w="1571"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2073.28　</w:t>
            </w:r>
          </w:p>
        </w:tc>
        <w:tc>
          <w:tcPr>
            <w:tcW w:w="1392"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hint="eastAsia" w:ascii="宋体" w:hAnsi="宋体" w:eastAsia="宋体" w:cs="宋体"/>
                <w:kern w:val="0"/>
                <w:sz w:val="22"/>
              </w:rPr>
            </w:pPr>
            <w:r>
              <w:rPr>
                <w:rFonts w:hint="eastAsia" w:ascii="宋体" w:hAnsi="宋体" w:eastAsia="宋体" w:cs="宋体"/>
                <w:kern w:val="0"/>
                <w:sz w:val="22"/>
              </w:rPr>
              <w:t>1622.39　</w:t>
            </w:r>
          </w:p>
        </w:tc>
        <w:tc>
          <w:tcPr>
            <w:tcW w:w="1392" w:type="dxa"/>
            <w:gridSpan w:val="2"/>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b/>
                <w:bCs/>
                <w:kern w:val="0"/>
                <w:sz w:val="22"/>
              </w:rPr>
            </w:pPr>
            <w:r>
              <w:rPr>
                <w:rFonts w:hint="eastAsia" w:ascii="宋体" w:hAnsi="宋体" w:eastAsia="宋体" w:cs="宋体"/>
                <w:kern w:val="0"/>
                <w:sz w:val="22"/>
              </w:rPr>
              <w:t>450.89　</w:t>
            </w:r>
          </w:p>
        </w:tc>
        <w:tc>
          <w:tcPr>
            <w:tcW w:w="1572" w:type="dxa"/>
            <w:gridSpan w:val="4"/>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21"/>
            <w:tcBorders>
              <w:top w:val="nil"/>
              <w:left w:val="nil"/>
              <w:bottom w:val="nil"/>
              <w:right w:val="nil"/>
            </w:tcBorders>
            <w:vAlign w:val="center"/>
          </w:tcPr>
          <w:p>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0"/>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lang w:bidi="ar"/>
        </w:rPr>
        <w:t>道县城市环境卫生和园林绿化服务中心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4"/>
        <w:tblW w:w="14219" w:type="dxa"/>
        <w:jc w:val="center"/>
        <w:tblLayout w:type="autofit"/>
        <w:tblCellMar>
          <w:top w:w="0" w:type="dxa"/>
          <w:left w:w="108" w:type="dxa"/>
          <w:bottom w:w="0" w:type="dxa"/>
          <w:right w:w="108" w:type="dxa"/>
        </w:tblCellMar>
      </w:tblPr>
      <w:tblGrid>
        <w:gridCol w:w="1200"/>
        <w:gridCol w:w="4755"/>
        <w:gridCol w:w="2505"/>
        <w:gridCol w:w="3000"/>
        <w:gridCol w:w="2759"/>
      </w:tblGrid>
      <w:tr>
        <w:tblPrEx>
          <w:tblCellMar>
            <w:top w:w="0" w:type="dxa"/>
            <w:left w:w="108" w:type="dxa"/>
            <w:bottom w:w="0" w:type="dxa"/>
            <w:right w:w="108" w:type="dxa"/>
          </w:tblCellMar>
        </w:tblPrEx>
        <w:trPr>
          <w:trHeight w:val="405" w:hRule="atLeast"/>
          <w:jc w:val="center"/>
        </w:trPr>
        <w:tc>
          <w:tcPr>
            <w:tcW w:w="5955" w:type="dxa"/>
            <w:gridSpan w:val="2"/>
            <w:tcBorders>
              <w:top w:val="single" w:color="auto" w:sz="8"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264" w:type="dxa"/>
            <w:gridSpan w:val="3"/>
            <w:tcBorders>
              <w:top w:val="single" w:color="auto" w:sz="8" w:space="0"/>
              <w:left w:val="nil"/>
              <w:bottom w:val="single" w:color="auto" w:sz="4" w:space="0"/>
              <w:right w:val="single" w:color="000000"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755"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505"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000"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759" w:type="dxa"/>
            <w:vMerge w:val="restart"/>
            <w:tcBorders>
              <w:top w:val="nil"/>
              <w:left w:val="single" w:color="auto" w:sz="4" w:space="0"/>
              <w:bottom w:val="single" w:color="000000" w:sz="4" w:space="0"/>
              <w:right w:val="single" w:color="auto"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7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50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59"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7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50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59"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955"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505"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0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759"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955"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505"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1622.39</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853.39</w:t>
            </w:r>
          </w:p>
        </w:tc>
        <w:tc>
          <w:tcPr>
            <w:tcW w:w="2759" w:type="dxa"/>
            <w:tcBorders>
              <w:top w:val="nil"/>
              <w:left w:val="nil"/>
              <w:bottom w:val="single" w:color="auto" w:sz="4" w:space="0"/>
              <w:right w:val="single" w:color="auto" w:sz="8"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769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2080505</w:t>
            </w:r>
          </w:p>
        </w:tc>
        <w:tc>
          <w:tcPr>
            <w:tcW w:w="4755" w:type="dxa"/>
            <w:tcBorders>
              <w:top w:val="nil"/>
              <w:left w:val="nil"/>
              <w:bottom w:val="single" w:color="auto" w:sz="8"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机关事业单位基本养老保险缴费支出</w:t>
            </w:r>
          </w:p>
        </w:tc>
        <w:tc>
          <w:tcPr>
            <w:tcW w:w="2505"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76.77</w:t>
            </w: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76.77</w:t>
            </w:r>
            <w:r>
              <w:rPr>
                <w:rFonts w:ascii="Times New Roman" w:hAnsi="Times New Roman" w:eastAsia="仿宋_GB2312" w:cs="Times New Roman"/>
                <w:kern w:val="0"/>
                <w:szCs w:val="21"/>
              </w:rPr>
              <w:t>　</w:t>
            </w:r>
          </w:p>
        </w:tc>
        <w:tc>
          <w:tcPr>
            <w:tcW w:w="2759" w:type="dxa"/>
            <w:tcBorders>
              <w:top w:val="nil"/>
              <w:left w:val="nil"/>
              <w:bottom w:val="single" w:color="auto" w:sz="8" w:space="0"/>
              <w:right w:val="single" w:color="auto" w:sz="8" w:space="0"/>
            </w:tcBorders>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lang w:bidi="ar"/>
              </w:rPr>
              <w:t>2080801</w:t>
            </w:r>
          </w:p>
        </w:tc>
        <w:tc>
          <w:tcPr>
            <w:tcW w:w="4755" w:type="dxa"/>
            <w:tcBorders>
              <w:top w:val="nil"/>
              <w:left w:val="nil"/>
              <w:bottom w:val="single" w:color="auto" w:sz="8"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死亡抚恤</w:t>
            </w:r>
          </w:p>
        </w:tc>
        <w:tc>
          <w:tcPr>
            <w:tcW w:w="2505"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1.58</w:t>
            </w:r>
          </w:p>
        </w:tc>
        <w:tc>
          <w:tcPr>
            <w:tcW w:w="3000"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1.58</w:t>
            </w:r>
          </w:p>
        </w:tc>
        <w:tc>
          <w:tcPr>
            <w:tcW w:w="2759" w:type="dxa"/>
            <w:tcBorders>
              <w:top w:val="nil"/>
              <w:left w:val="nil"/>
              <w:bottom w:val="single" w:color="auto" w:sz="8"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2120501</w:t>
            </w:r>
          </w:p>
        </w:tc>
        <w:tc>
          <w:tcPr>
            <w:tcW w:w="4755" w:type="dxa"/>
            <w:tcBorders>
              <w:top w:val="nil"/>
              <w:left w:val="nil"/>
              <w:bottom w:val="single" w:color="auto" w:sz="8"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城乡社区环境卫生</w:t>
            </w:r>
          </w:p>
        </w:tc>
        <w:tc>
          <w:tcPr>
            <w:tcW w:w="2505"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844.28</w:t>
            </w:r>
          </w:p>
        </w:tc>
        <w:tc>
          <w:tcPr>
            <w:tcW w:w="3000"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75.28</w:t>
            </w:r>
          </w:p>
        </w:tc>
        <w:tc>
          <w:tcPr>
            <w:tcW w:w="2759" w:type="dxa"/>
            <w:tcBorders>
              <w:top w:val="nil"/>
              <w:left w:val="nil"/>
              <w:bottom w:val="single" w:color="auto" w:sz="8" w:space="0"/>
              <w:right w:val="single" w:color="auto" w:sz="8"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769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left"/>
              <w:textAlignment w:val="center"/>
              <w:rPr>
                <w:rFonts w:hint="eastAsia" w:ascii="宋体" w:hAnsi="宋体" w:eastAsia="宋体" w:cs="宋体"/>
                <w:color w:val="000000"/>
                <w:kern w:val="0"/>
                <w:sz w:val="22"/>
                <w:lang w:bidi="ar"/>
              </w:rPr>
            </w:pPr>
            <w:r>
              <w:rPr>
                <w:rFonts w:ascii="宋体" w:hAnsi="宋体" w:eastAsia="宋体" w:cs="宋体"/>
                <w:color w:val="000000"/>
                <w:kern w:val="0"/>
                <w:sz w:val="22"/>
                <w:lang w:bidi="ar"/>
              </w:rPr>
              <w:t>2101102</w:t>
            </w:r>
          </w:p>
        </w:tc>
        <w:tc>
          <w:tcPr>
            <w:tcW w:w="4755" w:type="dxa"/>
            <w:tcBorders>
              <w:top w:val="nil"/>
              <w:left w:val="nil"/>
              <w:bottom w:val="single" w:color="auto" w:sz="8" w:space="0"/>
              <w:right w:val="single" w:color="auto" w:sz="4" w:space="0"/>
            </w:tcBorders>
            <w:vAlign w:val="center"/>
          </w:tcPr>
          <w:p>
            <w:pPr>
              <w:widowControl/>
              <w:jc w:val="left"/>
              <w:textAlignment w:val="center"/>
              <w:rPr>
                <w:rFonts w:hint="eastAsia" w:ascii="宋体" w:hAnsi="宋体" w:eastAsia="宋体" w:cs="宋体"/>
                <w:color w:val="000000"/>
                <w:kern w:val="0"/>
                <w:sz w:val="22"/>
                <w:lang w:bidi="ar"/>
              </w:rPr>
            </w:pPr>
            <w:r>
              <w:rPr>
                <w:rFonts w:hint="eastAsia" w:ascii="宋体" w:hAnsi="宋体" w:eastAsia="宋体" w:cs="宋体"/>
                <w:color w:val="000000"/>
                <w:kern w:val="0"/>
                <w:sz w:val="22"/>
                <w:lang w:bidi="ar"/>
              </w:rPr>
              <w:t>事业单位医疗</w:t>
            </w:r>
          </w:p>
        </w:tc>
        <w:tc>
          <w:tcPr>
            <w:tcW w:w="2505"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41.74</w:t>
            </w:r>
          </w:p>
        </w:tc>
        <w:tc>
          <w:tcPr>
            <w:tcW w:w="3000"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41.74</w:t>
            </w:r>
          </w:p>
        </w:tc>
        <w:tc>
          <w:tcPr>
            <w:tcW w:w="2759" w:type="dxa"/>
            <w:tcBorders>
              <w:top w:val="nil"/>
              <w:left w:val="nil"/>
              <w:bottom w:val="single" w:color="auto" w:sz="8"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ascii="宋体" w:hAnsi="宋体" w:eastAsia="宋体" w:cs="宋体"/>
                <w:color w:val="000000"/>
                <w:kern w:val="0"/>
                <w:sz w:val="22"/>
                <w:lang w:bidi="ar"/>
              </w:rPr>
              <w:t>21</w:t>
            </w:r>
            <w:r>
              <w:rPr>
                <w:rFonts w:hint="eastAsia" w:ascii="宋体" w:hAnsi="宋体" w:eastAsia="宋体" w:cs="宋体"/>
                <w:color w:val="000000"/>
                <w:kern w:val="0"/>
                <w:sz w:val="22"/>
                <w:lang w:bidi="ar"/>
              </w:rPr>
              <w:t>2</w:t>
            </w:r>
            <w:r>
              <w:rPr>
                <w:rFonts w:ascii="宋体" w:hAnsi="宋体" w:eastAsia="宋体" w:cs="宋体"/>
                <w:color w:val="000000"/>
                <w:kern w:val="0"/>
                <w:sz w:val="22"/>
                <w:lang w:bidi="ar"/>
              </w:rPr>
              <w:t>0101</w:t>
            </w:r>
          </w:p>
        </w:tc>
        <w:tc>
          <w:tcPr>
            <w:tcW w:w="4755" w:type="dxa"/>
            <w:tcBorders>
              <w:top w:val="nil"/>
              <w:left w:val="nil"/>
              <w:bottom w:val="single" w:color="auto" w:sz="8" w:space="0"/>
              <w:right w:val="single" w:color="auto" w:sz="4" w:space="0"/>
            </w:tcBorders>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行政运行</w:t>
            </w:r>
          </w:p>
        </w:tc>
        <w:tc>
          <w:tcPr>
            <w:tcW w:w="2505"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658.01</w:t>
            </w:r>
          </w:p>
        </w:tc>
        <w:tc>
          <w:tcPr>
            <w:tcW w:w="3000" w:type="dxa"/>
            <w:tcBorders>
              <w:top w:val="nil"/>
              <w:left w:val="nil"/>
              <w:bottom w:val="single" w:color="auto" w:sz="8" w:space="0"/>
              <w:right w:val="single" w:color="auto" w:sz="4" w:space="0"/>
            </w:tcBorders>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658.01</w:t>
            </w:r>
          </w:p>
        </w:tc>
        <w:tc>
          <w:tcPr>
            <w:tcW w:w="2759" w:type="dxa"/>
            <w:tcBorders>
              <w:top w:val="nil"/>
              <w:left w:val="nil"/>
              <w:bottom w:val="single" w:color="auto" w:sz="8" w:space="0"/>
              <w:right w:val="single" w:color="auto" w:sz="8" w:space="0"/>
            </w:tcBorders>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4"/>
        <w:tblW w:w="0" w:type="auto"/>
        <w:tblInd w:w="0" w:type="dxa"/>
        <w:tblLayout w:type="fixed"/>
        <w:tblCellMar>
          <w:top w:w="0" w:type="dxa"/>
          <w:left w:w="108" w:type="dxa"/>
          <w:bottom w:w="0" w:type="dxa"/>
          <w:right w:w="108" w:type="dxa"/>
        </w:tblCellMar>
      </w:tblPr>
      <w:tblGrid>
        <w:gridCol w:w="1087"/>
        <w:gridCol w:w="156"/>
        <w:gridCol w:w="80"/>
        <w:gridCol w:w="1322"/>
        <w:gridCol w:w="80"/>
        <w:gridCol w:w="1692"/>
        <w:gridCol w:w="347"/>
        <w:gridCol w:w="80"/>
        <w:gridCol w:w="507"/>
        <w:gridCol w:w="1121"/>
        <w:gridCol w:w="411"/>
        <w:gridCol w:w="80"/>
        <w:gridCol w:w="1926"/>
        <w:gridCol w:w="113"/>
        <w:gridCol w:w="80"/>
        <w:gridCol w:w="645"/>
        <w:gridCol w:w="870"/>
        <w:gridCol w:w="524"/>
        <w:gridCol w:w="80"/>
        <w:gridCol w:w="2039"/>
        <w:gridCol w:w="80"/>
        <w:gridCol w:w="1387"/>
        <w:gridCol w:w="653"/>
        <w:gridCol w:w="80"/>
        <w:gridCol w:w="174"/>
      </w:tblGrid>
      <w:tr>
        <w:tblPrEx>
          <w:tblCellMar>
            <w:top w:w="0" w:type="dxa"/>
            <w:left w:w="108" w:type="dxa"/>
            <w:bottom w:w="0" w:type="dxa"/>
            <w:right w:w="108" w:type="dxa"/>
          </w:tblCellMar>
        </w:tblPrEx>
        <w:trPr>
          <w:trHeight w:val="113" w:hRule="atLeast"/>
        </w:trPr>
        <w:tc>
          <w:tcPr>
            <w:tcW w:w="15614" w:type="dxa"/>
            <w:gridSpan w:val="25"/>
            <w:tcBorders>
              <w:top w:val="nil"/>
              <w:left w:val="nil"/>
              <w:bottom w:val="nil"/>
              <w:right w:val="nil"/>
            </w:tcBorders>
            <w:noWrap/>
            <w:vAlign w:val="center"/>
          </w:tcPr>
          <w:p>
            <w:pPr>
              <w:widowControl/>
              <w:jc w:val="center"/>
              <w:rPr>
                <w:rFonts w:hint="eastAsia" w:ascii="华文中宋" w:hAnsi="华文中宋" w:eastAsia="华文中宋" w:cs="宋体"/>
                <w:color w:val="000000"/>
                <w:kern w:val="0"/>
                <w:szCs w:val="32"/>
              </w:rPr>
            </w:pPr>
            <w:bookmarkStart w:id="1" w:name="RANGE!A1:I34"/>
            <w:r>
              <w:rPr>
                <w:rFonts w:hint="eastAsia" w:ascii="华文中宋" w:hAnsi="华文中宋" w:eastAsia="华文中宋" w:cs="宋体"/>
                <w:color w:val="000000"/>
                <w:kern w:val="0"/>
                <w:szCs w:val="32"/>
              </w:rPr>
              <w:t>一般公共预算财政拨款基本支出决算明细表</w:t>
            </w:r>
            <w:bookmarkEnd w:id="1"/>
          </w:p>
          <w:p>
            <w:pPr>
              <w:widowControl/>
              <w:wordWrap w:val="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bidi="ar"/>
              </w:rPr>
              <w:t>道县城市环境卫生和园林绿化服务中心</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hint="eastAsia"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087"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30" w:type="dxa"/>
            <w:gridSpan w:val="5"/>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34" w:type="dxa"/>
            <w:gridSpan w:val="3"/>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决算数</w:t>
            </w:r>
          </w:p>
        </w:tc>
        <w:tc>
          <w:tcPr>
            <w:tcW w:w="1121"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17" w:type="dxa"/>
            <w:gridSpan w:val="3"/>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38" w:type="dxa"/>
            <w:gridSpan w:val="3"/>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决算数</w:t>
            </w:r>
          </w:p>
        </w:tc>
        <w:tc>
          <w:tcPr>
            <w:tcW w:w="870"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110" w:type="dxa"/>
            <w:gridSpan w:val="5"/>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07" w:type="dxa"/>
            <w:gridSpan w:val="3"/>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763.92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75.18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307</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30101</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355.53</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30201</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7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30701</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30102</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120.08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30202</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30702</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30103</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115.32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30203</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30106</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30204</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31001</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30107</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51.48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30205</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0.61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31002</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30108</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76.77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30206</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1.00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31003</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30109</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30207</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0.50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31005</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30110</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41.74</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30208</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31006</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30111</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30209</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31007</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30112</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30211</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2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31008</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30113</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30212</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31009</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30114</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30213</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31010</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30199</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30214</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31011</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14.28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30215</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0.30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31012</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30301</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30216</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0.37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31013</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30302</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30217</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0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31019</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30303</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30218</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18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31021</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30304</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1.58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30224</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31022</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30305</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30225</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3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31099</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30306</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30226</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5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30307</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30227</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39907</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30308</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30228</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18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39908</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30309</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30229</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10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39909</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4"/>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资本性赠与</w:t>
                  </w:r>
                </w:p>
              </w:tc>
            </w:tr>
          </w:tbl>
          <w:p>
            <w:pPr>
              <w:widowControl/>
              <w:jc w:val="left"/>
              <w:rPr>
                <w:rFonts w:hint="eastAsia" w:ascii="宋体" w:hAnsi="宋体" w:eastAsia="宋体" w:cs="宋体"/>
                <w:color w:val="000000"/>
                <w:kern w:val="0"/>
                <w:szCs w:val="20"/>
              </w:rPr>
            </w:pPr>
          </w:p>
          <w:tbl>
            <w:tblPr>
              <w:tblStyle w:val="14"/>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资本性赠与</w:t>
                  </w:r>
                </w:p>
              </w:tc>
            </w:tr>
          </w:tbl>
          <w:p>
            <w:pPr>
              <w:widowControl/>
              <w:jc w:val="left"/>
              <w:rPr>
                <w:rFonts w:hint="eastAsia" w:ascii="宋体" w:hAnsi="宋体" w:eastAsia="宋体" w:cs="宋体"/>
                <w:color w:val="000000"/>
                <w:kern w:val="0"/>
                <w:szCs w:val="20"/>
              </w:rPr>
            </w:pP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30310</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30231</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39910</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30311</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30239</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2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39999</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30399</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12.70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30240</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87" w:type="dxa"/>
            <w:tcBorders>
              <w:top w:val="nil"/>
              <w:left w:val="single" w:color="auto" w:sz="4" w:space="0"/>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333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c>
          <w:tcPr>
            <w:tcW w:w="1121"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30299</w:t>
            </w:r>
          </w:p>
        </w:tc>
        <w:tc>
          <w:tcPr>
            <w:tcW w:w="2417" w:type="dxa"/>
            <w:gridSpan w:val="3"/>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38"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7.40　</w:t>
            </w:r>
          </w:p>
        </w:tc>
        <w:tc>
          <w:tcPr>
            <w:tcW w:w="870" w:type="dxa"/>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c>
          <w:tcPr>
            <w:tcW w:w="4110" w:type="dxa"/>
            <w:gridSpan w:val="5"/>
            <w:tcBorders>
              <w:top w:val="nil"/>
              <w:left w:val="nil"/>
              <w:bottom w:val="single" w:color="auto" w:sz="4" w:space="0"/>
              <w:right w:val="single" w:color="auto" w:sz="4" w:space="0"/>
            </w:tcBorders>
            <w:noWrap/>
            <w:vAlign w:val="center"/>
          </w:tcPr>
          <w:p>
            <w:pPr>
              <w:widowControl/>
              <w:jc w:val="left"/>
              <w:rPr>
                <w:rFonts w:hint="eastAsia" w:ascii="宋体" w:hAnsi="宋体" w:eastAsia="宋体" w:cs="宋体"/>
                <w:color w:val="000000"/>
                <w:kern w:val="0"/>
                <w:szCs w:val="18"/>
              </w:rPr>
            </w:pPr>
            <w:r>
              <w:rPr>
                <w:rFonts w:hint="eastAsia" w:ascii="宋体" w:hAnsi="宋体" w:eastAsia="宋体" w:cs="宋体"/>
                <w:color w:val="000000"/>
                <w:kern w:val="0"/>
                <w:szCs w:val="18"/>
              </w:rPr>
              <w:t>　</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417" w:type="dxa"/>
            <w:gridSpan w:val="6"/>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934"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20"/>
              </w:rPr>
            </w:pPr>
            <w:r>
              <w:rPr>
                <w:rFonts w:hint="eastAsia" w:ascii="宋体" w:hAnsi="宋体" w:eastAsia="宋体" w:cs="宋体"/>
                <w:color w:val="000000"/>
                <w:kern w:val="0"/>
                <w:szCs w:val="20"/>
              </w:rPr>
              <w:t>778.2</w:t>
            </w:r>
          </w:p>
        </w:tc>
        <w:tc>
          <w:tcPr>
            <w:tcW w:w="9356" w:type="dxa"/>
            <w:gridSpan w:val="13"/>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07" w:type="dxa"/>
            <w:gridSpan w:val="3"/>
            <w:tcBorders>
              <w:top w:val="nil"/>
              <w:left w:val="nil"/>
              <w:bottom w:val="single" w:color="auto" w:sz="4" w:space="0"/>
              <w:right w:val="single" w:color="auto" w:sz="4" w:space="0"/>
            </w:tcBorders>
            <w:noWrap/>
            <w:vAlign w:val="center"/>
          </w:tcPr>
          <w:p>
            <w:pPr>
              <w:widowControl/>
              <w:jc w:val="right"/>
              <w:rPr>
                <w:rFonts w:hint="eastAsia" w:ascii="宋体" w:hAnsi="宋体" w:eastAsia="宋体" w:cs="宋体"/>
                <w:color w:val="000000"/>
                <w:kern w:val="0"/>
                <w:szCs w:val="18"/>
              </w:rPr>
            </w:pPr>
            <w:r>
              <w:rPr>
                <w:rFonts w:hint="eastAsia" w:ascii="宋体" w:hAnsi="宋体" w:eastAsia="宋体" w:cs="宋体"/>
                <w:color w:val="000000"/>
                <w:kern w:val="0"/>
                <w:szCs w:val="18"/>
              </w:rPr>
              <w:t>75.18</w:t>
            </w:r>
          </w:p>
        </w:tc>
      </w:tr>
      <w:tr>
        <w:tblPrEx>
          <w:tblCellMar>
            <w:top w:w="0" w:type="dxa"/>
            <w:left w:w="108" w:type="dxa"/>
            <w:bottom w:w="0" w:type="dxa"/>
            <w:right w:w="108" w:type="dxa"/>
          </w:tblCellMar>
        </w:tblPrEx>
        <w:trPr>
          <w:trHeight w:val="284" w:hRule="exact"/>
        </w:trPr>
        <w:tc>
          <w:tcPr>
            <w:tcW w:w="15614" w:type="dxa"/>
            <w:gridSpan w:val="25"/>
            <w:tcBorders>
              <w:top w:val="nil"/>
              <w:left w:val="nil"/>
              <w:bottom w:val="nil"/>
              <w:right w:val="nil"/>
            </w:tcBorders>
            <w:noWrap/>
            <w:vAlign w:val="center"/>
          </w:tcPr>
          <w:p>
            <w:pPr>
              <w:widowControl/>
              <w:jc w:val="left"/>
              <w:rPr>
                <w:rFonts w:hint="eastAsia"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CellMar>
            <w:top w:w="0" w:type="dxa"/>
            <w:left w:w="108" w:type="dxa"/>
            <w:bottom w:w="0" w:type="dxa"/>
            <w:right w:w="108" w:type="dxa"/>
          </w:tblCellMar>
        </w:tblPrEx>
        <w:trPr>
          <w:gridAfter w:val="2"/>
          <w:wAfter w:w="254" w:type="dxa"/>
          <w:trHeight w:val="690" w:hRule="atLeast"/>
        </w:trPr>
        <w:tc>
          <w:tcPr>
            <w:tcW w:w="15360" w:type="dxa"/>
            <w:gridSpan w:val="23"/>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color w:val="000000"/>
                <w:kern w:val="0"/>
                <w:sz w:val="32"/>
                <w:szCs w:val="32"/>
                <w:lang w:bidi="ar"/>
              </w:rPr>
            </w:pPr>
          </w:p>
          <w:p>
            <w:pPr>
              <w:widowControl/>
              <w:jc w:val="center"/>
              <w:textAlignment w:val="center"/>
              <w:rPr>
                <w:rFonts w:hint="eastAsia"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政府性基金预算财政拨款收入支出决算表</w:t>
            </w:r>
          </w:p>
        </w:tc>
      </w:tr>
      <w:tr>
        <w:tblPrEx>
          <w:tblCellMar>
            <w:top w:w="0" w:type="dxa"/>
            <w:left w:w="108" w:type="dxa"/>
            <w:bottom w:w="0" w:type="dxa"/>
            <w:right w:w="108" w:type="dxa"/>
          </w:tblCellMar>
        </w:tblPrEx>
        <w:trPr>
          <w:gridAfter w:val="1"/>
          <w:wAfter w:w="174" w:type="dxa"/>
          <w:trHeight w:val="345" w:hRule="atLeast"/>
        </w:trPr>
        <w:tc>
          <w:tcPr>
            <w:tcW w:w="1087"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236" w:type="dxa"/>
            <w:gridSpan w:val="2"/>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4"/>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4"/>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20" w:type="dxa"/>
            <w:gridSpan w:val="3"/>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公开07表</w:t>
            </w:r>
          </w:p>
        </w:tc>
      </w:tr>
      <w:tr>
        <w:tblPrEx>
          <w:tblCellMar>
            <w:top w:w="0" w:type="dxa"/>
            <w:left w:w="108" w:type="dxa"/>
            <w:bottom w:w="0" w:type="dxa"/>
            <w:right w:w="108" w:type="dxa"/>
          </w:tblCellMar>
        </w:tblPrEx>
        <w:trPr>
          <w:gridAfter w:val="1"/>
          <w:wAfter w:w="174" w:type="dxa"/>
          <w:trHeight w:val="690" w:hRule="atLeast"/>
        </w:trPr>
        <w:tc>
          <w:tcPr>
            <w:tcW w:w="1087" w:type="dxa"/>
            <w:tcBorders>
              <w:top w:val="nil"/>
              <w:left w:val="nil"/>
              <w:bottom w:val="nil"/>
              <w:right w:val="nil"/>
            </w:tcBorders>
            <w:shd w:val="clear" w:color="auto" w:fill="FFFFFF"/>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236" w:type="dxa"/>
            <w:gridSpan w:val="2"/>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道县城市环境卫生和园林绿化服务中心</w:t>
            </w: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4"/>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4"/>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2120" w:type="dxa"/>
            <w:gridSpan w:val="3"/>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0" w:type="dxa"/>
            <w:left w:w="108" w:type="dxa"/>
            <w:bottom w:w="0" w:type="dxa"/>
            <w:right w:w="108" w:type="dxa"/>
          </w:tblCellMar>
        </w:tblPrEx>
        <w:trPr>
          <w:gridAfter w:val="2"/>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项 </w:t>
            </w:r>
            <w:r>
              <w:rPr>
                <w:rStyle w:val="21"/>
                <w:rFonts w:hint="default"/>
                <w:lang w:bidi="ar"/>
              </w:rPr>
              <w:t xml:space="preserve">   </w:t>
            </w:r>
            <w:r>
              <w:rPr>
                <w:rStyle w:val="22"/>
                <w:rFonts w:hint="default"/>
                <w:lang w:bidi="ar"/>
              </w:rPr>
              <w:t>目</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年初结转和结余</w:t>
            </w:r>
          </w:p>
        </w:tc>
        <w:tc>
          <w:tcPr>
            <w:tcW w:w="2119" w:type="dxa"/>
            <w:gridSpan w:val="4"/>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本年收入</w:t>
            </w:r>
          </w:p>
        </w:tc>
        <w:tc>
          <w:tcPr>
            <w:tcW w:w="6357" w:type="dxa"/>
            <w:gridSpan w:val="9"/>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本年支出</w:t>
            </w:r>
          </w:p>
        </w:tc>
        <w:tc>
          <w:tcPr>
            <w:tcW w:w="2120"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年末结转和结余</w:t>
            </w:r>
          </w:p>
        </w:tc>
      </w:tr>
      <w:tr>
        <w:tblPrEx>
          <w:tblCellMar>
            <w:top w:w="0" w:type="dxa"/>
            <w:left w:w="108" w:type="dxa"/>
            <w:bottom w:w="0" w:type="dxa"/>
            <w:right w:w="108" w:type="dxa"/>
          </w:tblCellMar>
        </w:tblPrEx>
        <w:trPr>
          <w:gridAfter w:val="2"/>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科目名称</w:t>
            </w: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小计</w:t>
            </w:r>
          </w:p>
        </w:tc>
        <w:tc>
          <w:tcPr>
            <w:tcW w:w="2119" w:type="dxa"/>
            <w:gridSpan w:val="4"/>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基本支出  </w:t>
            </w: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项目支出</w:t>
            </w:r>
          </w:p>
        </w:tc>
        <w:tc>
          <w:tcPr>
            <w:tcW w:w="2120"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2"/>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2"/>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4"/>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2"/>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栏次</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2119"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2119"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2120"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r>
      <w:tr>
        <w:tblPrEx>
          <w:tblCellMar>
            <w:top w:w="0" w:type="dxa"/>
            <w:left w:w="108" w:type="dxa"/>
            <w:bottom w:w="0" w:type="dxa"/>
            <w:right w:w="108" w:type="dxa"/>
          </w:tblCellMar>
        </w:tblPrEx>
        <w:trPr>
          <w:gridAfter w:val="2"/>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合计</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119" w:type="dxa"/>
            <w:gridSpan w:val="4"/>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450.89</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450.89</w:t>
            </w:r>
          </w:p>
        </w:tc>
        <w:tc>
          <w:tcPr>
            <w:tcW w:w="2119" w:type="dxa"/>
            <w:gridSpan w:val="4"/>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450.89</w:t>
            </w:r>
          </w:p>
        </w:tc>
        <w:tc>
          <w:tcPr>
            <w:tcW w:w="2120" w:type="dxa"/>
            <w:gridSpan w:val="3"/>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2"/>
                <w:lang w:bidi="ar"/>
              </w:rPr>
              <w:t>2120899</w:t>
            </w: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2"/>
                <w:lang w:bidi="ar"/>
              </w:rPr>
              <w:t>其他国有土地使用权出让收入安排的支出</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4"/>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30.49</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30.49</w:t>
            </w:r>
          </w:p>
        </w:tc>
        <w:tc>
          <w:tcPr>
            <w:tcW w:w="2119" w:type="dxa"/>
            <w:gridSpan w:val="4"/>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30.49</w:t>
            </w:r>
          </w:p>
        </w:tc>
        <w:tc>
          <w:tcPr>
            <w:tcW w:w="2120" w:type="dxa"/>
            <w:gridSpan w:val="3"/>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2"/>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sz w:val="24"/>
                <w:szCs w:val="24"/>
              </w:rPr>
            </w:pPr>
            <w:r>
              <w:rPr>
                <w:rFonts w:ascii="宋体" w:hAnsi="宋体" w:eastAsia="宋体" w:cs="宋体"/>
                <w:color w:val="000000"/>
                <w:kern w:val="0"/>
                <w:sz w:val="22"/>
                <w:lang w:bidi="ar"/>
              </w:rPr>
              <w:t>2290403</w:t>
            </w: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2"/>
                <w:lang w:bidi="ar"/>
              </w:rPr>
              <w:t>其他政府性基金债务收入安排的支出</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2119" w:type="dxa"/>
            <w:gridSpan w:val="4"/>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420.40</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420.40</w:t>
            </w:r>
          </w:p>
        </w:tc>
        <w:tc>
          <w:tcPr>
            <w:tcW w:w="2119" w:type="dxa"/>
            <w:gridSpan w:val="4"/>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r>
              <w:rPr>
                <w:rFonts w:hint="eastAsia" w:ascii="宋体" w:hAnsi="宋体" w:eastAsia="宋体" w:cs="宋体"/>
                <w:color w:val="000000"/>
                <w:sz w:val="24"/>
                <w:szCs w:val="24"/>
              </w:rPr>
              <w:t>420.40</w:t>
            </w:r>
          </w:p>
        </w:tc>
        <w:tc>
          <w:tcPr>
            <w:tcW w:w="2120" w:type="dxa"/>
            <w:gridSpan w:val="3"/>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4"/>
                <w:szCs w:val="24"/>
              </w:rPr>
            </w:pPr>
          </w:p>
        </w:tc>
      </w:tr>
      <w:tr>
        <w:tblPrEx>
          <w:tblCellMar>
            <w:top w:w="0" w:type="dxa"/>
            <w:left w:w="108" w:type="dxa"/>
            <w:bottom w:w="0" w:type="dxa"/>
            <w:right w:w="108" w:type="dxa"/>
          </w:tblCellMar>
        </w:tblPrEx>
        <w:trPr>
          <w:gridAfter w:val="2"/>
          <w:wAfter w:w="254" w:type="dxa"/>
          <w:trHeight w:val="725" w:hRule="atLeast"/>
        </w:trPr>
        <w:tc>
          <w:tcPr>
            <w:tcW w:w="15360" w:type="dxa"/>
            <w:gridSpan w:val="23"/>
            <w:tcBorders>
              <w:top w:val="nil"/>
              <w:left w:val="nil"/>
              <w:bottom w:val="nil"/>
              <w:right w:val="nil"/>
            </w:tcBorders>
            <w:vAlign w:val="center"/>
          </w:tcPr>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注：本表反映部门本年度政府性基金预算财政拨款收入、支出及结转和结余情况。</w:t>
            </w:r>
          </w:p>
          <w:p>
            <w:pPr>
              <w:widowControl/>
              <w:jc w:val="left"/>
              <w:textAlignment w:val="center"/>
              <w:rPr>
                <w:rFonts w:hint="eastAsia" w:ascii="宋体" w:hAnsi="宋体" w:eastAsia="宋体" w:cs="宋体"/>
                <w:color w:val="000000"/>
                <w:kern w:val="0"/>
                <w:sz w:val="24"/>
                <w:szCs w:val="24"/>
                <w:lang w:bidi="ar"/>
              </w:rPr>
            </w:pPr>
          </w:p>
          <w:p>
            <w:pPr>
              <w:widowControl/>
              <w:jc w:val="left"/>
              <w:textAlignment w:val="center"/>
              <w:rPr>
                <w:rFonts w:hint="eastAsia" w:ascii="宋体" w:hAnsi="宋体" w:eastAsia="宋体" w:cs="宋体"/>
                <w:color w:val="000000"/>
                <w:kern w:val="0"/>
                <w:sz w:val="24"/>
                <w:szCs w:val="24"/>
                <w:lang w:bidi="ar"/>
              </w:rPr>
            </w:pPr>
            <w:r>
              <w:rPr>
                <w:rFonts w:hint="eastAsia" w:ascii="楷体" w:hAnsi="楷体" w:eastAsia="楷体" w:cs="楷体"/>
                <w:b/>
                <w:bCs/>
                <w:kern w:val="0"/>
                <w:sz w:val="24"/>
                <w:szCs w:val="24"/>
                <w:lang w:bidi="ar"/>
              </w:rPr>
              <w:t>说明：我单位没有政府性基金收入，也没有使用政府性基金安排的支出，故本表无数据。（当表格数据为空时，应有此说明）</w:t>
            </w:r>
          </w:p>
        </w:tc>
      </w:tr>
    </w:tbl>
    <w:p>
      <w:pPr>
        <w:widowControl/>
        <w:jc w:val="center"/>
        <w:rPr>
          <w:rFonts w:ascii="Times New Roman" w:hAnsi="Times New Roman" w:eastAsia="方正小标宋_GBK" w:cs="Times New Roman"/>
          <w:color w:val="000000"/>
          <w:kern w:val="0"/>
          <w:sz w:val="36"/>
          <w:szCs w:val="36"/>
        </w:rPr>
      </w:pPr>
    </w:p>
    <w:tbl>
      <w:tblPr>
        <w:tblStyle w:val="14"/>
        <w:tblW w:w="15120" w:type="dxa"/>
        <w:tblInd w:w="93" w:type="dxa"/>
        <w:tblLayout w:type="autofit"/>
        <w:tblCellMar>
          <w:top w:w="0" w:type="dxa"/>
          <w:left w:w="108" w:type="dxa"/>
          <w:bottom w:w="0" w:type="dxa"/>
          <w:right w:w="108" w:type="dxa"/>
        </w:tblCellMar>
      </w:tblPr>
      <w:tblGrid>
        <w:gridCol w:w="1326"/>
        <w:gridCol w:w="701"/>
        <w:gridCol w:w="2292"/>
        <w:gridCol w:w="3315"/>
        <w:gridCol w:w="3315"/>
        <w:gridCol w:w="4171"/>
      </w:tblGrid>
      <w:tr>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widowControl/>
              <w:jc w:val="center"/>
              <w:textAlignment w:val="center"/>
              <w:rPr>
                <w:rFonts w:hint="eastAsia"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国有资本经营预算财政拨款支出决算表</w:t>
            </w:r>
          </w:p>
        </w:tc>
      </w:tr>
      <w:tr>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公开08表</w:t>
            </w:r>
          </w:p>
        </w:tc>
      </w:tr>
      <w:tr>
        <w:trPr>
          <w:trHeight w:val="417" w:hRule="atLeast"/>
        </w:trPr>
        <w:tc>
          <w:tcPr>
            <w:tcW w:w="0" w:type="auto"/>
            <w:tcBorders>
              <w:top w:val="nil"/>
              <w:left w:val="nil"/>
              <w:bottom w:val="nil"/>
              <w:right w:val="nil"/>
            </w:tcBorders>
            <w:shd w:val="clear" w:color="auto" w:fill="FFFFFF"/>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701" w:type="dxa"/>
            <w:tcBorders>
              <w:top w:val="nil"/>
              <w:left w:val="nil"/>
              <w:bottom w:val="nil"/>
              <w:right w:val="nil"/>
            </w:tcBorders>
            <w:shd w:val="clear" w:color="auto" w:fill="FFFFFF"/>
          </w:tcPr>
          <w:p/>
        </w:tc>
        <w:tc>
          <w:tcPr>
            <w:tcW w:w="2292" w:type="dxa"/>
            <w:tcBorders>
              <w:top w:val="nil"/>
              <w:left w:val="nil"/>
              <w:bottom w:val="nil"/>
              <w:right w:val="nil"/>
            </w:tcBorders>
            <w:shd w:val="clear" w:color="auto" w:fill="FFFFFF"/>
          </w:tcPr>
          <w:p>
            <w:r>
              <w:rPr>
                <w:rFonts w:hint="eastAsia" w:ascii="宋体" w:hAnsi="宋体" w:eastAsia="宋体" w:cs="宋体"/>
                <w:color w:val="000000"/>
                <w:kern w:val="0"/>
                <w:sz w:val="20"/>
                <w:szCs w:val="20"/>
                <w:lang w:bidi="ar"/>
              </w:rPr>
              <w:t>道县城市环境卫生和园林绿化服务中心</w:t>
            </w:r>
          </w:p>
        </w:tc>
        <w:tc>
          <w:tcPr>
            <w:tcW w:w="3315"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项 </w:t>
            </w:r>
            <w:r>
              <w:rPr>
                <w:rFonts w:hint="eastAsia" w:ascii="宋体" w:hAnsi="宋体" w:eastAsia="宋体" w:cs="宋体"/>
                <w:color w:val="000000"/>
                <w:kern w:val="0"/>
                <w:sz w:val="22"/>
                <w:lang w:bidi="ar"/>
              </w:rPr>
              <w:t xml:space="preserve">   </w:t>
            </w:r>
            <w:r>
              <w:rPr>
                <w:rStyle w:val="23"/>
                <w:rFonts w:hint="default"/>
                <w:lang w:bidi="ar"/>
              </w:rPr>
              <w:t>目</w:t>
            </w:r>
          </w:p>
        </w:tc>
        <w:tc>
          <w:tcPr>
            <w:tcW w:w="10801"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本年支出</w:t>
            </w:r>
          </w:p>
        </w:tc>
      </w:tr>
      <w:tr>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项目支出</w:t>
            </w: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栏次</w:t>
            </w:r>
          </w:p>
        </w:tc>
        <w:tc>
          <w:tcPr>
            <w:tcW w:w="33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331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1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合计</w:t>
            </w:r>
          </w:p>
        </w:tc>
        <w:tc>
          <w:tcPr>
            <w:tcW w:w="33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vAlign w:val="center"/>
          </w:tcPr>
          <w:p>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注：本表反映部门本年度国有资本经营预算财政拨款支出情况。</w:t>
            </w:r>
          </w:p>
          <w:p>
            <w:pPr>
              <w:widowControl/>
              <w:jc w:val="left"/>
              <w:textAlignment w:val="center"/>
              <w:rPr>
                <w:rFonts w:hint="eastAsia" w:ascii="宋体" w:hAnsi="宋体" w:eastAsia="宋体" w:cs="宋体"/>
                <w:color w:val="000000"/>
                <w:kern w:val="0"/>
                <w:sz w:val="24"/>
                <w:szCs w:val="24"/>
                <w:lang w:bidi="ar"/>
              </w:rPr>
            </w:pPr>
          </w:p>
          <w:p>
            <w:pPr>
              <w:widowControl/>
              <w:jc w:val="left"/>
              <w:textAlignment w:val="center"/>
              <w:rPr>
                <w:rFonts w:hint="eastAsia" w:ascii="宋体" w:hAnsi="宋体" w:eastAsia="宋体" w:cs="宋体"/>
                <w:color w:val="000000"/>
                <w:kern w:val="0"/>
                <w:sz w:val="24"/>
                <w:szCs w:val="24"/>
                <w:lang w:bidi="ar"/>
              </w:rPr>
            </w:pPr>
            <w:r>
              <w:rPr>
                <w:rFonts w:hint="eastAsia" w:ascii="楷体" w:hAnsi="楷体" w:eastAsia="楷体" w:cs="楷体"/>
                <w:b/>
                <w:bCs/>
                <w:kern w:val="0"/>
                <w:sz w:val="24"/>
                <w:szCs w:val="24"/>
                <w:lang w:bidi="ar"/>
              </w:rPr>
              <w:t>说明：我单位没有使用国有资本经营预算安排的支出，故本表无数据。（当表格数据为空时，应有此说明）</w:t>
            </w:r>
          </w:p>
        </w:tc>
      </w:tr>
    </w:tbl>
    <w:p>
      <w:pPr>
        <w:widowControl/>
        <w:jc w:val="center"/>
        <w:rPr>
          <w:rFonts w:ascii="Times New Roman" w:hAnsi="Times New Roman" w:eastAsia="方正小标宋_GBK" w:cs="Times New Roman"/>
          <w:color w:val="000000"/>
          <w:kern w:val="0"/>
          <w:sz w:val="36"/>
          <w:szCs w:val="36"/>
        </w:rPr>
      </w:pPr>
    </w:p>
    <w:tbl>
      <w:tblPr>
        <w:tblStyle w:val="14"/>
        <w:tblW w:w="15140" w:type="dxa"/>
        <w:tblInd w:w="93" w:type="dxa"/>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CellMar>
            <w:top w:w="0" w:type="dxa"/>
            <w:left w:w="108" w:type="dxa"/>
            <w:bottom w:w="0" w:type="dxa"/>
            <w:right w:w="108" w:type="dxa"/>
          </w:tblCellMar>
        </w:tblPrEx>
        <w:trPr>
          <w:trHeight w:val="993" w:hRule="atLeast"/>
        </w:trPr>
        <w:tc>
          <w:tcPr>
            <w:tcW w:w="15140" w:type="dxa"/>
            <w:gridSpan w:val="12"/>
            <w:tcBorders>
              <w:top w:val="nil"/>
              <w:left w:val="nil"/>
              <w:bottom w:val="nil"/>
              <w:right w:val="nil"/>
            </w:tcBorders>
            <w:shd w:val="clear" w:color="auto" w:fill="FFFFFF"/>
            <w:vAlign w:val="center"/>
          </w:tcPr>
          <w:p>
            <w:pPr>
              <w:widowControl/>
              <w:jc w:val="both"/>
              <w:textAlignment w:val="center"/>
              <w:rPr>
                <w:rFonts w:hint="eastAsia" w:ascii="华文中宋" w:hAnsi="华文中宋" w:eastAsia="华文中宋" w:cs="华文中宋"/>
                <w:color w:val="000000"/>
                <w:kern w:val="0"/>
                <w:sz w:val="32"/>
                <w:szCs w:val="32"/>
                <w:lang w:bidi="ar"/>
              </w:rPr>
            </w:pPr>
          </w:p>
          <w:p>
            <w:pPr>
              <w:widowControl/>
              <w:jc w:val="center"/>
              <w:textAlignment w:val="center"/>
              <w:rPr>
                <w:rFonts w:hint="eastAsia"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财政拨款“三公”经费支出决算表</w:t>
            </w:r>
          </w:p>
        </w:tc>
      </w:tr>
      <w:tr>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公开09表</w:t>
            </w:r>
          </w:p>
        </w:tc>
      </w:tr>
      <w:tr>
        <w:trPr>
          <w:trHeight w:val="420" w:hRule="atLeast"/>
        </w:trPr>
        <w:tc>
          <w:tcPr>
            <w:tcW w:w="0" w:type="auto"/>
            <w:tcBorders>
              <w:top w:val="nil"/>
              <w:left w:val="nil"/>
              <w:bottom w:val="nil"/>
              <w:right w:val="nil"/>
            </w:tcBorders>
            <w:shd w:val="clear" w:color="auto" w:fill="FFFFFF"/>
            <w:noWrap/>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道县城市环境卫生和园林绿化服务中心</w:t>
            </w: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决算数</w:t>
            </w:r>
          </w:p>
        </w:tc>
      </w:tr>
      <w:tr>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公务接待费</w:t>
            </w:r>
          </w:p>
        </w:tc>
      </w:tr>
      <w:tr>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公务用车</w:t>
            </w:r>
            <w:r>
              <w:rPr>
                <w:rFonts w:hint="eastAsia" w:ascii="宋体" w:hAnsi="宋体" w:eastAsia="宋体" w:cs="宋体"/>
                <w:color w:val="000000"/>
                <w:kern w:val="0"/>
                <w:sz w:val="22"/>
                <w:lang w:bidi="ar"/>
              </w:rPr>
              <w:br w:type="textWrapping"/>
            </w:r>
            <w:r>
              <w:rPr>
                <w:rFonts w:hint="eastAsia" w:ascii="宋体" w:hAnsi="宋体" w:eastAsia="宋体" w:cs="宋体"/>
                <w:color w:val="000000"/>
                <w:kern w:val="0"/>
                <w:sz w:val="22"/>
                <w:lang w:bidi="ar"/>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公务用车</w:t>
            </w:r>
            <w:r>
              <w:rPr>
                <w:rFonts w:hint="eastAsia" w:ascii="宋体" w:hAnsi="宋体" w:eastAsia="宋体" w:cs="宋体"/>
                <w:color w:val="000000"/>
                <w:kern w:val="0"/>
                <w:sz w:val="22"/>
                <w:lang w:bidi="ar"/>
              </w:rPr>
              <w:br w:type="textWrapping"/>
            </w:r>
            <w:r>
              <w:rPr>
                <w:rFonts w:hint="eastAsia" w:ascii="宋体" w:hAnsi="宋体" w:eastAsia="宋体" w:cs="宋体"/>
                <w:color w:val="000000"/>
                <w:kern w:val="0"/>
                <w:sz w:val="22"/>
                <w:lang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公务用车</w:t>
            </w:r>
            <w:r>
              <w:rPr>
                <w:rFonts w:hint="eastAsia" w:ascii="宋体" w:hAnsi="宋体" w:eastAsia="宋体" w:cs="宋体"/>
                <w:color w:val="000000"/>
                <w:kern w:val="0"/>
                <w:sz w:val="22"/>
                <w:lang w:bidi="ar"/>
              </w:rPr>
              <w:br w:type="textWrapping"/>
            </w:r>
            <w:r>
              <w:rPr>
                <w:rFonts w:hint="eastAsia" w:ascii="宋体" w:hAnsi="宋体" w:eastAsia="宋体" w:cs="宋体"/>
                <w:color w:val="000000"/>
                <w:kern w:val="0"/>
                <w:sz w:val="22"/>
                <w:lang w:bidi="ar"/>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公务用车</w:t>
            </w:r>
            <w:r>
              <w:rPr>
                <w:rFonts w:hint="eastAsia" w:ascii="宋体" w:hAnsi="宋体" w:eastAsia="宋体" w:cs="宋体"/>
                <w:color w:val="000000"/>
                <w:kern w:val="0"/>
                <w:sz w:val="22"/>
                <w:lang w:bidi="ar"/>
              </w:rPr>
              <w:br w:type="textWrapping"/>
            </w:r>
            <w:r>
              <w:rPr>
                <w:rFonts w:hint="eastAsia" w:ascii="宋体" w:hAnsi="宋体" w:eastAsia="宋体" w:cs="宋体"/>
                <w:color w:val="000000"/>
                <w:kern w:val="0"/>
                <w:sz w:val="22"/>
                <w:lang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000000"/>
                <w:sz w:val="22"/>
              </w:rPr>
            </w:pPr>
          </w:p>
        </w:tc>
      </w:tr>
      <w:tr>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2</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3</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4</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5</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6</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7</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8</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9</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10</w:t>
            </w:r>
          </w:p>
        </w:tc>
        <w:tc>
          <w:tcPr>
            <w:tcW w:w="12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11</w:t>
            </w:r>
          </w:p>
        </w:tc>
        <w:tc>
          <w:tcPr>
            <w:tcW w:w="12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12</w:t>
            </w:r>
          </w:p>
        </w:tc>
      </w:tr>
      <w:tr>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vAlign w:val="center"/>
          </w:tcPr>
          <w:p>
            <w:pPr>
              <w:ind w:right="220"/>
              <w:jc w:val="right"/>
              <w:rPr>
                <w:rFonts w:hint="eastAsia" w:ascii="宋体" w:hAnsi="宋体" w:eastAsia="宋体" w:cs="宋体"/>
                <w:color w:val="000000"/>
                <w:sz w:val="22"/>
              </w:rPr>
            </w:pPr>
          </w:p>
        </w:tc>
        <w:tc>
          <w:tcPr>
            <w:tcW w:w="1270" w:type="dxa"/>
            <w:tcBorders>
              <w:top w:val="single" w:color="000000" w:sz="4" w:space="0"/>
              <w:left w:val="single" w:color="000000" w:sz="4" w:space="0"/>
              <w:bottom w:val="single" w:color="000000" w:sz="4" w:space="0"/>
              <w:right w:val="single" w:color="000000" w:sz="4" w:space="0"/>
            </w:tcBorders>
            <w:vAlign w:val="center"/>
          </w:tcPr>
          <w:p>
            <w:pPr>
              <w:jc w:val="right"/>
              <w:rPr>
                <w:rFonts w:hint="eastAsia" w:ascii="宋体" w:hAnsi="宋体" w:eastAsia="宋体" w:cs="宋体"/>
                <w:color w:val="000000"/>
                <w:sz w:val="22"/>
              </w:rPr>
            </w:pPr>
            <w:r>
              <w:rPr>
                <w:rFonts w:hint="eastAsia" w:ascii="宋体" w:hAnsi="宋体" w:eastAsia="宋体" w:cs="宋体"/>
                <w:color w:val="000000"/>
                <w:sz w:val="22"/>
              </w:rPr>
              <w:t>0</w:t>
            </w:r>
          </w:p>
        </w:tc>
      </w:tr>
      <w:tr>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vAlign w:val="center"/>
          </w:tcPr>
          <w:p>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rPr>
          <w:sz w:val="72"/>
          <w:szCs w:val="72"/>
        </w:rPr>
        <w:sectPr>
          <w:pgSz w:w="16838" w:h="11906" w:orient="landscape"/>
          <w:pgMar w:top="720" w:right="720" w:bottom="720" w:left="720" w:header="851" w:footer="992" w:gutter="0"/>
          <w:cols w:space="425" w:num="1"/>
          <w:docGrid w:type="lines" w:linePitch="312" w:charSpace="0"/>
        </w:sectPr>
      </w:pPr>
    </w:p>
    <w:p>
      <w:pPr>
        <w:pStyle w:val="18"/>
        <w:rPr>
          <w:sz w:val="72"/>
          <w:szCs w:val="72"/>
        </w:rPr>
      </w:pPr>
    </w:p>
    <w:p>
      <w:pPr>
        <w:pStyle w:val="18"/>
        <w:rPr>
          <w:sz w:val="72"/>
          <w:szCs w:val="72"/>
        </w:rPr>
      </w:pPr>
    </w:p>
    <w:p>
      <w:pPr>
        <w:pStyle w:val="18"/>
        <w:rPr>
          <w:sz w:val="72"/>
          <w:szCs w:val="72"/>
        </w:rPr>
      </w:pPr>
    </w:p>
    <w:p>
      <w:pPr>
        <w:pStyle w:val="18"/>
        <w:rPr>
          <w:sz w:val="72"/>
          <w:szCs w:val="72"/>
        </w:rPr>
      </w:pPr>
    </w:p>
    <w:p>
      <w:pPr>
        <w:pStyle w:val="18"/>
        <w:jc w:val="center"/>
        <w:rPr>
          <w:sz w:val="72"/>
          <w:szCs w:val="72"/>
        </w:rPr>
      </w:pPr>
    </w:p>
    <w:p>
      <w:pPr>
        <w:pStyle w:val="18"/>
        <w:jc w:val="center"/>
        <w:rPr>
          <w:rFonts w:hint="eastAsia" w:ascii="方正小标宋_GBK" w:hAnsi="方正小标宋_GBK" w:eastAsia="方正小标宋_GBK" w:cs="方正小标宋_GBK"/>
          <w:sz w:val="72"/>
          <w:szCs w:val="72"/>
        </w:rPr>
      </w:pPr>
    </w:p>
    <w:p>
      <w:pPr>
        <w:pStyle w:val="18"/>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第三部分</w:t>
      </w:r>
    </w:p>
    <w:p>
      <w:pPr>
        <w:pStyle w:val="18"/>
        <w:spacing w:line="360" w:lineRule="auto"/>
        <w:jc w:val="center"/>
        <w:rPr>
          <w:rFonts w:hint="eastAsia" w:ascii="仿宋" w:hAnsi="仿宋" w:eastAsia="仿宋" w:cs="仿宋"/>
          <w:b/>
          <w:bCs/>
          <w:sz w:val="52"/>
          <w:szCs w:val="52"/>
        </w:rPr>
      </w:pPr>
      <w:r>
        <w:rPr>
          <w:rFonts w:hint="eastAsia" w:ascii="方正小标宋_GBK" w:hAnsi="方正小标宋_GBK" w:eastAsia="方正小标宋_GBK" w:cs="方正小标宋_GBK"/>
          <w:color w:val="auto"/>
          <w:kern w:val="2"/>
          <w:sz w:val="72"/>
          <w:szCs w:val="72"/>
          <w:lang w:val="en-US" w:eastAsia="zh-CN" w:bidi="ar-SA"/>
        </w:rPr>
        <w:t>2025年</w:t>
      </w:r>
      <w:bookmarkStart w:id="7" w:name="_GoBack"/>
      <w:bookmarkEnd w:id="7"/>
      <w:r>
        <w:rPr>
          <w:rFonts w:hint="eastAsia" w:ascii="方正小标宋_GBK" w:hAnsi="方正小标宋_GBK" w:eastAsia="方正小标宋_GBK" w:cs="方正小标宋_GBK"/>
          <w:color w:val="auto"/>
          <w:kern w:val="2"/>
          <w:sz w:val="72"/>
          <w:szCs w:val="72"/>
          <w:lang w:val="en-US" w:eastAsia="zh-CN" w:bidi="ar-SA"/>
        </w:rPr>
        <w:t>度部门决算情况说明</w:t>
      </w:r>
    </w:p>
    <w:p>
      <w:pPr>
        <w:widowControl/>
        <w:jc w:val="left"/>
        <w:rPr>
          <w:rFonts w:hint="eastAsia" w:asciiTheme="minorEastAsia" w:hAnsiTheme="minorEastAsia"/>
          <w:sz w:val="32"/>
          <w:szCs w:val="32"/>
        </w:rPr>
      </w:pPr>
      <w:r>
        <w:rPr>
          <w:rFonts w:hint="eastAsia" w:ascii="方正小标宋_GBK" w:hAnsi="方正小标宋_GBK" w:eastAsia="方正小标宋_GBK" w:cs="方正小标宋_GBK"/>
          <w:sz w:val="70"/>
          <w:szCs w:val="70"/>
        </w:rPr>
        <w:br w:type="page"/>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一、收入支出决算总体情况说明</w:t>
      </w:r>
    </w:p>
    <w:p>
      <w:pPr>
        <w:pStyle w:val="18"/>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2025年度收、支总计4146.56万元。与上年5163.16万元相比，减少1016.60万元，下降了19.69%，主要是因为减少了项目支出。</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二、收入决算情况说明</w:t>
      </w:r>
    </w:p>
    <w:p>
      <w:pPr>
        <w:pStyle w:val="18"/>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2025年度收入合计2073.28万元，其中：财政拨款收入2073.28万元，占100.00%。</w:t>
      </w:r>
    </w:p>
    <w:p>
      <w:pPr>
        <w:pStyle w:val="18"/>
        <w:spacing w:line="600" w:lineRule="exact"/>
        <w:ind w:firstLine="643" w:firstLineChars="200"/>
        <w:rPr>
          <w:rFonts w:hint="eastAsia" w:ascii="仿宋" w:hAnsi="仿宋" w:eastAsia="仿宋" w:cs="仿宋"/>
          <w:bCs/>
          <w:sz w:val="32"/>
          <w:szCs w:val="32"/>
        </w:rPr>
      </w:pPr>
      <w:r>
        <w:rPr>
          <w:rFonts w:hint="eastAsia" w:ascii="仿宋" w:hAnsi="仿宋" w:eastAsia="仿宋" w:cs="仿宋"/>
          <w:b/>
          <w:sz w:val="32"/>
          <w:szCs w:val="32"/>
        </w:rPr>
        <w:t>三、支出决算情况说明</w:t>
      </w:r>
    </w:p>
    <w:p>
      <w:pPr>
        <w:pStyle w:val="18"/>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2025年度支出合计2073.28万元，其中：基本支出853.38万元，占41.16%；项目支出1219.9万元，占58.84%。</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四、财政拨款收入支出决算总体情况说明</w:t>
      </w:r>
    </w:p>
    <w:p>
      <w:pPr>
        <w:pStyle w:val="18"/>
        <w:spacing w:line="600" w:lineRule="exact"/>
        <w:rPr>
          <w:rFonts w:hint="eastAsia" w:ascii="仿宋" w:hAnsi="仿宋" w:eastAsia="仿宋" w:cs="仿宋"/>
          <w:sz w:val="32"/>
          <w:szCs w:val="32"/>
        </w:rPr>
      </w:pPr>
      <w:r>
        <w:rPr>
          <w:rFonts w:hint="eastAsia" w:ascii="仿宋" w:hAnsi="仿宋" w:eastAsia="仿宋" w:cs="仿宋"/>
          <w:sz w:val="32"/>
          <w:szCs w:val="32"/>
        </w:rPr>
        <w:t xml:space="preserve">    2025年度财政拨款收、支总计4146.56万元，与上年5163.16相比，减少1016.60万元，下降了19.69%，主要是因为减少了项目支出。。</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五、一般公共预算财政拨款支出决算情况说明</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（一）一般公共预算财政拨款支出决算总体情况</w:t>
      </w:r>
    </w:p>
    <w:p>
      <w:pPr>
        <w:pStyle w:val="18"/>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2025年度财政拨款支出1622.39万元，占本年支出合计的78.25%，与上年2246.98万元相比，财政拨款支出减少624.08万元，下降了27.77%，主要是因为项目经费减少。</w:t>
      </w:r>
    </w:p>
    <w:p>
      <w:pPr>
        <w:pStyle w:val="18"/>
        <w:spacing w:line="600" w:lineRule="exact"/>
        <w:ind w:firstLine="482" w:firstLineChars="150"/>
        <w:rPr>
          <w:rFonts w:hint="eastAsia" w:ascii="仿宋" w:hAnsi="仿宋" w:eastAsia="仿宋" w:cs="仿宋"/>
          <w:b/>
          <w:sz w:val="32"/>
          <w:szCs w:val="32"/>
        </w:rPr>
      </w:pPr>
      <w:r>
        <w:rPr>
          <w:rFonts w:hint="eastAsia" w:ascii="仿宋" w:hAnsi="仿宋" w:eastAsia="仿宋" w:cs="仿宋"/>
          <w:b/>
          <w:sz w:val="32"/>
          <w:szCs w:val="32"/>
        </w:rPr>
        <w:t>（二）一般公共预算财政拨款支出决算结构情况</w:t>
      </w:r>
    </w:p>
    <w:p>
      <w:pPr>
        <w:spacing w:before="253" w:line="352" w:lineRule="auto"/>
        <w:ind w:firstLine="661"/>
        <w:rPr>
          <w:rFonts w:hint="eastAsia" w:ascii="仿宋" w:hAnsi="仿宋" w:eastAsia="仿宋" w:cs="仿宋"/>
          <w:sz w:val="32"/>
          <w:szCs w:val="32"/>
        </w:rPr>
      </w:pPr>
      <w:r>
        <w:rPr>
          <w:rFonts w:hint="eastAsia" w:ascii="仿宋" w:hAnsi="仿宋" w:eastAsia="仿宋" w:cs="仿宋"/>
          <w:sz w:val="32"/>
          <w:szCs w:val="32"/>
        </w:rPr>
        <w:t>2025年度财政拨款支出1622.39万元，主要用于以下方面：</w:t>
      </w:r>
      <w:r>
        <w:rPr>
          <w:rFonts w:ascii="仿宋" w:hAnsi="仿宋" w:eastAsia="仿宋" w:cs="仿宋"/>
          <w:spacing w:val="-7"/>
          <w:sz w:val="32"/>
          <w:szCs w:val="32"/>
        </w:rPr>
        <w:t>社会</w:t>
      </w:r>
      <w:r>
        <w:rPr>
          <w:rFonts w:ascii="仿宋" w:hAnsi="仿宋" w:eastAsia="仿宋" w:cs="仿宋"/>
          <w:spacing w:val="-2"/>
          <w:sz w:val="32"/>
          <w:szCs w:val="32"/>
        </w:rPr>
        <w:t>保障和就业支出（类）</w:t>
      </w:r>
      <w:r>
        <w:rPr>
          <w:rFonts w:hint="eastAsia" w:ascii="仿宋" w:hAnsi="仿宋" w:eastAsia="仿宋" w:cs="仿宋"/>
          <w:spacing w:val="-2"/>
          <w:sz w:val="32"/>
          <w:szCs w:val="32"/>
        </w:rPr>
        <w:t>78.35</w:t>
      </w:r>
      <w:r>
        <w:rPr>
          <w:rFonts w:ascii="仿宋" w:hAnsi="仿宋" w:eastAsia="仿宋" w:cs="仿宋"/>
          <w:spacing w:val="-2"/>
          <w:sz w:val="32"/>
          <w:szCs w:val="32"/>
        </w:rPr>
        <w:t>万元，占比</w:t>
      </w:r>
      <w:r>
        <w:rPr>
          <w:rFonts w:hint="eastAsia" w:ascii="仿宋" w:hAnsi="仿宋" w:eastAsia="仿宋" w:cs="仿宋"/>
          <w:spacing w:val="-2"/>
          <w:sz w:val="32"/>
          <w:szCs w:val="32"/>
        </w:rPr>
        <w:t>4.83</w:t>
      </w:r>
      <w:r>
        <w:rPr>
          <w:rFonts w:ascii="仿宋" w:hAnsi="仿宋" w:eastAsia="仿宋" w:cs="仿宋"/>
          <w:spacing w:val="-2"/>
          <w:sz w:val="32"/>
          <w:szCs w:val="32"/>
        </w:rPr>
        <w:t>%；</w:t>
      </w:r>
      <w:r>
        <w:rPr>
          <w:rFonts w:hint="eastAsia" w:ascii="仿宋" w:hAnsi="仿宋" w:eastAsia="仿宋" w:cs="仿宋"/>
          <w:spacing w:val="-2"/>
          <w:sz w:val="32"/>
          <w:szCs w:val="32"/>
        </w:rPr>
        <w:t>卫生健康支出（类）41.74万元，占比2.6%，</w:t>
      </w:r>
      <w:r>
        <w:rPr>
          <w:rFonts w:ascii="仿宋" w:hAnsi="仿宋" w:eastAsia="仿宋" w:cs="仿宋"/>
          <w:spacing w:val="-4"/>
          <w:sz w:val="32"/>
          <w:szCs w:val="32"/>
        </w:rPr>
        <w:t>城乡社区支出（类）</w:t>
      </w:r>
      <w:r>
        <w:rPr>
          <w:rFonts w:hint="eastAsia" w:ascii="仿宋" w:hAnsi="仿宋" w:eastAsia="仿宋" w:cs="仿宋"/>
          <w:spacing w:val="-4"/>
          <w:sz w:val="32"/>
          <w:szCs w:val="32"/>
        </w:rPr>
        <w:t>1502.29</w:t>
      </w:r>
      <w:r>
        <w:rPr>
          <w:rFonts w:ascii="仿宋" w:hAnsi="仿宋" w:eastAsia="仿宋" w:cs="仿宋"/>
          <w:spacing w:val="-4"/>
          <w:sz w:val="32"/>
          <w:szCs w:val="32"/>
        </w:rPr>
        <w:t>万元，</w:t>
      </w:r>
      <w:r>
        <w:rPr>
          <w:rFonts w:ascii="仿宋" w:hAnsi="仿宋" w:eastAsia="仿宋" w:cs="仿宋"/>
          <w:spacing w:val="-67"/>
          <w:sz w:val="32"/>
          <w:szCs w:val="32"/>
        </w:rPr>
        <w:t xml:space="preserve"> </w:t>
      </w:r>
      <w:r>
        <w:rPr>
          <w:rFonts w:ascii="仿宋" w:hAnsi="仿宋" w:eastAsia="仿宋" w:cs="仿宋"/>
          <w:spacing w:val="-4"/>
          <w:sz w:val="32"/>
          <w:szCs w:val="32"/>
        </w:rPr>
        <w:t>占比</w:t>
      </w:r>
      <w:r>
        <w:rPr>
          <w:rFonts w:hint="eastAsia" w:ascii="仿宋" w:hAnsi="仿宋" w:eastAsia="仿宋" w:cs="仿宋"/>
          <w:spacing w:val="-4"/>
          <w:sz w:val="32"/>
          <w:szCs w:val="32"/>
        </w:rPr>
        <w:t>92.60</w:t>
      </w:r>
      <w:r>
        <w:rPr>
          <w:rFonts w:ascii="仿宋" w:hAnsi="仿宋" w:eastAsia="仿宋" w:cs="仿宋"/>
          <w:spacing w:val="-4"/>
          <w:sz w:val="32"/>
          <w:szCs w:val="32"/>
        </w:rPr>
        <w:t>%</w:t>
      </w:r>
      <w:r>
        <w:rPr>
          <w:rFonts w:ascii="仿宋" w:hAnsi="仿宋" w:eastAsia="仿宋" w:cs="仿宋"/>
          <w:spacing w:val="-2"/>
          <w:sz w:val="32"/>
          <w:szCs w:val="32"/>
        </w:rPr>
        <w:t>。</w:t>
      </w:r>
    </w:p>
    <w:p>
      <w:pPr>
        <w:pStyle w:val="18"/>
        <w:spacing w:line="600" w:lineRule="exact"/>
        <w:ind w:firstLine="640" w:firstLineChars="200"/>
        <w:rPr>
          <w:rFonts w:hint="eastAsia" w:ascii="仿宋" w:hAnsi="仿宋" w:eastAsia="仿宋" w:cs="仿宋"/>
          <w:sz w:val="32"/>
          <w:szCs w:val="32"/>
        </w:rPr>
      </w:pPr>
    </w:p>
    <w:p>
      <w:pPr>
        <w:pStyle w:val="18"/>
        <w:spacing w:line="600" w:lineRule="exact"/>
        <w:ind w:firstLine="803" w:firstLineChars="250"/>
        <w:rPr>
          <w:rFonts w:hint="eastAsia" w:ascii="仿宋" w:hAnsi="仿宋" w:eastAsia="仿宋" w:cs="仿宋"/>
          <w:b/>
          <w:sz w:val="32"/>
          <w:szCs w:val="32"/>
        </w:rPr>
      </w:pPr>
      <w:r>
        <w:rPr>
          <w:rFonts w:hint="eastAsia" w:ascii="仿宋" w:hAnsi="仿宋" w:eastAsia="仿宋" w:cs="仿宋"/>
          <w:b/>
          <w:sz w:val="32"/>
          <w:szCs w:val="32"/>
        </w:rPr>
        <w:t>（三）一般公共预算财政拨款支出决算具体情况</w:t>
      </w:r>
    </w:p>
    <w:p>
      <w:pPr>
        <w:pStyle w:val="18"/>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2025年度财政拨款支出年初预算数为1927.77万元，支出决算数为1622.39万元，完成年初预算的84.16%，其中：</w:t>
      </w:r>
    </w:p>
    <w:p>
      <w:pPr>
        <w:spacing w:before="52" w:line="353" w:lineRule="auto"/>
        <w:ind w:left="17" w:right="159" w:firstLine="664"/>
        <w:rPr>
          <w:rFonts w:hint="eastAsia" w:ascii="仿宋" w:hAnsi="仿宋" w:eastAsia="仿宋" w:cs="仿宋"/>
          <w:sz w:val="32"/>
          <w:szCs w:val="32"/>
        </w:rPr>
      </w:pPr>
      <w:bookmarkStart w:id="2" w:name="_Hlk175755471"/>
      <w:r>
        <w:rPr>
          <w:rFonts w:hint="eastAsia" w:ascii="仿宋" w:hAnsi="仿宋" w:eastAsia="仿宋" w:cs="仿宋"/>
          <w:spacing w:val="3"/>
          <w:sz w:val="32"/>
          <w:szCs w:val="32"/>
        </w:rPr>
        <w:t>1、社会保障和就业支出（类）行政事业单位养老支出（款）机</w:t>
      </w:r>
      <w:r>
        <w:rPr>
          <w:rFonts w:hint="eastAsia" w:ascii="仿宋" w:hAnsi="仿宋" w:eastAsia="仿宋" w:cs="仿宋"/>
          <w:spacing w:val="-4"/>
          <w:sz w:val="32"/>
          <w:szCs w:val="32"/>
        </w:rPr>
        <w:t>关事业单位基本养老保险缴费支出（项）。</w:t>
      </w:r>
    </w:p>
    <w:p>
      <w:pPr>
        <w:spacing w:before="56" w:line="355" w:lineRule="auto"/>
        <w:ind w:left="27" w:right="138" w:firstLine="646"/>
        <w:rPr>
          <w:rFonts w:hint="eastAsia" w:ascii="仿宋" w:hAnsi="仿宋" w:eastAsia="仿宋" w:cs="仿宋"/>
          <w:spacing w:val="-13"/>
          <w:sz w:val="32"/>
          <w:szCs w:val="32"/>
        </w:rPr>
      </w:pPr>
      <w:r>
        <w:rPr>
          <w:rFonts w:hint="eastAsia" w:ascii="仿宋" w:hAnsi="仿宋" w:eastAsia="仿宋" w:cs="仿宋"/>
          <w:spacing w:val="1"/>
          <w:sz w:val="32"/>
          <w:szCs w:val="32"/>
        </w:rPr>
        <w:t>年初预算为</w:t>
      </w:r>
      <w:r>
        <w:rPr>
          <w:rFonts w:hint="eastAsia" w:ascii="仿宋" w:hAnsi="仿宋" w:eastAsia="仿宋" w:cs="仿宋"/>
          <w:spacing w:val="-63"/>
          <w:sz w:val="32"/>
          <w:szCs w:val="32"/>
        </w:rPr>
        <w:t xml:space="preserve"> </w:t>
      </w:r>
      <w:r>
        <w:rPr>
          <w:rFonts w:hint="eastAsia" w:ascii="仿宋" w:hAnsi="仿宋" w:eastAsia="仿宋" w:cs="仿宋"/>
          <w:spacing w:val="1"/>
          <w:sz w:val="32"/>
          <w:szCs w:val="32"/>
        </w:rPr>
        <w:t>74.14万元，支出决算为</w:t>
      </w:r>
      <w:r>
        <w:rPr>
          <w:rFonts w:hint="eastAsia" w:ascii="仿宋" w:hAnsi="仿宋" w:eastAsia="仿宋" w:cs="仿宋"/>
          <w:spacing w:val="-63"/>
          <w:sz w:val="32"/>
          <w:szCs w:val="32"/>
        </w:rPr>
        <w:t xml:space="preserve"> </w:t>
      </w:r>
      <w:r>
        <w:rPr>
          <w:rFonts w:hint="eastAsia" w:ascii="仿宋" w:hAnsi="仿宋" w:eastAsia="仿宋" w:cs="仿宋"/>
          <w:spacing w:val="1"/>
          <w:sz w:val="32"/>
          <w:szCs w:val="32"/>
        </w:rPr>
        <w:t>76.77万元，完成年初预算</w:t>
      </w:r>
      <w:r>
        <w:rPr>
          <w:rFonts w:hint="eastAsia" w:ascii="仿宋" w:hAnsi="仿宋" w:eastAsia="仿宋" w:cs="仿宋"/>
          <w:spacing w:val="-13"/>
          <w:sz w:val="32"/>
          <w:szCs w:val="32"/>
        </w:rPr>
        <w:t>的103.55%，</w:t>
      </w:r>
      <w:r>
        <w:rPr>
          <w:rFonts w:hint="eastAsia" w:ascii="仿宋" w:hAnsi="仿宋" w:eastAsia="仿宋" w:cs="仿宋"/>
          <w:sz w:val="32"/>
          <w:szCs w:val="32"/>
        </w:rPr>
        <w:t>决算数大于年初预算数的主要原因是：</w:t>
      </w:r>
      <w:r>
        <w:rPr>
          <w:rFonts w:hint="eastAsia" w:ascii="仿宋" w:hAnsi="仿宋" w:eastAsia="仿宋" w:cs="仿宋"/>
          <w:spacing w:val="-3"/>
          <w:sz w:val="32"/>
          <w:szCs w:val="32"/>
        </w:rPr>
        <w:t>执行中进行预算调整</w:t>
      </w:r>
      <w:bookmarkEnd w:id="2"/>
      <w:r>
        <w:rPr>
          <w:rFonts w:hint="eastAsia" w:ascii="仿宋" w:hAnsi="仿宋" w:eastAsia="仿宋" w:cs="仿宋"/>
          <w:spacing w:val="-13"/>
          <w:sz w:val="32"/>
          <w:szCs w:val="32"/>
        </w:rPr>
        <w:t>。</w:t>
      </w:r>
    </w:p>
    <w:p>
      <w:pPr>
        <w:spacing w:before="52" w:line="353" w:lineRule="auto"/>
        <w:ind w:left="17" w:right="159" w:firstLine="664"/>
        <w:rPr>
          <w:rFonts w:hint="eastAsia" w:ascii="仿宋" w:hAnsi="仿宋" w:eastAsia="仿宋" w:cs="仿宋"/>
          <w:sz w:val="32"/>
          <w:szCs w:val="32"/>
        </w:rPr>
      </w:pPr>
      <w:r>
        <w:rPr>
          <w:rFonts w:hint="eastAsia" w:ascii="仿宋" w:hAnsi="仿宋" w:eastAsia="仿宋" w:cs="仿宋"/>
          <w:spacing w:val="3"/>
          <w:sz w:val="32"/>
          <w:szCs w:val="32"/>
        </w:rPr>
        <w:t>2、社会保障和就业支出（类）抚恤（款）死亡抚恤</w:t>
      </w:r>
      <w:r>
        <w:rPr>
          <w:rFonts w:hint="eastAsia" w:ascii="仿宋" w:hAnsi="仿宋" w:eastAsia="仿宋" w:cs="仿宋"/>
          <w:spacing w:val="-4"/>
          <w:sz w:val="32"/>
          <w:szCs w:val="32"/>
        </w:rPr>
        <w:t>（项）。</w:t>
      </w:r>
    </w:p>
    <w:p>
      <w:pPr>
        <w:pStyle w:val="2"/>
        <w:ind w:firstLine="322"/>
      </w:pPr>
      <w:r>
        <w:rPr>
          <w:rFonts w:hint="eastAsia" w:ascii="仿宋" w:hAnsi="仿宋" w:eastAsia="仿宋" w:cs="仿宋"/>
          <w:spacing w:val="1"/>
          <w:sz w:val="32"/>
          <w:szCs w:val="32"/>
        </w:rPr>
        <w:t>年初预算为</w:t>
      </w:r>
      <w:r>
        <w:rPr>
          <w:rFonts w:hint="eastAsia" w:ascii="仿宋" w:hAnsi="仿宋" w:eastAsia="仿宋" w:cs="仿宋"/>
          <w:spacing w:val="-63"/>
          <w:sz w:val="32"/>
          <w:szCs w:val="32"/>
        </w:rPr>
        <w:t xml:space="preserve"> </w:t>
      </w:r>
      <w:r>
        <w:rPr>
          <w:rFonts w:hint="eastAsia" w:ascii="仿宋" w:hAnsi="仿宋" w:eastAsia="仿宋" w:cs="仿宋"/>
          <w:spacing w:val="1"/>
          <w:sz w:val="32"/>
          <w:szCs w:val="32"/>
        </w:rPr>
        <w:t>0万元，支出决算为</w:t>
      </w:r>
      <w:r>
        <w:rPr>
          <w:rFonts w:hint="eastAsia" w:ascii="仿宋" w:hAnsi="仿宋" w:eastAsia="仿宋" w:cs="仿宋"/>
          <w:spacing w:val="-63"/>
          <w:sz w:val="32"/>
          <w:szCs w:val="32"/>
        </w:rPr>
        <w:t xml:space="preserve"> </w:t>
      </w:r>
      <w:r>
        <w:rPr>
          <w:rFonts w:hint="eastAsia" w:ascii="仿宋" w:hAnsi="仿宋" w:eastAsia="仿宋" w:cs="仿宋"/>
          <w:spacing w:val="1"/>
          <w:sz w:val="32"/>
          <w:szCs w:val="32"/>
        </w:rPr>
        <w:t>1.58万元，</w:t>
      </w:r>
      <w:bookmarkStart w:id="3" w:name="_Hlk206591809"/>
      <w:r>
        <w:rPr>
          <w:rFonts w:hint="eastAsia" w:ascii="仿宋" w:hAnsi="仿宋" w:eastAsia="仿宋" w:cs="仿宋"/>
          <w:spacing w:val="1"/>
          <w:sz w:val="32"/>
          <w:szCs w:val="32"/>
        </w:rPr>
        <w:t>决算数</w:t>
      </w:r>
      <w:r>
        <w:rPr>
          <w:rFonts w:hint="eastAsia" w:ascii="仿宋" w:hAnsi="仿宋" w:eastAsia="仿宋" w:cs="仿宋"/>
          <w:sz w:val="32"/>
          <w:szCs w:val="32"/>
        </w:rPr>
        <w:t>小于年初预算数的主要原因是：</w:t>
      </w:r>
      <w:r>
        <w:rPr>
          <w:rFonts w:hint="eastAsia" w:ascii="仿宋" w:hAnsi="仿宋" w:eastAsia="仿宋" w:cs="仿宋"/>
          <w:spacing w:val="-3"/>
          <w:sz w:val="32"/>
          <w:szCs w:val="32"/>
        </w:rPr>
        <w:t>执行中进行预算调整</w:t>
      </w:r>
    </w:p>
    <w:bookmarkEnd w:id="3"/>
    <w:p>
      <w:pPr>
        <w:spacing w:before="44" w:line="221" w:lineRule="auto"/>
        <w:ind w:firstLine="768" w:firstLineChars="300"/>
        <w:rPr>
          <w:rFonts w:hint="eastAsia" w:ascii="仿宋" w:hAnsi="仿宋" w:eastAsia="仿宋" w:cs="仿宋"/>
          <w:sz w:val="32"/>
          <w:szCs w:val="32"/>
        </w:rPr>
      </w:pPr>
      <w:r>
        <w:rPr>
          <w:rFonts w:hint="eastAsia" w:ascii="仿宋" w:hAnsi="仿宋" w:eastAsia="仿宋" w:cs="仿宋"/>
          <w:spacing w:val="-32"/>
          <w:sz w:val="32"/>
          <w:szCs w:val="32"/>
        </w:rPr>
        <w:t>3、卫生健康支出（类）行政事业单位医疗（款）</w:t>
      </w:r>
      <w:r>
        <w:rPr>
          <w:rFonts w:hint="eastAsia" w:ascii="仿宋" w:hAnsi="仿宋" w:eastAsia="仿宋" w:cs="仿宋"/>
          <w:color w:val="424242"/>
          <w:sz w:val="32"/>
          <w:szCs w:val="32"/>
          <w:shd w:val="clear" w:color="auto" w:fill="FFFFFF"/>
        </w:rPr>
        <w:t>行政单位医疗支出</w:t>
      </w:r>
      <w:r>
        <w:rPr>
          <w:rFonts w:hint="eastAsia" w:ascii="仿宋" w:hAnsi="仿宋" w:eastAsia="仿宋" w:cs="仿宋"/>
          <w:spacing w:val="-32"/>
          <w:sz w:val="32"/>
          <w:szCs w:val="32"/>
        </w:rPr>
        <w:t>（项）。</w:t>
      </w:r>
    </w:p>
    <w:p>
      <w:pPr>
        <w:spacing w:before="258" w:line="355" w:lineRule="auto"/>
        <w:ind w:left="27" w:right="138" w:firstLine="646"/>
        <w:rPr>
          <w:rFonts w:hint="eastAsia" w:ascii="仿宋" w:hAnsi="仿宋" w:eastAsia="仿宋" w:cs="仿宋"/>
          <w:spacing w:val="-13"/>
          <w:sz w:val="32"/>
          <w:szCs w:val="32"/>
        </w:rPr>
      </w:pPr>
      <w:r>
        <w:rPr>
          <w:rFonts w:hint="eastAsia" w:ascii="仿宋" w:hAnsi="仿宋" w:eastAsia="仿宋" w:cs="仿宋"/>
          <w:spacing w:val="-4"/>
          <w:sz w:val="32"/>
          <w:szCs w:val="32"/>
        </w:rPr>
        <w:t>年初预算为40.31万元，支出决算为41.74万元，完成年初预算</w:t>
      </w:r>
      <w:r>
        <w:rPr>
          <w:rFonts w:hint="eastAsia" w:ascii="仿宋" w:hAnsi="仿宋" w:eastAsia="仿宋" w:cs="仿宋"/>
          <w:spacing w:val="-13"/>
          <w:sz w:val="32"/>
          <w:szCs w:val="32"/>
        </w:rPr>
        <w:t>的</w:t>
      </w:r>
      <w:r>
        <w:rPr>
          <w:rFonts w:hint="eastAsia" w:ascii="仿宋" w:hAnsi="仿宋" w:eastAsia="仿宋" w:cs="仿宋"/>
          <w:spacing w:val="-43"/>
          <w:sz w:val="32"/>
          <w:szCs w:val="32"/>
        </w:rPr>
        <w:t xml:space="preserve"> </w:t>
      </w:r>
      <w:r>
        <w:rPr>
          <w:rFonts w:hint="eastAsia" w:ascii="仿宋" w:hAnsi="仿宋" w:eastAsia="仿宋" w:cs="仿宋"/>
          <w:spacing w:val="-13"/>
          <w:sz w:val="32"/>
          <w:szCs w:val="32"/>
        </w:rPr>
        <w:t>103.55%，</w:t>
      </w:r>
      <w:bookmarkStart w:id="4" w:name="_Hlk206592218"/>
      <w:r>
        <w:rPr>
          <w:rFonts w:hint="eastAsia" w:ascii="仿宋" w:hAnsi="仿宋" w:eastAsia="仿宋" w:cs="仿宋"/>
          <w:sz w:val="32"/>
          <w:szCs w:val="32"/>
        </w:rPr>
        <w:t>决算数大于年初预算数的主要原因是：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13"/>
          <w:sz w:val="32"/>
          <w:szCs w:val="32"/>
        </w:rPr>
        <w:t>。</w:t>
      </w:r>
    </w:p>
    <w:bookmarkEnd w:id="4"/>
    <w:p>
      <w:pPr>
        <w:spacing w:before="44" w:line="221" w:lineRule="auto"/>
        <w:jc w:val="center"/>
        <w:rPr>
          <w:rFonts w:hint="eastAsia" w:ascii="仿宋" w:hAnsi="仿宋" w:eastAsia="仿宋" w:cs="仿宋"/>
          <w:spacing w:val="-14"/>
          <w:sz w:val="32"/>
          <w:szCs w:val="32"/>
        </w:rPr>
      </w:pPr>
      <w:r>
        <w:rPr>
          <w:rFonts w:hint="eastAsia" w:ascii="仿宋" w:hAnsi="仿宋" w:eastAsia="仿宋" w:cs="仿宋"/>
          <w:spacing w:val="-13"/>
          <w:sz w:val="32"/>
          <w:szCs w:val="32"/>
        </w:rPr>
        <w:t>4、城乡社区支出（类）城乡社区管理事务</w:t>
      </w:r>
      <w:r>
        <w:rPr>
          <w:rFonts w:hint="eastAsia" w:ascii="仿宋" w:hAnsi="仿宋" w:eastAsia="仿宋" w:cs="仿宋"/>
          <w:spacing w:val="-14"/>
          <w:sz w:val="32"/>
          <w:szCs w:val="32"/>
        </w:rPr>
        <w:t>（款）行政运行（项）。</w:t>
      </w:r>
    </w:p>
    <w:p>
      <w:pPr>
        <w:pStyle w:val="2"/>
        <w:ind w:firstLine="300"/>
      </w:pPr>
    </w:p>
    <w:p>
      <w:pPr>
        <w:pStyle w:val="2"/>
        <w:ind w:firstLine="312"/>
      </w:pPr>
      <w:r>
        <w:rPr>
          <w:rFonts w:hint="eastAsia" w:ascii="仿宋" w:hAnsi="仿宋" w:eastAsia="仿宋" w:cs="仿宋"/>
          <w:spacing w:val="-4"/>
          <w:sz w:val="32"/>
          <w:szCs w:val="32"/>
        </w:rPr>
        <w:t>年初预算为666.99万元，支出决算为658.01万元，</w:t>
      </w:r>
      <w:r>
        <w:rPr>
          <w:rFonts w:hint="eastAsia" w:ascii="仿宋" w:hAnsi="仿宋" w:eastAsia="仿宋" w:cs="仿宋"/>
          <w:spacing w:val="1"/>
          <w:sz w:val="32"/>
          <w:szCs w:val="32"/>
        </w:rPr>
        <w:t>决算数</w:t>
      </w:r>
      <w:r>
        <w:rPr>
          <w:rFonts w:hint="eastAsia" w:ascii="仿宋" w:hAnsi="仿宋" w:eastAsia="仿宋" w:cs="仿宋"/>
          <w:sz w:val="32"/>
          <w:szCs w:val="32"/>
        </w:rPr>
        <w:t>小于年初预算数的主要原因是：</w:t>
      </w:r>
      <w:r>
        <w:rPr>
          <w:rFonts w:hint="eastAsia" w:ascii="仿宋" w:hAnsi="仿宋" w:eastAsia="仿宋" w:cs="仿宋"/>
          <w:spacing w:val="-3"/>
          <w:sz w:val="32"/>
          <w:szCs w:val="32"/>
        </w:rPr>
        <w:t>执行中进行预算调整</w:t>
      </w:r>
    </w:p>
    <w:p>
      <w:pPr>
        <w:spacing w:before="54" w:line="354" w:lineRule="auto"/>
        <w:ind w:right="139" w:firstLine="656" w:firstLineChars="200"/>
        <w:rPr>
          <w:rFonts w:hint="eastAsia" w:ascii="仿宋" w:hAnsi="仿宋" w:eastAsia="仿宋" w:cs="仿宋"/>
          <w:spacing w:val="-9"/>
          <w:sz w:val="32"/>
          <w:szCs w:val="32"/>
        </w:rPr>
      </w:pPr>
      <w:r>
        <w:rPr>
          <w:rFonts w:hint="eastAsia" w:ascii="仿宋" w:hAnsi="仿宋" w:eastAsia="仿宋" w:cs="仿宋"/>
          <w:spacing w:val="4"/>
          <w:sz w:val="32"/>
          <w:szCs w:val="32"/>
        </w:rPr>
        <w:t>5、城乡社区支出（类）城乡社区环境卫生（款）城乡社区环境卫生</w:t>
      </w:r>
      <w:r>
        <w:rPr>
          <w:rFonts w:hint="eastAsia" w:ascii="仿宋" w:hAnsi="仿宋" w:eastAsia="仿宋" w:cs="仿宋"/>
          <w:spacing w:val="-9"/>
          <w:sz w:val="32"/>
          <w:szCs w:val="32"/>
        </w:rPr>
        <w:t>（项）。</w:t>
      </w:r>
    </w:p>
    <w:p>
      <w:pPr>
        <w:spacing w:before="258" w:line="355" w:lineRule="auto"/>
        <w:ind w:left="27" w:right="138" w:firstLine="646"/>
        <w:rPr>
          <w:rFonts w:hint="eastAsia" w:ascii="仿宋" w:hAnsi="仿宋" w:eastAsia="仿宋" w:cs="仿宋"/>
          <w:spacing w:val="-13"/>
          <w:sz w:val="32"/>
          <w:szCs w:val="32"/>
        </w:rPr>
      </w:pPr>
      <w:r>
        <w:rPr>
          <w:rFonts w:hint="eastAsia" w:ascii="仿宋" w:hAnsi="仿宋" w:eastAsia="仿宋" w:cs="仿宋"/>
          <w:spacing w:val="-4"/>
          <w:sz w:val="32"/>
          <w:szCs w:val="32"/>
        </w:rPr>
        <w:t>年初预算为1090.80</w:t>
      </w:r>
      <w:r>
        <w:rPr>
          <w:rFonts w:hint="eastAsia" w:ascii="仿宋" w:hAnsi="仿宋" w:eastAsia="仿宋" w:cs="仿宋"/>
          <w:spacing w:val="-65"/>
          <w:sz w:val="32"/>
          <w:szCs w:val="32"/>
        </w:rPr>
        <w:t xml:space="preserve"> </w:t>
      </w:r>
      <w:r>
        <w:rPr>
          <w:rFonts w:hint="eastAsia" w:ascii="仿宋" w:hAnsi="仿宋" w:eastAsia="仿宋" w:cs="仿宋"/>
          <w:spacing w:val="-4"/>
          <w:sz w:val="32"/>
          <w:szCs w:val="32"/>
        </w:rPr>
        <w:t>万元，支出决算为844.28万元，完成年初预</w:t>
      </w:r>
      <w:r>
        <w:rPr>
          <w:rFonts w:hint="eastAsia" w:ascii="仿宋" w:hAnsi="仿宋" w:eastAsia="仿宋" w:cs="仿宋"/>
          <w:spacing w:val="-5"/>
          <w:sz w:val="32"/>
          <w:szCs w:val="32"/>
        </w:rPr>
        <w:t>算的</w:t>
      </w:r>
      <w:r>
        <w:rPr>
          <w:rFonts w:hint="eastAsia" w:ascii="仿宋" w:hAnsi="仿宋" w:eastAsia="仿宋" w:cs="仿宋"/>
          <w:spacing w:val="-7"/>
          <w:sz w:val="32"/>
          <w:szCs w:val="32"/>
        </w:rPr>
        <w:t>77.40%。</w:t>
      </w:r>
      <w:r>
        <w:rPr>
          <w:rFonts w:hint="eastAsia" w:ascii="仿宋" w:hAnsi="仿宋" w:eastAsia="仿宋" w:cs="仿宋"/>
          <w:sz w:val="32"/>
          <w:szCs w:val="32"/>
        </w:rPr>
        <w:t>决算数小于年初预算数的主要原因是：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13"/>
          <w:sz w:val="32"/>
          <w:szCs w:val="32"/>
        </w:rPr>
        <w:t>。</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六、一般公共预算财政拨款基本支出决算情况说明</w:t>
      </w:r>
    </w:p>
    <w:p>
      <w:pPr>
        <w:pStyle w:val="18"/>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2025年度财政拨款基本支出853.38万元，其中：</w:t>
      </w:r>
    </w:p>
    <w:p>
      <w:pPr>
        <w:pStyle w:val="18"/>
        <w:spacing w:line="60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人员经费</w:t>
      </w:r>
      <w:r>
        <w:rPr>
          <w:rFonts w:hint="eastAsia" w:ascii="仿宋" w:hAnsi="仿宋" w:eastAsia="仿宋" w:cs="仿宋"/>
          <w:sz w:val="32"/>
          <w:szCs w:val="32"/>
        </w:rPr>
        <w:t>778.20万元，占基本支出的91.19%,主要包括基本工资、津贴补贴、奖金、绩效工资、</w:t>
      </w:r>
      <w:r>
        <w:rPr>
          <w:rFonts w:ascii="仿宋" w:hAnsi="仿宋" w:eastAsia="仿宋" w:cs="仿宋"/>
          <w:spacing w:val="-1"/>
          <w:sz w:val="32"/>
          <w:szCs w:val="32"/>
        </w:rPr>
        <w:t>机关事业单位基本养老保险缴费、职工基本医疗保险缴费、</w:t>
      </w:r>
      <w:r>
        <w:rPr>
          <w:rFonts w:hint="eastAsia" w:ascii="仿宋" w:hAnsi="仿宋" w:eastAsia="仿宋" w:cs="仿宋"/>
          <w:spacing w:val="-1"/>
          <w:sz w:val="32"/>
          <w:szCs w:val="32"/>
        </w:rPr>
        <w:t>对个人和家庭的补助</w:t>
      </w:r>
      <w:r>
        <w:rPr>
          <w:rFonts w:hint="eastAsia" w:ascii="仿宋" w:hAnsi="仿宋" w:eastAsia="仿宋" w:cs="仿宋"/>
          <w:sz w:val="32"/>
          <w:szCs w:val="32"/>
        </w:rPr>
        <w:t>。</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bCs/>
          <w:sz w:val="32"/>
          <w:szCs w:val="32"/>
        </w:rPr>
        <w:t>公用经费</w:t>
      </w:r>
      <w:r>
        <w:rPr>
          <w:rFonts w:hint="eastAsia" w:ascii="仿宋" w:hAnsi="仿宋" w:eastAsia="仿宋" w:cs="仿宋"/>
          <w:sz w:val="32"/>
          <w:szCs w:val="32"/>
        </w:rPr>
        <w:t>75.18万元，占基本支出的8.81%，主要包括</w:t>
      </w:r>
      <w:r>
        <w:rPr>
          <w:rFonts w:ascii="仿宋" w:hAnsi="仿宋" w:eastAsia="仿宋" w:cs="仿宋"/>
          <w:spacing w:val="-3"/>
          <w:sz w:val="32"/>
          <w:szCs w:val="32"/>
        </w:rPr>
        <w:t>办公费、印刷费、</w:t>
      </w:r>
      <w:r>
        <w:rPr>
          <w:rFonts w:ascii="仿宋" w:hAnsi="仿宋" w:eastAsia="仿宋" w:cs="仿宋"/>
          <w:sz w:val="32"/>
          <w:szCs w:val="32"/>
        </w:rPr>
        <w:t xml:space="preserve"> </w:t>
      </w:r>
      <w:r>
        <w:rPr>
          <w:rFonts w:ascii="仿宋" w:hAnsi="仿宋" w:eastAsia="仿宋" w:cs="仿宋"/>
          <w:spacing w:val="-8"/>
          <w:sz w:val="32"/>
          <w:szCs w:val="32"/>
        </w:rPr>
        <w:t>水费、电费、邮电费、差旅费、</w:t>
      </w:r>
      <w:r>
        <w:rPr>
          <w:rFonts w:ascii="仿宋" w:hAnsi="仿宋" w:eastAsia="仿宋" w:cs="仿宋"/>
          <w:spacing w:val="-1"/>
          <w:sz w:val="32"/>
          <w:szCs w:val="32"/>
        </w:rPr>
        <w:t>会议费、培训费、公务接待费、</w:t>
      </w:r>
      <w:r>
        <w:rPr>
          <w:rFonts w:hint="eastAsia" w:ascii="仿宋" w:hAnsi="仿宋" w:eastAsia="仿宋" w:cs="仿宋"/>
          <w:spacing w:val="-1"/>
          <w:sz w:val="32"/>
          <w:szCs w:val="32"/>
        </w:rPr>
        <w:t>专用材料费</w:t>
      </w:r>
      <w:r>
        <w:rPr>
          <w:rFonts w:ascii="仿宋" w:hAnsi="仿宋" w:eastAsia="仿宋" w:cs="仿宋"/>
          <w:spacing w:val="-1"/>
          <w:sz w:val="32"/>
          <w:szCs w:val="32"/>
        </w:rPr>
        <w:t>、</w:t>
      </w:r>
      <w:r>
        <w:rPr>
          <w:rFonts w:hint="eastAsia" w:ascii="仿宋" w:hAnsi="仿宋" w:eastAsia="仿宋" w:cs="仿宋"/>
          <w:spacing w:val="-1"/>
          <w:sz w:val="32"/>
          <w:szCs w:val="32"/>
        </w:rPr>
        <w:t>专用燃料费、劳</w:t>
      </w:r>
      <w:r>
        <w:rPr>
          <w:rFonts w:ascii="仿宋" w:hAnsi="仿宋" w:eastAsia="仿宋" w:cs="仿宋"/>
          <w:spacing w:val="-1"/>
          <w:sz w:val="32"/>
          <w:szCs w:val="32"/>
        </w:rPr>
        <w:t>务费、工会经费、福</w:t>
      </w:r>
      <w:r>
        <w:rPr>
          <w:rFonts w:ascii="仿宋" w:hAnsi="仿宋" w:eastAsia="仿宋" w:cs="仿宋"/>
          <w:spacing w:val="-3"/>
          <w:sz w:val="32"/>
          <w:szCs w:val="32"/>
        </w:rPr>
        <w:t>利费、</w:t>
      </w:r>
      <w:r>
        <w:rPr>
          <w:rFonts w:hint="eastAsia" w:ascii="仿宋" w:hAnsi="仿宋" w:eastAsia="仿宋" w:cs="仿宋"/>
          <w:spacing w:val="-3"/>
          <w:sz w:val="32"/>
          <w:szCs w:val="32"/>
        </w:rPr>
        <w:t>其他交通费用、</w:t>
      </w:r>
      <w:r>
        <w:rPr>
          <w:rFonts w:ascii="仿宋" w:hAnsi="仿宋" w:eastAsia="仿宋" w:cs="仿宋"/>
          <w:spacing w:val="-3"/>
          <w:sz w:val="32"/>
          <w:szCs w:val="32"/>
        </w:rPr>
        <w:t>其他商品和服务支出</w:t>
      </w:r>
      <w:r>
        <w:rPr>
          <w:rFonts w:hint="eastAsia" w:ascii="仿宋" w:hAnsi="仿宋" w:eastAsia="仿宋" w:cs="仿宋"/>
          <w:sz w:val="32"/>
          <w:szCs w:val="32"/>
        </w:rPr>
        <w:t>。</w:t>
      </w:r>
    </w:p>
    <w:p>
      <w:pPr>
        <w:pStyle w:val="18"/>
        <w:spacing w:line="600" w:lineRule="exact"/>
        <w:ind w:firstLine="643" w:firstLineChars="200"/>
        <w:rPr>
          <w:rFonts w:ascii="Times New Roman" w:hAnsi="Times New Roman" w:eastAsia="仿宋_GB2312"/>
          <w:b/>
          <w:sz w:val="32"/>
          <w:szCs w:val="32"/>
        </w:rPr>
      </w:pPr>
      <w:r>
        <w:rPr>
          <w:rFonts w:hint="eastAsia" w:ascii="仿宋" w:hAnsi="仿宋" w:eastAsia="仿宋" w:cs="仿宋"/>
          <w:b/>
          <w:sz w:val="32"/>
          <w:szCs w:val="32"/>
        </w:rPr>
        <w:t>七、财政拨款三公经费支出决算情况说明</w:t>
      </w:r>
    </w:p>
    <w:p>
      <w:pPr>
        <w:pStyle w:val="18"/>
        <w:spacing w:line="600" w:lineRule="exact"/>
        <w:ind w:firstLine="643" w:firstLineChars="200"/>
        <w:rPr>
          <w:rFonts w:hint="eastAsia" w:ascii="楷体" w:hAnsi="楷体" w:eastAsia="楷体" w:cs="楷体"/>
          <w:b/>
          <w:sz w:val="32"/>
          <w:szCs w:val="32"/>
        </w:rPr>
      </w:pPr>
      <w:r>
        <w:rPr>
          <w:rFonts w:hint="eastAsia" w:ascii="楷体" w:hAnsi="楷体" w:eastAsia="楷体" w:cs="楷体"/>
          <w:b/>
          <w:sz w:val="32"/>
          <w:szCs w:val="32"/>
        </w:rPr>
        <w:t>（一）“三公”经费财政拨款支出决算总体情况说明</w:t>
      </w:r>
    </w:p>
    <w:p>
      <w:pPr>
        <w:pStyle w:val="18"/>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“三公”经费财政拨款支出预算为0万元，支出决算为2.93万元，完成预算的100%，</w:t>
      </w:r>
      <w:bookmarkStart w:id="5" w:name="_Hlk208415748"/>
      <w:r>
        <w:rPr>
          <w:rFonts w:hint="eastAsia" w:ascii="仿宋" w:hAnsi="仿宋" w:eastAsia="仿宋" w:cs="仿宋"/>
          <w:sz w:val="32"/>
          <w:szCs w:val="32"/>
        </w:rPr>
        <w:t>与上年相比增加了0.95万元，增加47.9%,增加的主要原因是增加建设项目接待支出</w:t>
      </w:r>
      <w:bookmarkEnd w:id="5"/>
      <w:r>
        <w:rPr>
          <w:rFonts w:hint="eastAsia" w:ascii="仿宋" w:hAnsi="仿宋" w:eastAsia="仿宋" w:cs="仿宋"/>
          <w:sz w:val="32"/>
          <w:szCs w:val="32"/>
        </w:rPr>
        <w:t>。其中：</w:t>
      </w:r>
    </w:p>
    <w:p>
      <w:pPr>
        <w:pStyle w:val="18"/>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因公出国（境）费支出预算为0万元，支出决算为0万元，完成预算的100%，与上年持平。</w:t>
      </w:r>
    </w:p>
    <w:p>
      <w:pPr>
        <w:pStyle w:val="18"/>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公务接待费支出预算为0万元，支出决算为0万元，完成预算的100%，</w:t>
      </w:r>
    </w:p>
    <w:p>
      <w:pPr>
        <w:pStyle w:val="18"/>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公务用车购置费支出预算为0万元，支出决算为0万元，完成预算的100%，与上年持平。</w:t>
      </w:r>
    </w:p>
    <w:p>
      <w:pPr>
        <w:pStyle w:val="18"/>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公务用车运行维护费支出预算为0万元，支出决算为0万元，完成预算的100%。与上年持平.</w:t>
      </w:r>
    </w:p>
    <w:p>
      <w:pPr>
        <w:pStyle w:val="18"/>
        <w:spacing w:line="600" w:lineRule="exact"/>
        <w:ind w:firstLine="643" w:firstLineChars="200"/>
        <w:rPr>
          <w:rFonts w:hint="eastAsia" w:ascii="楷体" w:hAnsi="楷体" w:eastAsia="楷体" w:cs="楷体"/>
          <w:b/>
          <w:sz w:val="32"/>
          <w:szCs w:val="32"/>
        </w:rPr>
      </w:pPr>
      <w:r>
        <w:rPr>
          <w:rFonts w:hint="eastAsia" w:ascii="楷体" w:hAnsi="楷体" w:eastAsia="楷体" w:cs="楷体"/>
          <w:b/>
          <w:sz w:val="32"/>
          <w:szCs w:val="32"/>
        </w:rPr>
        <w:t>（二）“三公”经费财政拨款支出决算具体情况说明</w:t>
      </w:r>
    </w:p>
    <w:p>
      <w:pPr>
        <w:pStyle w:val="18"/>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2025年度“三公”经费财政拨款支出决算中，公务接待费支出决算0万元，占100%,因公出国（境）费支出决算0万元，占0%,公务用车购置费及运行维护费支出决算0万元，占0%。其中：</w:t>
      </w:r>
    </w:p>
    <w:p>
      <w:pPr>
        <w:pStyle w:val="18"/>
        <w:spacing w:line="600" w:lineRule="exact"/>
        <w:ind w:firstLine="640" w:firstLineChars="200"/>
        <w:rPr>
          <w:rFonts w:hint="eastAsia" w:ascii="仿宋" w:hAnsi="仿宋" w:eastAsia="仿宋" w:cs="仿宋"/>
          <w:b/>
          <w:bCs/>
          <w:i/>
          <w:color w:val="auto"/>
          <w:sz w:val="32"/>
          <w:szCs w:val="32"/>
        </w:rPr>
      </w:pPr>
      <w:r>
        <w:rPr>
          <w:rFonts w:hint="eastAsia" w:ascii="仿宋" w:hAnsi="仿宋" w:eastAsia="仿宋" w:cs="仿宋"/>
          <w:sz w:val="32"/>
          <w:szCs w:val="32"/>
        </w:rPr>
        <w:t>1、因公出国（境）费支出决算为0万元。</w:t>
      </w:r>
    </w:p>
    <w:p>
      <w:pPr>
        <w:pStyle w:val="18"/>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rPr>
        <w:t>2、公务接待费支出决算为0万元。</w:t>
      </w:r>
    </w:p>
    <w:p>
      <w:pPr>
        <w:spacing w:line="600" w:lineRule="exact"/>
        <w:ind w:firstLine="800" w:firstLineChars="250"/>
        <w:rPr>
          <w:rFonts w:hint="eastAsia" w:ascii="仿宋" w:hAnsi="仿宋" w:eastAsia="仿宋" w:cs="仿宋"/>
          <w:b/>
          <w:bCs/>
          <w:i/>
          <w:kern w:val="0"/>
          <w:sz w:val="32"/>
          <w:szCs w:val="32"/>
        </w:rPr>
      </w:pPr>
      <w:r>
        <w:rPr>
          <w:rFonts w:hint="eastAsia" w:ascii="仿宋" w:hAnsi="仿宋" w:eastAsia="仿宋" w:cs="仿宋"/>
          <w:sz w:val="32"/>
          <w:szCs w:val="32"/>
        </w:rPr>
        <w:t>3、公务用车购置费及运行维护费支出决算为0万元，其中：公务用车购置费0万元，更新公务用车0辆</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t>公务用车运行维护费0万元，截止2025年12月31日，我单位开支财政拨款的公务用车保有量为0辆。</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八、政府性基金预算收入支出决算情况</w:t>
      </w:r>
    </w:p>
    <w:p>
      <w:pPr>
        <w:spacing w:before="257" w:line="357" w:lineRule="auto"/>
        <w:ind w:right="138" w:firstLine="616" w:firstLineChars="200"/>
        <w:rPr>
          <w:rFonts w:hint="eastAsia" w:ascii="仿宋" w:hAnsi="仿宋" w:eastAsia="仿宋" w:cs="仿宋"/>
          <w:sz w:val="32"/>
          <w:szCs w:val="32"/>
        </w:rPr>
      </w:pPr>
      <w:r>
        <w:rPr>
          <w:rFonts w:ascii="仿宋" w:hAnsi="仿宋" w:eastAsia="仿宋" w:cs="仿宋"/>
          <w:spacing w:val="-6"/>
          <w:sz w:val="32"/>
          <w:szCs w:val="32"/>
        </w:rPr>
        <w:t>202</w:t>
      </w:r>
      <w:r>
        <w:rPr>
          <w:rFonts w:hint="eastAsia" w:ascii="仿宋" w:hAnsi="仿宋" w:eastAsia="仿宋" w:cs="仿宋"/>
          <w:spacing w:val="-6"/>
          <w:sz w:val="32"/>
          <w:szCs w:val="32"/>
        </w:rPr>
        <w:t>5</w:t>
      </w:r>
      <w:r>
        <w:rPr>
          <w:rFonts w:ascii="仿宋" w:hAnsi="仿宋" w:eastAsia="仿宋" w:cs="仿宋"/>
          <w:spacing w:val="-6"/>
          <w:sz w:val="32"/>
          <w:szCs w:val="32"/>
        </w:rPr>
        <w:t>年度政府性基金预算财政拨款收入</w:t>
      </w:r>
      <w:r>
        <w:rPr>
          <w:rFonts w:hint="eastAsia" w:ascii="仿宋" w:hAnsi="仿宋" w:eastAsia="仿宋" w:cs="仿宋"/>
          <w:spacing w:val="-6"/>
          <w:sz w:val="32"/>
          <w:szCs w:val="32"/>
        </w:rPr>
        <w:t>450.89</w:t>
      </w:r>
      <w:r>
        <w:rPr>
          <w:rFonts w:ascii="仿宋" w:hAnsi="仿宋" w:eastAsia="仿宋" w:cs="仿宋"/>
          <w:spacing w:val="-6"/>
          <w:sz w:val="32"/>
          <w:szCs w:val="32"/>
        </w:rPr>
        <w:t>万元；年初结转</w:t>
      </w:r>
      <w:r>
        <w:rPr>
          <w:rFonts w:ascii="仿宋" w:hAnsi="仿宋" w:eastAsia="仿宋" w:cs="仿宋"/>
          <w:spacing w:val="-8"/>
          <w:sz w:val="32"/>
          <w:szCs w:val="32"/>
        </w:rPr>
        <w:t>和结余</w:t>
      </w:r>
      <w:r>
        <w:rPr>
          <w:rFonts w:ascii="仿宋" w:hAnsi="仿宋" w:eastAsia="仿宋" w:cs="仿宋"/>
          <w:spacing w:val="-66"/>
          <w:sz w:val="32"/>
          <w:szCs w:val="32"/>
        </w:rPr>
        <w:t xml:space="preserve"> </w:t>
      </w:r>
      <w:r>
        <w:rPr>
          <w:rFonts w:ascii="仿宋" w:hAnsi="仿宋" w:eastAsia="仿宋" w:cs="仿宋"/>
          <w:spacing w:val="-8"/>
          <w:sz w:val="32"/>
          <w:szCs w:val="32"/>
        </w:rPr>
        <w:t>0.00</w:t>
      </w:r>
      <w:r>
        <w:rPr>
          <w:rFonts w:ascii="仿宋" w:hAnsi="仿宋" w:eastAsia="仿宋" w:cs="仿宋"/>
          <w:spacing w:val="-56"/>
          <w:sz w:val="32"/>
          <w:szCs w:val="32"/>
        </w:rPr>
        <w:t xml:space="preserve"> </w:t>
      </w:r>
      <w:r>
        <w:rPr>
          <w:rFonts w:ascii="仿宋" w:hAnsi="仿宋" w:eastAsia="仿宋" w:cs="仿宋"/>
          <w:spacing w:val="-8"/>
          <w:sz w:val="32"/>
          <w:szCs w:val="32"/>
        </w:rPr>
        <w:t>万元；支出</w:t>
      </w:r>
      <w:r>
        <w:rPr>
          <w:rFonts w:ascii="仿宋" w:hAnsi="仿宋" w:eastAsia="仿宋" w:cs="仿宋"/>
          <w:spacing w:val="-63"/>
          <w:sz w:val="32"/>
          <w:szCs w:val="32"/>
        </w:rPr>
        <w:t xml:space="preserve"> </w:t>
      </w:r>
      <w:r>
        <w:rPr>
          <w:rFonts w:hint="eastAsia" w:ascii="仿宋" w:hAnsi="仿宋" w:eastAsia="仿宋" w:cs="仿宋"/>
          <w:spacing w:val="-6"/>
          <w:sz w:val="32"/>
          <w:szCs w:val="32"/>
        </w:rPr>
        <w:t>450.89</w:t>
      </w:r>
      <w:r>
        <w:rPr>
          <w:rFonts w:ascii="仿宋" w:hAnsi="仿宋" w:eastAsia="仿宋" w:cs="仿宋"/>
          <w:spacing w:val="-8"/>
          <w:sz w:val="32"/>
          <w:szCs w:val="32"/>
        </w:rPr>
        <w:t>万元，其中:基本支出</w:t>
      </w:r>
      <w:r>
        <w:rPr>
          <w:rFonts w:ascii="仿宋" w:hAnsi="仿宋" w:eastAsia="仿宋" w:cs="仿宋"/>
          <w:spacing w:val="-66"/>
          <w:sz w:val="32"/>
          <w:szCs w:val="32"/>
        </w:rPr>
        <w:t xml:space="preserve"> </w:t>
      </w:r>
      <w:r>
        <w:rPr>
          <w:rFonts w:ascii="仿宋" w:hAnsi="仿宋" w:eastAsia="仿宋" w:cs="仿宋"/>
          <w:spacing w:val="-8"/>
          <w:sz w:val="32"/>
          <w:szCs w:val="32"/>
        </w:rPr>
        <w:t>0.00</w:t>
      </w:r>
      <w:r>
        <w:rPr>
          <w:rFonts w:ascii="仿宋" w:hAnsi="仿宋" w:eastAsia="仿宋" w:cs="仿宋"/>
          <w:spacing w:val="-57"/>
          <w:sz w:val="32"/>
          <w:szCs w:val="32"/>
        </w:rPr>
        <w:t xml:space="preserve"> </w:t>
      </w:r>
      <w:r>
        <w:rPr>
          <w:rFonts w:ascii="仿宋" w:hAnsi="仿宋" w:eastAsia="仿宋" w:cs="仿宋"/>
          <w:spacing w:val="-8"/>
          <w:sz w:val="32"/>
          <w:szCs w:val="32"/>
        </w:rPr>
        <w:t>万</w:t>
      </w:r>
      <w:r>
        <w:rPr>
          <w:rFonts w:ascii="仿宋" w:hAnsi="仿宋" w:eastAsia="仿宋" w:cs="仿宋"/>
          <w:spacing w:val="-9"/>
          <w:sz w:val="32"/>
          <w:szCs w:val="32"/>
        </w:rPr>
        <w:t>元，项</w:t>
      </w:r>
      <w:r>
        <w:rPr>
          <w:rFonts w:ascii="仿宋" w:hAnsi="仿宋" w:eastAsia="仿宋" w:cs="仿宋"/>
          <w:spacing w:val="-5"/>
          <w:sz w:val="32"/>
          <w:szCs w:val="32"/>
        </w:rPr>
        <w:t>目支出</w:t>
      </w:r>
      <w:r>
        <w:rPr>
          <w:rFonts w:ascii="仿宋" w:hAnsi="仿宋" w:eastAsia="仿宋" w:cs="仿宋"/>
          <w:spacing w:val="-56"/>
          <w:sz w:val="32"/>
          <w:szCs w:val="32"/>
        </w:rPr>
        <w:t xml:space="preserve"> </w:t>
      </w:r>
      <w:r>
        <w:rPr>
          <w:rFonts w:hint="eastAsia" w:ascii="仿宋" w:hAnsi="仿宋" w:eastAsia="仿宋" w:cs="仿宋"/>
          <w:spacing w:val="-6"/>
          <w:sz w:val="32"/>
          <w:szCs w:val="32"/>
        </w:rPr>
        <w:t>450.89</w:t>
      </w:r>
      <w:r>
        <w:rPr>
          <w:rFonts w:ascii="仿宋" w:hAnsi="仿宋" w:eastAsia="仿宋" w:cs="仿宋"/>
          <w:spacing w:val="-5"/>
          <w:sz w:val="32"/>
          <w:szCs w:val="32"/>
        </w:rPr>
        <w:t>万元；年末结转和结余</w:t>
      </w:r>
      <w:r>
        <w:rPr>
          <w:rFonts w:ascii="仿宋" w:hAnsi="仿宋" w:eastAsia="仿宋" w:cs="仿宋"/>
          <w:spacing w:val="-66"/>
          <w:sz w:val="32"/>
          <w:szCs w:val="32"/>
        </w:rPr>
        <w:t xml:space="preserve"> </w:t>
      </w:r>
      <w:r>
        <w:rPr>
          <w:rFonts w:ascii="仿宋" w:hAnsi="仿宋" w:eastAsia="仿宋" w:cs="仿宋"/>
          <w:spacing w:val="-5"/>
          <w:sz w:val="32"/>
          <w:szCs w:val="32"/>
        </w:rPr>
        <w:t>0.00</w:t>
      </w:r>
      <w:r>
        <w:rPr>
          <w:rFonts w:ascii="仿宋" w:hAnsi="仿宋" w:eastAsia="仿宋" w:cs="仿宋"/>
          <w:spacing w:val="-56"/>
          <w:sz w:val="32"/>
          <w:szCs w:val="32"/>
        </w:rPr>
        <w:t xml:space="preserve"> </w:t>
      </w:r>
      <w:r>
        <w:rPr>
          <w:rFonts w:ascii="仿宋" w:hAnsi="仿宋" w:eastAsia="仿宋" w:cs="仿宋"/>
          <w:spacing w:val="-5"/>
          <w:sz w:val="32"/>
          <w:szCs w:val="32"/>
        </w:rPr>
        <w:t>万元。具体情况如下：</w:t>
      </w:r>
    </w:p>
    <w:p>
      <w:pPr>
        <w:spacing w:before="59" w:line="353" w:lineRule="auto"/>
        <w:ind w:left="9" w:firstLine="670"/>
        <w:rPr>
          <w:rFonts w:hint="eastAsia" w:ascii="仿宋" w:hAnsi="仿宋" w:eastAsia="仿宋" w:cs="仿宋"/>
          <w:sz w:val="32"/>
          <w:szCs w:val="32"/>
        </w:rPr>
      </w:pPr>
      <w:r>
        <w:rPr>
          <w:rFonts w:hint="eastAsia" w:ascii="仿宋" w:hAnsi="仿宋" w:eastAsia="仿宋" w:cs="仿宋"/>
          <w:spacing w:val="-13"/>
          <w:sz w:val="32"/>
          <w:szCs w:val="32"/>
        </w:rPr>
        <w:t>1、城乡社区支出（类）国有土地使用权出让收入安</w:t>
      </w:r>
      <w:r>
        <w:rPr>
          <w:rFonts w:hint="eastAsia" w:ascii="仿宋" w:hAnsi="仿宋" w:eastAsia="仿宋" w:cs="仿宋"/>
          <w:spacing w:val="-14"/>
          <w:sz w:val="32"/>
          <w:szCs w:val="32"/>
        </w:rPr>
        <w:t>排的支出（款）</w:t>
      </w:r>
      <w:r>
        <w:rPr>
          <w:rFonts w:hint="eastAsia" w:ascii="仿宋" w:hAnsi="仿宋" w:eastAsia="仿宋" w:cs="仿宋"/>
          <w:spacing w:val="-3"/>
          <w:sz w:val="32"/>
          <w:szCs w:val="32"/>
        </w:rPr>
        <w:t>其他国有土地使用权出让收入安排的支出（项）。</w:t>
      </w:r>
    </w:p>
    <w:p>
      <w:pPr>
        <w:spacing w:before="169" w:line="353" w:lineRule="auto"/>
        <w:ind w:left="12" w:right="93" w:firstLine="616" w:firstLineChars="200"/>
        <w:rPr>
          <w:rFonts w:hint="eastAsia" w:ascii="仿宋" w:hAnsi="仿宋" w:eastAsia="仿宋" w:cs="仿宋"/>
          <w:spacing w:val="-4"/>
          <w:sz w:val="32"/>
          <w:szCs w:val="32"/>
        </w:rPr>
      </w:pPr>
      <w:r>
        <w:rPr>
          <w:rFonts w:hint="eastAsia" w:ascii="仿宋" w:hAnsi="仿宋" w:eastAsia="仿宋" w:cs="仿宋"/>
          <w:spacing w:val="-6"/>
          <w:sz w:val="32"/>
          <w:szCs w:val="32"/>
        </w:rPr>
        <w:t>年初预算为123.56万元，支出决算为</w:t>
      </w:r>
      <w:r>
        <w:rPr>
          <w:rFonts w:hint="eastAsia" w:ascii="仿宋" w:hAnsi="仿宋" w:eastAsia="仿宋" w:cs="仿宋"/>
          <w:spacing w:val="-45"/>
          <w:sz w:val="32"/>
          <w:szCs w:val="32"/>
        </w:rPr>
        <w:t xml:space="preserve"> </w:t>
      </w:r>
      <w:r>
        <w:rPr>
          <w:rFonts w:hint="eastAsia" w:ascii="仿宋" w:hAnsi="仿宋" w:eastAsia="仿宋" w:cs="仿宋"/>
          <w:spacing w:val="-6"/>
          <w:sz w:val="32"/>
          <w:szCs w:val="32"/>
        </w:rPr>
        <w:t>30.49万元，</w:t>
      </w:r>
      <w:r>
        <w:rPr>
          <w:rFonts w:hint="eastAsia" w:ascii="仿宋" w:hAnsi="仿宋" w:eastAsia="仿宋" w:cs="仿宋"/>
          <w:spacing w:val="-1"/>
          <w:sz w:val="32"/>
          <w:szCs w:val="32"/>
        </w:rPr>
        <w:t>决算数小于预算数的主要原因是：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4"/>
          <w:sz w:val="32"/>
          <w:szCs w:val="32"/>
        </w:rPr>
        <w:t>。</w:t>
      </w:r>
    </w:p>
    <w:p>
      <w:pPr>
        <w:spacing w:before="59" w:line="353" w:lineRule="auto"/>
        <w:ind w:left="9" w:firstLine="670"/>
        <w:rPr>
          <w:rFonts w:hint="eastAsia" w:ascii="仿宋" w:hAnsi="仿宋" w:eastAsia="仿宋" w:cs="仿宋"/>
          <w:sz w:val="32"/>
          <w:szCs w:val="32"/>
        </w:rPr>
      </w:pPr>
      <w:r>
        <w:rPr>
          <w:rFonts w:hint="eastAsia"/>
        </w:rPr>
        <w:t xml:space="preserve"> </w:t>
      </w:r>
      <w:r>
        <w:rPr>
          <w:rFonts w:hint="eastAsia" w:ascii="仿宋" w:hAnsi="仿宋" w:eastAsia="仿宋" w:cs="仿宋"/>
          <w:spacing w:val="4"/>
          <w:sz w:val="32"/>
          <w:szCs w:val="32"/>
        </w:rPr>
        <w:t>2、</w:t>
      </w:r>
      <w:r>
        <w:rPr>
          <w:rFonts w:hint="eastAsia"/>
        </w:rPr>
        <w:t xml:space="preserve"> </w:t>
      </w:r>
      <w:bookmarkStart w:id="6" w:name="_Hlk175760045"/>
      <w:r>
        <w:rPr>
          <w:rFonts w:hint="eastAsia" w:ascii="仿宋" w:hAnsi="仿宋" w:eastAsia="仿宋" w:cs="仿宋"/>
          <w:spacing w:val="-13"/>
          <w:sz w:val="32"/>
          <w:szCs w:val="32"/>
        </w:rPr>
        <w:t>其他支出</w:t>
      </w:r>
      <w:bookmarkEnd w:id="6"/>
      <w:r>
        <w:rPr>
          <w:rFonts w:hint="eastAsia" w:ascii="仿宋" w:hAnsi="仿宋" w:eastAsia="仿宋" w:cs="仿宋"/>
          <w:spacing w:val="-13"/>
          <w:sz w:val="32"/>
          <w:szCs w:val="32"/>
        </w:rPr>
        <w:t>（类）其他政府性基金及对应专项债务收入安排的支出</w:t>
      </w:r>
      <w:r>
        <w:rPr>
          <w:rFonts w:hint="eastAsia" w:ascii="仿宋" w:hAnsi="仿宋" w:eastAsia="仿宋" w:cs="仿宋"/>
          <w:spacing w:val="-14"/>
          <w:sz w:val="32"/>
          <w:szCs w:val="32"/>
        </w:rPr>
        <w:t>（款）</w:t>
      </w:r>
      <w:r>
        <w:rPr>
          <w:rFonts w:hint="eastAsia" w:ascii="仿宋" w:hAnsi="仿宋" w:eastAsia="仿宋" w:cs="仿宋"/>
          <w:spacing w:val="-3"/>
          <w:sz w:val="32"/>
          <w:szCs w:val="32"/>
        </w:rPr>
        <w:t>其他政府性基金债务收入安排的支出（项）。</w:t>
      </w:r>
    </w:p>
    <w:p>
      <w:pPr>
        <w:spacing w:before="169" w:line="353" w:lineRule="auto"/>
        <w:ind w:left="12" w:right="93" w:firstLine="616" w:firstLineChars="200"/>
        <w:rPr>
          <w:rFonts w:hint="eastAsia" w:ascii="仿宋" w:hAnsi="仿宋" w:eastAsia="仿宋" w:cs="仿宋"/>
          <w:sz w:val="32"/>
          <w:szCs w:val="32"/>
        </w:rPr>
      </w:pPr>
      <w:r>
        <w:rPr>
          <w:rFonts w:hint="eastAsia" w:ascii="仿宋" w:hAnsi="仿宋" w:eastAsia="仿宋" w:cs="仿宋"/>
          <w:spacing w:val="-6"/>
          <w:sz w:val="32"/>
          <w:szCs w:val="32"/>
        </w:rPr>
        <w:t>年初预算为0万元，支出决算为420.40万元，</w:t>
      </w:r>
      <w:r>
        <w:rPr>
          <w:rFonts w:hint="eastAsia" w:ascii="仿宋" w:hAnsi="仿宋" w:eastAsia="仿宋" w:cs="仿宋"/>
          <w:spacing w:val="-1"/>
          <w:sz w:val="32"/>
          <w:szCs w:val="32"/>
        </w:rPr>
        <w:t>决算数大于预算数的主要原因是：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4"/>
          <w:sz w:val="32"/>
          <w:szCs w:val="32"/>
        </w:rPr>
        <w:t>。</w:t>
      </w:r>
    </w:p>
    <w:p>
      <w:pPr>
        <w:pStyle w:val="18"/>
        <w:spacing w:line="600" w:lineRule="exact"/>
        <w:ind w:firstLine="643"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8"/>
        <w:spacing w:line="600" w:lineRule="exact"/>
        <w:ind w:firstLine="640" w:firstLineChars="200"/>
        <w:rPr>
          <w:rFonts w:ascii="Times New Roman" w:hAnsi="Times New Roman" w:eastAsia="仿宋_GB2312"/>
          <w:sz w:val="32"/>
          <w:szCs w:val="32"/>
        </w:rPr>
      </w:pPr>
      <w:r>
        <w:rPr>
          <w:rFonts w:hint="eastAsia" w:ascii="仿宋" w:hAnsi="仿宋" w:eastAsia="仿宋" w:cs="仿宋"/>
          <w:sz w:val="32"/>
          <w:szCs w:val="32"/>
        </w:rPr>
        <w:t>无</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十、一般性支出情况说明</w:t>
      </w:r>
    </w:p>
    <w:p>
      <w:pPr>
        <w:pStyle w:val="18"/>
        <w:spacing w:line="600" w:lineRule="exact"/>
        <w:ind w:firstLine="636" w:firstLineChars="200"/>
        <w:rPr>
          <w:rFonts w:hint="eastAsia" w:ascii="仿宋" w:hAnsi="仿宋" w:eastAsia="仿宋" w:cs="仿宋"/>
          <w:spacing w:val="-7"/>
          <w:sz w:val="32"/>
          <w:szCs w:val="32"/>
        </w:rPr>
      </w:pPr>
      <w:r>
        <w:rPr>
          <w:rFonts w:ascii="仿宋" w:hAnsi="仿宋" w:eastAsia="仿宋" w:cs="仿宋"/>
          <w:spacing w:val="-1"/>
          <w:sz w:val="32"/>
          <w:szCs w:val="32"/>
        </w:rPr>
        <w:t>202</w:t>
      </w:r>
      <w:r>
        <w:rPr>
          <w:rFonts w:hint="eastAsia" w:ascii="仿宋" w:hAnsi="仿宋" w:eastAsia="仿宋" w:cs="仿宋"/>
          <w:spacing w:val="-1"/>
          <w:sz w:val="32"/>
          <w:szCs w:val="32"/>
        </w:rPr>
        <w:t>5</w:t>
      </w:r>
      <w:r>
        <w:rPr>
          <w:rFonts w:ascii="仿宋" w:hAnsi="仿宋" w:eastAsia="仿宋" w:cs="仿宋"/>
          <w:spacing w:val="-1"/>
          <w:sz w:val="32"/>
          <w:szCs w:val="32"/>
        </w:rPr>
        <w:t>年本部门开支会议费</w:t>
      </w:r>
      <w:r>
        <w:rPr>
          <w:rFonts w:ascii="仿宋" w:hAnsi="仿宋" w:eastAsia="仿宋" w:cs="仿宋"/>
          <w:spacing w:val="-64"/>
          <w:sz w:val="32"/>
          <w:szCs w:val="32"/>
        </w:rPr>
        <w:t xml:space="preserve"> </w:t>
      </w:r>
      <w:r>
        <w:rPr>
          <w:rFonts w:ascii="仿宋" w:hAnsi="仿宋" w:eastAsia="仿宋" w:cs="仿宋"/>
          <w:spacing w:val="-1"/>
          <w:sz w:val="32"/>
          <w:szCs w:val="32"/>
        </w:rPr>
        <w:t>0.</w:t>
      </w:r>
      <w:r>
        <w:rPr>
          <w:rFonts w:hint="eastAsia" w:ascii="仿宋" w:hAnsi="仿宋" w:eastAsia="仿宋" w:cs="仿宋"/>
          <w:spacing w:val="-1"/>
          <w:sz w:val="32"/>
          <w:szCs w:val="32"/>
        </w:rPr>
        <w:t>30</w:t>
      </w:r>
      <w:r>
        <w:rPr>
          <w:rFonts w:ascii="仿宋" w:hAnsi="仿宋" w:eastAsia="仿宋" w:cs="仿宋"/>
          <w:spacing w:val="-1"/>
          <w:sz w:val="32"/>
          <w:szCs w:val="32"/>
        </w:rPr>
        <w:t>万元，</w:t>
      </w:r>
      <w:r>
        <w:rPr>
          <w:rFonts w:hint="eastAsia" w:asciiTheme="minorEastAsia" w:hAnsiTheme="minorEastAsia" w:eastAsiaTheme="minorEastAsia"/>
          <w:sz w:val="32"/>
          <w:szCs w:val="32"/>
        </w:rPr>
        <w:t>用</w:t>
      </w:r>
      <w:r>
        <w:rPr>
          <w:rFonts w:hint="eastAsia" w:ascii="仿宋" w:hAnsi="仿宋" w:eastAsia="仿宋" w:cs="仿宋"/>
          <w:spacing w:val="-1"/>
          <w:sz w:val="32"/>
          <w:szCs w:val="32"/>
        </w:rPr>
        <w:t>于召开环卫园林中心工作会议，人数</w:t>
      </w:r>
      <w:r>
        <w:rPr>
          <w:rFonts w:ascii="仿宋" w:hAnsi="仿宋" w:eastAsia="仿宋" w:cs="仿宋"/>
          <w:spacing w:val="-1"/>
          <w:sz w:val="32"/>
          <w:szCs w:val="32"/>
        </w:rPr>
        <w:t>190</w:t>
      </w:r>
      <w:r>
        <w:rPr>
          <w:rFonts w:hint="eastAsia" w:ascii="仿宋" w:hAnsi="仿宋" w:eastAsia="仿宋" w:cs="仿宋"/>
          <w:spacing w:val="-1"/>
          <w:sz w:val="32"/>
          <w:szCs w:val="32"/>
        </w:rPr>
        <w:t>人，内容为巩固国家卫生城市工作</w:t>
      </w:r>
      <w:r>
        <w:rPr>
          <w:rFonts w:ascii="仿宋" w:hAnsi="仿宋" w:eastAsia="仿宋" w:cs="仿宋"/>
          <w:spacing w:val="-1"/>
          <w:sz w:val="32"/>
          <w:szCs w:val="32"/>
        </w:rPr>
        <w:t>；开支培训费 0.</w:t>
      </w:r>
      <w:r>
        <w:rPr>
          <w:rFonts w:hint="eastAsia" w:ascii="仿宋" w:hAnsi="仿宋" w:eastAsia="仿宋" w:cs="仿宋"/>
          <w:spacing w:val="-1"/>
          <w:sz w:val="32"/>
          <w:szCs w:val="32"/>
        </w:rPr>
        <w:t>37</w:t>
      </w:r>
      <w:r>
        <w:rPr>
          <w:rFonts w:ascii="仿宋" w:hAnsi="仿宋" w:eastAsia="仿宋" w:cs="仿宋"/>
          <w:spacing w:val="-1"/>
          <w:sz w:val="32"/>
          <w:szCs w:val="32"/>
        </w:rPr>
        <w:t>万元，</w:t>
      </w:r>
      <w:r>
        <w:rPr>
          <w:rFonts w:hint="eastAsia" w:ascii="仿宋" w:hAnsi="仿宋" w:eastAsia="仿宋" w:cs="仿宋"/>
          <w:spacing w:val="-1"/>
          <w:sz w:val="32"/>
          <w:szCs w:val="32"/>
        </w:rPr>
        <w:t>用于开展园林绿化养护、环卫作业业务培训，人数2</w:t>
      </w:r>
      <w:r>
        <w:rPr>
          <w:rFonts w:ascii="仿宋" w:hAnsi="仿宋" w:eastAsia="仿宋" w:cs="仿宋"/>
          <w:spacing w:val="-1"/>
          <w:sz w:val="32"/>
          <w:szCs w:val="32"/>
        </w:rPr>
        <w:t>30</w:t>
      </w:r>
      <w:r>
        <w:rPr>
          <w:rFonts w:hint="eastAsia" w:ascii="仿宋" w:hAnsi="仿宋" w:eastAsia="仿宋" w:cs="仿宋"/>
          <w:spacing w:val="-1"/>
          <w:sz w:val="32"/>
          <w:szCs w:val="32"/>
        </w:rPr>
        <w:t>人，内容为培训资料费及讲课费</w:t>
      </w:r>
      <w:r>
        <w:rPr>
          <w:rFonts w:ascii="仿宋" w:hAnsi="仿宋" w:eastAsia="仿宋" w:cs="仿宋"/>
          <w:spacing w:val="-1"/>
          <w:sz w:val="32"/>
          <w:szCs w:val="32"/>
        </w:rPr>
        <w:t>；未举办节庆、晚会、论坛、赛事活动</w:t>
      </w:r>
      <w:r>
        <w:rPr>
          <w:rFonts w:ascii="仿宋" w:hAnsi="仿宋" w:eastAsia="仿宋" w:cs="仿宋"/>
          <w:spacing w:val="-7"/>
          <w:sz w:val="32"/>
          <w:szCs w:val="32"/>
        </w:rPr>
        <w:t>。</w:t>
      </w:r>
    </w:p>
    <w:p>
      <w:pPr>
        <w:pStyle w:val="18"/>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十一、关于政府采购支出说明</w:t>
      </w:r>
    </w:p>
    <w:p>
      <w:pPr>
        <w:pStyle w:val="18"/>
        <w:spacing w:line="580" w:lineRule="exact"/>
        <w:ind w:firstLine="640" w:firstLineChars="200"/>
        <w:rPr>
          <w:rFonts w:hint="eastAsia" w:ascii="仿宋" w:hAnsi="仿宋" w:eastAsia="仿宋" w:cs="仿宋"/>
          <w:b/>
          <w:bCs/>
          <w:i/>
          <w:color w:val="auto"/>
          <w:sz w:val="32"/>
          <w:szCs w:val="32"/>
        </w:rPr>
      </w:pPr>
      <w:r>
        <w:rPr>
          <w:rFonts w:hint="eastAsia" w:ascii="仿宋" w:hAnsi="仿宋" w:eastAsia="仿宋" w:cs="仿宋"/>
          <w:sz w:val="32"/>
          <w:szCs w:val="32"/>
        </w:rPr>
        <w:t>本部门2025年度政府采购支出总额60万元，其中：政府采购货物支出60万元。授予中小企业合同金额20万元，占政府采购支出总额的33.33%，其中：授予小微企业合同金额20万元，</w:t>
      </w:r>
      <w:r>
        <w:rPr>
          <w:rFonts w:hint="eastAsia" w:ascii="仿宋" w:hAnsi="仿宋" w:eastAsia="仿宋" w:cs="仿宋"/>
          <w:color w:val="auto"/>
          <w:sz w:val="32"/>
          <w:szCs w:val="32"/>
        </w:rPr>
        <w:t>占授予中小企业合同金额的100%。货物采购授予中小企业合同金额占货物支出金额的100%，工程采购授予中小企业合同金额占工程支出金额的0%，服务采购授予中小企业合同金额占服务支出金额的0%。</w:t>
      </w:r>
    </w:p>
    <w:p>
      <w:pPr>
        <w:pStyle w:val="18"/>
        <w:spacing w:line="580" w:lineRule="exact"/>
        <w:ind w:firstLine="643" w:firstLineChars="200"/>
        <w:rPr>
          <w:rFonts w:hint="eastAsia" w:hAnsi="黑体"/>
          <w:bCs/>
          <w:color w:val="auto"/>
          <w:sz w:val="32"/>
          <w:szCs w:val="32"/>
        </w:rPr>
      </w:pPr>
      <w:r>
        <w:rPr>
          <w:rFonts w:hint="eastAsia" w:ascii="仿宋" w:hAnsi="仿宋" w:eastAsia="仿宋" w:cs="仿宋"/>
          <w:b/>
          <w:color w:val="auto"/>
          <w:sz w:val="32"/>
          <w:szCs w:val="32"/>
        </w:rPr>
        <w:t>十二、关于国有资产占用情况说明</w:t>
      </w:r>
    </w:p>
    <w:p>
      <w:pPr>
        <w:pStyle w:val="18"/>
        <w:spacing w:line="580" w:lineRule="exact"/>
        <w:ind w:firstLine="616" w:firstLineChars="200"/>
        <w:rPr>
          <w:rFonts w:ascii="Times New Roman" w:hAnsi="Times New Roman" w:eastAsia="仿宋_GB2312"/>
          <w:color w:val="auto"/>
          <w:sz w:val="32"/>
          <w:szCs w:val="32"/>
        </w:rPr>
      </w:pPr>
      <w:r>
        <w:rPr>
          <w:rFonts w:ascii="仿宋" w:hAnsi="仿宋" w:eastAsia="仿宋" w:cs="仿宋"/>
          <w:spacing w:val="-6"/>
          <w:sz w:val="32"/>
          <w:szCs w:val="32"/>
        </w:rPr>
        <w:t>截至</w:t>
      </w:r>
      <w:r>
        <w:rPr>
          <w:rFonts w:ascii="仿宋" w:hAnsi="仿宋" w:eastAsia="仿宋" w:cs="仿宋"/>
          <w:spacing w:val="-48"/>
          <w:sz w:val="32"/>
          <w:szCs w:val="32"/>
        </w:rPr>
        <w:t xml:space="preserve"> </w:t>
      </w:r>
      <w:r>
        <w:rPr>
          <w:rFonts w:ascii="仿宋" w:hAnsi="仿宋" w:eastAsia="仿宋" w:cs="仿宋"/>
          <w:spacing w:val="-6"/>
          <w:sz w:val="32"/>
          <w:szCs w:val="32"/>
        </w:rPr>
        <w:t>202</w:t>
      </w:r>
      <w:r>
        <w:rPr>
          <w:rFonts w:hint="eastAsia" w:ascii="仿宋" w:hAnsi="仿宋" w:eastAsia="仿宋" w:cs="仿宋"/>
          <w:spacing w:val="-6"/>
          <w:sz w:val="32"/>
          <w:szCs w:val="32"/>
        </w:rPr>
        <w:t>5</w:t>
      </w:r>
      <w:r>
        <w:rPr>
          <w:rFonts w:ascii="仿宋" w:hAnsi="仿宋" w:eastAsia="仿宋" w:cs="仿宋"/>
          <w:spacing w:val="-6"/>
          <w:sz w:val="32"/>
          <w:szCs w:val="32"/>
        </w:rPr>
        <w:t>年</w:t>
      </w:r>
      <w:r>
        <w:rPr>
          <w:rFonts w:ascii="仿宋" w:hAnsi="仿宋" w:eastAsia="仿宋" w:cs="仿宋"/>
          <w:spacing w:val="-38"/>
          <w:sz w:val="32"/>
          <w:szCs w:val="32"/>
        </w:rPr>
        <w:t xml:space="preserve"> </w:t>
      </w:r>
      <w:r>
        <w:rPr>
          <w:rFonts w:ascii="仿宋" w:hAnsi="仿宋" w:eastAsia="仿宋" w:cs="仿宋"/>
          <w:spacing w:val="-6"/>
          <w:sz w:val="32"/>
          <w:szCs w:val="32"/>
        </w:rPr>
        <w:t>12</w:t>
      </w:r>
      <w:r>
        <w:rPr>
          <w:rFonts w:ascii="仿宋" w:hAnsi="仿宋" w:eastAsia="仿宋" w:cs="仿宋"/>
          <w:spacing w:val="-44"/>
          <w:sz w:val="32"/>
          <w:szCs w:val="32"/>
        </w:rPr>
        <w:t xml:space="preserve"> </w:t>
      </w:r>
      <w:r>
        <w:rPr>
          <w:rFonts w:ascii="仿宋" w:hAnsi="仿宋" w:eastAsia="仿宋" w:cs="仿宋"/>
          <w:spacing w:val="-6"/>
          <w:sz w:val="32"/>
          <w:szCs w:val="32"/>
        </w:rPr>
        <w:t>月</w:t>
      </w:r>
      <w:r>
        <w:rPr>
          <w:rFonts w:ascii="仿宋" w:hAnsi="仿宋" w:eastAsia="仿宋" w:cs="仿宋"/>
          <w:spacing w:val="-55"/>
          <w:sz w:val="32"/>
          <w:szCs w:val="32"/>
        </w:rPr>
        <w:t xml:space="preserve"> </w:t>
      </w:r>
      <w:r>
        <w:rPr>
          <w:rFonts w:ascii="仿宋" w:hAnsi="仿宋" w:eastAsia="仿宋" w:cs="仿宋"/>
          <w:spacing w:val="-6"/>
          <w:sz w:val="32"/>
          <w:szCs w:val="32"/>
        </w:rPr>
        <w:t>31日，本部门共有公务用车</w:t>
      </w:r>
      <w:r>
        <w:rPr>
          <w:rFonts w:ascii="仿宋" w:hAnsi="仿宋" w:eastAsia="仿宋" w:cs="仿宋"/>
          <w:spacing w:val="-38"/>
          <w:sz w:val="32"/>
          <w:szCs w:val="32"/>
        </w:rPr>
        <w:t xml:space="preserve"> </w:t>
      </w:r>
      <w:r>
        <w:rPr>
          <w:rFonts w:hint="eastAsia" w:ascii="仿宋" w:hAnsi="仿宋" w:eastAsia="仿宋" w:cs="仿宋"/>
          <w:spacing w:val="-6"/>
          <w:sz w:val="32"/>
          <w:szCs w:val="32"/>
        </w:rPr>
        <w:t>0</w:t>
      </w:r>
      <w:r>
        <w:rPr>
          <w:rFonts w:ascii="仿宋" w:hAnsi="仿宋" w:eastAsia="仿宋" w:cs="仿宋"/>
          <w:spacing w:val="-6"/>
          <w:sz w:val="32"/>
          <w:szCs w:val="32"/>
        </w:rPr>
        <w:t>辆，其中，主</w:t>
      </w:r>
      <w:r>
        <w:rPr>
          <w:rFonts w:ascii="仿宋" w:hAnsi="仿宋" w:eastAsia="仿宋" w:cs="仿宋"/>
          <w:spacing w:val="2"/>
          <w:sz w:val="32"/>
          <w:szCs w:val="32"/>
        </w:rPr>
        <w:t>要领导干部用车</w:t>
      </w:r>
      <w:r>
        <w:rPr>
          <w:rFonts w:ascii="仿宋" w:hAnsi="仿宋" w:eastAsia="仿宋" w:cs="仿宋"/>
          <w:spacing w:val="-62"/>
          <w:sz w:val="32"/>
          <w:szCs w:val="32"/>
        </w:rPr>
        <w:t xml:space="preserve"> </w:t>
      </w:r>
      <w:r>
        <w:rPr>
          <w:rFonts w:ascii="仿宋" w:hAnsi="仿宋" w:eastAsia="仿宋" w:cs="仿宋"/>
          <w:spacing w:val="2"/>
          <w:sz w:val="32"/>
          <w:szCs w:val="32"/>
        </w:rPr>
        <w:t>0</w:t>
      </w:r>
      <w:r>
        <w:rPr>
          <w:rFonts w:ascii="仿宋" w:hAnsi="仿宋" w:eastAsia="仿宋" w:cs="仿宋"/>
          <w:spacing w:val="-60"/>
          <w:sz w:val="32"/>
          <w:szCs w:val="32"/>
        </w:rPr>
        <w:t xml:space="preserve"> </w:t>
      </w:r>
      <w:r>
        <w:rPr>
          <w:rFonts w:ascii="仿宋" w:hAnsi="仿宋" w:eastAsia="仿宋" w:cs="仿宋"/>
          <w:spacing w:val="2"/>
          <w:sz w:val="32"/>
          <w:szCs w:val="32"/>
        </w:rPr>
        <w:t>辆、机要通信用车0</w:t>
      </w:r>
      <w:r>
        <w:rPr>
          <w:rFonts w:ascii="仿宋" w:hAnsi="仿宋" w:eastAsia="仿宋" w:cs="仿宋"/>
          <w:spacing w:val="-60"/>
          <w:sz w:val="32"/>
          <w:szCs w:val="32"/>
        </w:rPr>
        <w:t xml:space="preserve"> </w:t>
      </w:r>
      <w:r>
        <w:rPr>
          <w:rFonts w:ascii="仿宋" w:hAnsi="仿宋" w:eastAsia="仿宋" w:cs="仿宋"/>
          <w:spacing w:val="2"/>
          <w:sz w:val="32"/>
          <w:szCs w:val="32"/>
        </w:rPr>
        <w:t>辆、应急保障用车0</w:t>
      </w:r>
      <w:r>
        <w:rPr>
          <w:rFonts w:ascii="仿宋" w:hAnsi="仿宋" w:eastAsia="仿宋" w:cs="仿宋"/>
          <w:spacing w:val="-60"/>
          <w:sz w:val="32"/>
          <w:szCs w:val="32"/>
        </w:rPr>
        <w:t xml:space="preserve"> </w:t>
      </w:r>
      <w:r>
        <w:rPr>
          <w:rFonts w:ascii="仿宋" w:hAnsi="仿宋" w:eastAsia="仿宋" w:cs="仿宋"/>
          <w:spacing w:val="2"/>
          <w:sz w:val="32"/>
          <w:szCs w:val="32"/>
        </w:rPr>
        <w:t>辆、执法</w:t>
      </w:r>
      <w:r>
        <w:rPr>
          <w:rFonts w:ascii="仿宋" w:hAnsi="仿宋" w:eastAsia="仿宋" w:cs="仿宋"/>
          <w:sz w:val="32"/>
          <w:szCs w:val="32"/>
        </w:rPr>
        <w:t>执勤用车</w:t>
      </w:r>
      <w:r>
        <w:rPr>
          <w:rFonts w:ascii="仿宋" w:hAnsi="仿宋" w:eastAsia="仿宋" w:cs="仿宋"/>
          <w:spacing w:val="-62"/>
          <w:sz w:val="32"/>
          <w:szCs w:val="32"/>
        </w:rPr>
        <w:t xml:space="preserve"> </w:t>
      </w:r>
      <w:r>
        <w:rPr>
          <w:rFonts w:ascii="仿宋" w:hAnsi="仿宋" w:eastAsia="仿宋" w:cs="仿宋"/>
          <w:sz w:val="32"/>
          <w:szCs w:val="32"/>
        </w:rPr>
        <w:t>0</w:t>
      </w:r>
      <w:r>
        <w:rPr>
          <w:rFonts w:ascii="仿宋" w:hAnsi="仿宋" w:eastAsia="仿宋" w:cs="仿宋"/>
          <w:spacing w:val="-60"/>
          <w:sz w:val="32"/>
          <w:szCs w:val="32"/>
        </w:rPr>
        <w:t xml:space="preserve"> </w:t>
      </w:r>
      <w:r>
        <w:rPr>
          <w:rFonts w:ascii="仿宋" w:hAnsi="仿宋" w:eastAsia="仿宋" w:cs="仿宋"/>
          <w:sz w:val="32"/>
          <w:szCs w:val="32"/>
        </w:rPr>
        <w:t>辆、特种专业技术用车0</w:t>
      </w:r>
      <w:r>
        <w:rPr>
          <w:rFonts w:ascii="仿宋" w:hAnsi="仿宋" w:eastAsia="仿宋" w:cs="仿宋"/>
          <w:spacing w:val="-60"/>
          <w:sz w:val="32"/>
          <w:szCs w:val="32"/>
        </w:rPr>
        <w:t xml:space="preserve"> </w:t>
      </w:r>
      <w:r>
        <w:rPr>
          <w:rFonts w:ascii="仿宋" w:hAnsi="仿宋" w:eastAsia="仿宋" w:cs="仿宋"/>
          <w:sz w:val="32"/>
          <w:szCs w:val="32"/>
        </w:rPr>
        <w:t>辆、其他用</w:t>
      </w:r>
      <w:r>
        <w:rPr>
          <w:rFonts w:ascii="仿宋" w:hAnsi="仿宋" w:eastAsia="仿宋" w:cs="仿宋"/>
          <w:spacing w:val="-9"/>
          <w:sz w:val="32"/>
          <w:szCs w:val="32"/>
        </w:rPr>
        <w:t>车</w:t>
      </w:r>
      <w:r>
        <w:rPr>
          <w:rFonts w:ascii="仿宋" w:hAnsi="仿宋" w:eastAsia="仿宋" w:cs="仿宋"/>
          <w:spacing w:val="-44"/>
          <w:sz w:val="32"/>
          <w:szCs w:val="32"/>
        </w:rPr>
        <w:t xml:space="preserve"> </w:t>
      </w:r>
      <w:r>
        <w:rPr>
          <w:rFonts w:hint="eastAsia" w:ascii="仿宋" w:hAnsi="仿宋" w:eastAsia="仿宋" w:cs="仿宋"/>
          <w:spacing w:val="-9"/>
          <w:sz w:val="32"/>
          <w:szCs w:val="32"/>
        </w:rPr>
        <w:t>15</w:t>
      </w:r>
      <w:r>
        <w:rPr>
          <w:rFonts w:ascii="仿宋" w:hAnsi="仿宋" w:eastAsia="仿宋" w:cs="仿宋"/>
          <w:spacing w:val="-9"/>
          <w:sz w:val="32"/>
          <w:szCs w:val="32"/>
        </w:rPr>
        <w:t>辆，其他用车主要是</w:t>
      </w:r>
      <w:r>
        <w:rPr>
          <w:rFonts w:hint="eastAsia" w:ascii="仿宋" w:hAnsi="仿宋" w:eastAsia="仿宋" w:cs="仿宋"/>
          <w:spacing w:val="-9"/>
          <w:sz w:val="32"/>
          <w:szCs w:val="32"/>
        </w:rPr>
        <w:t>环卫园林绿化作业</w:t>
      </w:r>
      <w:r>
        <w:rPr>
          <w:rFonts w:ascii="仿宋" w:hAnsi="仿宋" w:eastAsia="仿宋" w:cs="仿宋"/>
          <w:spacing w:val="-9"/>
          <w:sz w:val="32"/>
          <w:szCs w:val="32"/>
        </w:rPr>
        <w:t>；单位价值</w:t>
      </w:r>
      <w:r>
        <w:rPr>
          <w:rFonts w:ascii="仿宋" w:hAnsi="仿宋" w:eastAsia="仿宋" w:cs="仿宋"/>
          <w:spacing w:val="-62"/>
          <w:sz w:val="32"/>
          <w:szCs w:val="32"/>
        </w:rPr>
        <w:t xml:space="preserve"> </w:t>
      </w:r>
      <w:r>
        <w:rPr>
          <w:rFonts w:ascii="仿宋" w:hAnsi="仿宋" w:eastAsia="仿宋" w:cs="仿宋"/>
          <w:spacing w:val="-9"/>
          <w:sz w:val="32"/>
          <w:szCs w:val="32"/>
        </w:rPr>
        <w:t>50</w:t>
      </w:r>
      <w:r>
        <w:rPr>
          <w:rFonts w:ascii="仿宋" w:hAnsi="仿宋" w:eastAsia="仿宋" w:cs="仿宋"/>
          <w:spacing w:val="-57"/>
          <w:sz w:val="32"/>
          <w:szCs w:val="32"/>
        </w:rPr>
        <w:t xml:space="preserve"> </w:t>
      </w:r>
      <w:r>
        <w:rPr>
          <w:rFonts w:ascii="仿宋" w:hAnsi="仿宋" w:eastAsia="仿宋" w:cs="仿宋"/>
          <w:spacing w:val="-9"/>
          <w:sz w:val="32"/>
          <w:szCs w:val="32"/>
        </w:rPr>
        <w:t>万元</w:t>
      </w:r>
      <w:r>
        <w:rPr>
          <w:rFonts w:ascii="仿宋" w:hAnsi="仿宋" w:eastAsia="仿宋" w:cs="仿宋"/>
          <w:spacing w:val="-18"/>
          <w:sz w:val="32"/>
          <w:szCs w:val="32"/>
        </w:rPr>
        <w:t>以上通用设备</w:t>
      </w:r>
      <w:r>
        <w:rPr>
          <w:rFonts w:ascii="仿宋" w:hAnsi="仿宋" w:eastAsia="仿宋" w:cs="仿宋"/>
          <w:spacing w:val="-63"/>
          <w:sz w:val="32"/>
          <w:szCs w:val="32"/>
        </w:rPr>
        <w:t xml:space="preserve"> </w:t>
      </w:r>
      <w:r>
        <w:rPr>
          <w:rFonts w:ascii="仿宋" w:hAnsi="仿宋" w:eastAsia="仿宋" w:cs="仿宋"/>
          <w:spacing w:val="-18"/>
          <w:sz w:val="32"/>
          <w:szCs w:val="32"/>
        </w:rPr>
        <w:t>0 台（套</w:t>
      </w:r>
      <w:r>
        <w:rPr>
          <w:rFonts w:ascii="仿宋" w:hAnsi="仿宋" w:eastAsia="仿宋" w:cs="仿宋"/>
          <w:spacing w:val="-87"/>
          <w:w w:val="96"/>
          <w:sz w:val="32"/>
          <w:szCs w:val="32"/>
        </w:rPr>
        <w:t>），</w:t>
      </w:r>
      <w:r>
        <w:rPr>
          <w:rFonts w:ascii="仿宋" w:hAnsi="仿宋" w:eastAsia="仿宋" w:cs="仿宋"/>
          <w:spacing w:val="-18"/>
          <w:sz w:val="32"/>
          <w:szCs w:val="32"/>
        </w:rPr>
        <w:t>单位价值</w:t>
      </w:r>
      <w:r>
        <w:rPr>
          <w:rFonts w:ascii="仿宋" w:hAnsi="仿宋" w:eastAsia="仿宋" w:cs="仿宋"/>
          <w:spacing w:val="-45"/>
          <w:sz w:val="32"/>
          <w:szCs w:val="32"/>
        </w:rPr>
        <w:t xml:space="preserve"> </w:t>
      </w:r>
      <w:r>
        <w:rPr>
          <w:rFonts w:ascii="仿宋" w:hAnsi="仿宋" w:eastAsia="仿宋" w:cs="仿宋"/>
          <w:spacing w:val="-18"/>
          <w:sz w:val="32"/>
          <w:szCs w:val="32"/>
        </w:rPr>
        <w:t>100</w:t>
      </w:r>
      <w:r>
        <w:rPr>
          <w:rFonts w:ascii="仿宋" w:hAnsi="仿宋" w:eastAsia="仿宋" w:cs="仿宋"/>
          <w:spacing w:val="-56"/>
          <w:sz w:val="32"/>
          <w:szCs w:val="32"/>
        </w:rPr>
        <w:t xml:space="preserve"> </w:t>
      </w:r>
      <w:r>
        <w:rPr>
          <w:rFonts w:ascii="仿宋" w:hAnsi="仿宋" w:eastAsia="仿宋" w:cs="仿宋"/>
          <w:spacing w:val="-18"/>
          <w:sz w:val="32"/>
          <w:szCs w:val="32"/>
        </w:rPr>
        <w:t>万元以上专用设备</w:t>
      </w:r>
      <w:r>
        <w:rPr>
          <w:rFonts w:ascii="仿宋" w:hAnsi="仿宋" w:eastAsia="仿宋" w:cs="仿宋"/>
          <w:spacing w:val="-67"/>
          <w:sz w:val="32"/>
          <w:szCs w:val="32"/>
        </w:rPr>
        <w:t xml:space="preserve"> </w:t>
      </w:r>
      <w:r>
        <w:rPr>
          <w:rFonts w:ascii="仿宋" w:hAnsi="仿宋" w:eastAsia="仿宋" w:cs="仿宋"/>
          <w:spacing w:val="-18"/>
          <w:sz w:val="32"/>
          <w:szCs w:val="32"/>
        </w:rPr>
        <w:t>0台（套）</w:t>
      </w:r>
      <w:r>
        <w:rPr>
          <w:rFonts w:hint="eastAsia" w:ascii="Times New Roman" w:hAnsi="Times New Roman" w:eastAsia="仿宋_GB2312"/>
          <w:color w:val="auto"/>
          <w:sz w:val="32"/>
          <w:szCs w:val="32"/>
        </w:rPr>
        <w:t>。</w:t>
      </w:r>
    </w:p>
    <w:p>
      <w:pPr>
        <w:pStyle w:val="18"/>
        <w:spacing w:line="580" w:lineRule="exact"/>
        <w:ind w:firstLine="643" w:firstLineChars="200"/>
        <w:rPr>
          <w:rFonts w:hint="eastAsia" w:hAnsi="黑体"/>
          <w:bCs/>
          <w:color w:val="auto"/>
          <w:sz w:val="32"/>
          <w:szCs w:val="32"/>
        </w:rPr>
      </w:pPr>
      <w:r>
        <w:rPr>
          <w:rFonts w:hint="eastAsia" w:ascii="仿宋" w:hAnsi="仿宋" w:eastAsia="仿宋" w:cs="仿宋"/>
          <w:b/>
          <w:color w:val="auto"/>
          <w:sz w:val="32"/>
          <w:szCs w:val="32"/>
        </w:rPr>
        <w:t>十三、关于2025年度预算绩效情况的说明</w:t>
      </w:r>
    </w:p>
    <w:p>
      <w:pPr>
        <w:pStyle w:val="18"/>
        <w:spacing w:line="580" w:lineRule="exact"/>
        <w:ind w:firstLine="632" w:firstLineChars="200"/>
        <w:rPr>
          <w:rFonts w:ascii="Times New Roman" w:hAnsi="Times New Roman" w:eastAsia="仿宋_GB2312"/>
          <w:sz w:val="32"/>
          <w:szCs w:val="32"/>
        </w:rPr>
      </w:pPr>
      <w:r>
        <w:rPr>
          <w:rFonts w:ascii="仿宋" w:hAnsi="仿宋" w:eastAsia="仿宋" w:cs="仿宋"/>
          <w:spacing w:val="-2"/>
          <w:sz w:val="32"/>
          <w:szCs w:val="32"/>
        </w:rPr>
        <w:t>本部门预算绩效管理开展情况、绩效目标和绩效评价报告等见附</w:t>
      </w:r>
      <w:r>
        <w:rPr>
          <w:rFonts w:ascii="仿宋" w:hAnsi="仿宋" w:eastAsia="仿宋" w:cs="仿宋"/>
          <w:spacing w:val="-16"/>
          <w:sz w:val="32"/>
          <w:szCs w:val="32"/>
        </w:rPr>
        <w:t>件</w:t>
      </w:r>
      <w:r>
        <w:rPr>
          <w:rFonts w:hint="eastAsia" w:ascii="Times New Roman" w:hAnsi="Times New Roman" w:eastAsia="仿宋_GB2312"/>
          <w:sz w:val="32"/>
          <w:szCs w:val="32"/>
        </w:rPr>
        <w:t>。</w:t>
      </w:r>
    </w:p>
    <w:p>
      <w:pPr>
        <w:pStyle w:val="18"/>
        <w:jc w:val="both"/>
        <w:rPr>
          <w:sz w:val="72"/>
          <w:szCs w:val="72"/>
        </w:rPr>
      </w:pPr>
    </w:p>
    <w:p>
      <w:pPr>
        <w:pStyle w:val="18"/>
        <w:jc w:val="center"/>
        <w:rPr>
          <w:sz w:val="72"/>
          <w:szCs w:val="72"/>
        </w:rPr>
      </w:pPr>
    </w:p>
    <w:p>
      <w:pPr>
        <w:pStyle w:val="18"/>
        <w:jc w:val="center"/>
        <w:rPr>
          <w:sz w:val="72"/>
          <w:szCs w:val="72"/>
        </w:rPr>
      </w:pPr>
    </w:p>
    <w:p>
      <w:pPr>
        <w:pStyle w:val="18"/>
        <w:jc w:val="both"/>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p>
    <w:p>
      <w:pPr>
        <w:pStyle w:val="18"/>
        <w:jc w:val="both"/>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jc w:val="center"/>
        <w:rPr>
          <w:rFonts w:hint="eastAsia" w:ascii="仿宋" w:hAnsi="仿宋" w:eastAsia="仿宋" w:cs="仿宋"/>
          <w:b/>
          <w:bCs/>
          <w:sz w:val="52"/>
          <w:szCs w:val="52"/>
        </w:rPr>
      </w:pPr>
    </w:p>
    <w:p>
      <w:pPr>
        <w:pStyle w:val="18"/>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第四部分</w:t>
      </w:r>
    </w:p>
    <w:p>
      <w:pPr>
        <w:pStyle w:val="18"/>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名词解释</w:t>
      </w:r>
    </w:p>
    <w:p>
      <w:pPr>
        <w:widowControl/>
        <w:jc w:val="left"/>
        <w:rPr>
          <w:rFonts w:hint="eastAsia"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spacing w:before="168" w:line="296" w:lineRule="auto"/>
        <w:ind w:right="138" w:firstLine="853"/>
        <w:rPr>
          <w:rFonts w:hint="eastAsia" w:ascii="仿宋" w:hAnsi="仿宋" w:eastAsia="仿宋" w:cs="仿宋"/>
          <w:sz w:val="32"/>
          <w:szCs w:val="32"/>
        </w:rPr>
      </w:pPr>
      <w:r>
        <w:rPr>
          <w:rFonts w:ascii="仿宋" w:hAnsi="仿宋" w:eastAsia="仿宋" w:cs="仿宋"/>
          <w:spacing w:val="1"/>
          <w:sz w:val="32"/>
          <w:szCs w:val="32"/>
        </w:rPr>
        <w:t>1</w:t>
      </w:r>
      <w:r>
        <w:rPr>
          <w:rFonts w:hint="eastAsia" w:ascii="仿宋" w:hAnsi="仿宋" w:eastAsia="仿宋" w:cs="仿宋"/>
          <w:spacing w:val="1"/>
          <w:sz w:val="32"/>
          <w:szCs w:val="32"/>
        </w:rPr>
        <w:t>.</w:t>
      </w:r>
      <w:r>
        <w:rPr>
          <w:rFonts w:ascii="仿宋" w:hAnsi="仿宋" w:eastAsia="仿宋" w:cs="仿宋"/>
          <w:spacing w:val="1"/>
          <w:sz w:val="32"/>
          <w:szCs w:val="32"/>
        </w:rPr>
        <w:t>财政拨款收入：指单位本年度从同级财政部门取</w:t>
      </w:r>
      <w:r>
        <w:rPr>
          <w:rFonts w:ascii="仿宋" w:hAnsi="仿宋" w:eastAsia="仿宋" w:cs="仿宋"/>
          <w:sz w:val="32"/>
          <w:szCs w:val="32"/>
        </w:rPr>
        <w:t xml:space="preserve">得的各类财政 </w:t>
      </w:r>
      <w:r>
        <w:rPr>
          <w:rFonts w:ascii="仿宋" w:hAnsi="仿宋" w:eastAsia="仿宋" w:cs="仿宋"/>
          <w:spacing w:val="-15"/>
          <w:sz w:val="32"/>
          <w:szCs w:val="32"/>
        </w:rPr>
        <w:t>拨款。</w:t>
      </w:r>
    </w:p>
    <w:p>
      <w:pPr>
        <w:spacing w:before="256" w:line="338" w:lineRule="auto"/>
        <w:ind w:firstLine="837"/>
        <w:rPr>
          <w:rFonts w:hint="eastAsia" w:ascii="仿宋" w:hAnsi="仿宋" w:eastAsia="仿宋" w:cs="仿宋"/>
          <w:sz w:val="32"/>
          <w:szCs w:val="32"/>
        </w:rPr>
      </w:pPr>
      <w:r>
        <w:rPr>
          <w:rFonts w:hint="eastAsia" w:ascii="仿宋" w:hAnsi="仿宋" w:eastAsia="仿宋" w:cs="仿宋"/>
          <w:spacing w:val="-5"/>
          <w:sz w:val="32"/>
          <w:szCs w:val="32"/>
        </w:rPr>
        <w:t>2</w:t>
      </w:r>
      <w:r>
        <w:rPr>
          <w:rFonts w:ascii="仿宋" w:hAnsi="仿宋" w:eastAsia="仿宋" w:cs="仿宋"/>
          <w:spacing w:val="-5"/>
          <w:sz w:val="32"/>
          <w:szCs w:val="32"/>
        </w:rPr>
        <w:t>．机关运行经费：指行政单位（含参照公务员法管理的事业单位）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使用一般公共预算安排的基本支出中的公用经费支出，包括办公及印刷</w:t>
      </w:r>
      <w:r>
        <w:rPr>
          <w:rFonts w:ascii="仿宋" w:hAnsi="仿宋" w:eastAsia="仿宋" w:cs="仿宋"/>
          <w:spacing w:val="16"/>
          <w:sz w:val="32"/>
          <w:szCs w:val="32"/>
        </w:rPr>
        <w:t xml:space="preserve"> </w:t>
      </w:r>
      <w:r>
        <w:rPr>
          <w:rFonts w:ascii="仿宋" w:hAnsi="仿宋" w:eastAsia="仿宋" w:cs="仿宋"/>
          <w:spacing w:val="2"/>
          <w:sz w:val="32"/>
          <w:szCs w:val="32"/>
        </w:rPr>
        <w:t>费、邮电费、差旅费、会议费、福利费、日常维修费、专用材料及一般</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r>
        <w:rPr>
          <w:rFonts w:ascii="仿宋" w:hAnsi="仿宋" w:eastAsia="仿宋" w:cs="仿宋"/>
          <w:spacing w:val="-4"/>
          <w:sz w:val="32"/>
          <w:szCs w:val="32"/>
        </w:rPr>
        <w:t>公务用车运行维护费及其他费用。</w:t>
      </w:r>
    </w:p>
    <w:p>
      <w:pPr>
        <w:spacing w:before="258" w:line="350" w:lineRule="auto"/>
        <w:ind w:right="138" w:firstLine="828"/>
        <w:rPr>
          <w:rFonts w:hint="eastAsia" w:ascii="仿宋" w:hAnsi="仿宋" w:eastAsia="仿宋" w:cs="仿宋"/>
          <w:spacing w:val="-16"/>
          <w:sz w:val="32"/>
          <w:szCs w:val="32"/>
        </w:rPr>
      </w:pPr>
      <w:r>
        <w:rPr>
          <w:rFonts w:hint="eastAsia" w:ascii="仿宋" w:hAnsi="仿宋" w:eastAsia="仿宋" w:cs="仿宋"/>
          <w:sz w:val="32"/>
          <w:szCs w:val="32"/>
        </w:rPr>
        <w:t>3.</w:t>
      </w:r>
      <w:r>
        <w:rPr>
          <w:rFonts w:ascii="仿宋" w:hAnsi="仿宋" w:eastAsia="仿宋" w:cs="仿宋"/>
          <w:sz w:val="32"/>
          <w:szCs w:val="32"/>
        </w:rPr>
        <w:t>“三公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r>
        <w:rPr>
          <w:rFonts w:ascii="仿宋" w:hAnsi="仿宋" w:eastAsia="仿宋" w:cs="仿宋"/>
          <w:spacing w:val="15"/>
          <w:sz w:val="32"/>
          <w:szCs w:val="32"/>
        </w:rPr>
        <w:t xml:space="preserve"> </w:t>
      </w:r>
      <w:r>
        <w:rPr>
          <w:rFonts w:ascii="仿宋" w:hAnsi="仿宋" w:eastAsia="仿宋" w:cs="仿宋"/>
          <w:spacing w:val="-16"/>
          <w:sz w:val="32"/>
          <w:szCs w:val="32"/>
        </w:rPr>
        <w:t>用。</w:t>
      </w:r>
    </w:p>
    <w:p>
      <w:pPr>
        <w:spacing w:before="252" w:line="352" w:lineRule="auto"/>
        <w:ind w:firstLine="628" w:firstLineChars="200"/>
        <w:rPr>
          <w:rFonts w:hint="eastAsia" w:ascii="仿宋" w:hAnsi="仿宋" w:eastAsia="仿宋" w:cs="仿宋"/>
          <w:sz w:val="32"/>
          <w:szCs w:val="32"/>
        </w:rPr>
      </w:pPr>
      <w:r>
        <w:rPr>
          <w:rFonts w:hint="eastAsia" w:ascii="仿宋" w:hAnsi="仿宋" w:eastAsia="仿宋" w:cs="仿宋"/>
          <w:spacing w:val="-3"/>
          <w:sz w:val="32"/>
          <w:szCs w:val="32"/>
        </w:rPr>
        <w:t>4.</w:t>
      </w:r>
      <w:r>
        <w:rPr>
          <w:rFonts w:ascii="仿宋" w:hAnsi="仿宋" w:eastAsia="仿宋" w:cs="仿宋"/>
          <w:spacing w:val="-3"/>
          <w:sz w:val="32"/>
          <w:szCs w:val="32"/>
        </w:rPr>
        <w:t>年初结转和结余：指单位上年结转本年使用的基本支出结转</w:t>
      </w:r>
      <w:r>
        <w:rPr>
          <w:rFonts w:hint="eastAsia" w:ascii="仿宋" w:hAnsi="仿宋" w:eastAsia="仿宋" w:cs="仿宋"/>
          <w:spacing w:val="-3"/>
          <w:sz w:val="32"/>
          <w:szCs w:val="32"/>
        </w:rPr>
        <w:t>、</w:t>
      </w:r>
      <w:r>
        <w:rPr>
          <w:rFonts w:ascii="仿宋" w:hAnsi="仿宋" w:eastAsia="仿宋" w:cs="仿宋"/>
          <w:spacing w:val="-5"/>
          <w:sz w:val="32"/>
          <w:szCs w:val="32"/>
        </w:rPr>
        <w:t>项目支出结转和结余和经营结余。</w:t>
      </w:r>
    </w:p>
    <w:p>
      <w:pPr>
        <w:spacing w:before="258" w:line="350" w:lineRule="auto"/>
        <w:ind w:right="138" w:firstLine="620" w:firstLineChars="200"/>
        <w:rPr>
          <w:rFonts w:hint="eastAsia" w:ascii="仿宋" w:hAnsi="仿宋" w:eastAsia="仿宋" w:cs="仿宋"/>
          <w:spacing w:val="-16"/>
          <w:sz w:val="32"/>
          <w:szCs w:val="32"/>
        </w:rPr>
      </w:pPr>
      <w:r>
        <w:rPr>
          <w:rFonts w:hint="eastAsia" w:ascii="仿宋" w:hAnsi="仿宋" w:eastAsia="仿宋" w:cs="仿宋"/>
          <w:spacing w:val="-5"/>
          <w:sz w:val="32"/>
          <w:szCs w:val="32"/>
        </w:rPr>
        <w:t>5.</w:t>
      </w:r>
      <w:r>
        <w:rPr>
          <w:rFonts w:ascii="仿宋" w:hAnsi="仿宋" w:eastAsia="仿宋" w:cs="仿宋"/>
          <w:spacing w:val="-5"/>
          <w:sz w:val="32"/>
          <w:szCs w:val="32"/>
        </w:rPr>
        <w:t>年末结转和结余资金：指本年度或以前年度预算安排、因客观</w:t>
      </w:r>
      <w:r>
        <w:rPr>
          <w:rFonts w:ascii="仿宋" w:hAnsi="仿宋" w:eastAsia="仿宋" w:cs="仿宋"/>
          <w:spacing w:val="2"/>
          <w:sz w:val="32"/>
          <w:szCs w:val="32"/>
        </w:rPr>
        <w:t>条件发生变化无法按原计划实施，需要延迟到以后年度按有关规定继续</w:t>
      </w:r>
      <w:r>
        <w:rPr>
          <w:rFonts w:ascii="仿宋" w:hAnsi="仿宋" w:eastAsia="仿宋" w:cs="仿宋"/>
          <w:spacing w:val="-10"/>
          <w:sz w:val="32"/>
          <w:szCs w:val="32"/>
        </w:rPr>
        <w:t>使用的资金</w:t>
      </w:r>
      <w:r>
        <w:rPr>
          <w:rFonts w:hint="eastAsia" w:ascii="仿宋" w:hAnsi="仿宋" w:eastAsia="仿宋" w:cs="仿宋"/>
          <w:spacing w:val="-16"/>
          <w:sz w:val="32"/>
          <w:szCs w:val="32"/>
        </w:rPr>
        <w:t>。</w:t>
      </w:r>
    </w:p>
    <w:p>
      <w:pPr>
        <w:spacing w:before="258" w:line="350" w:lineRule="auto"/>
        <w:ind w:right="138" w:firstLine="620" w:firstLineChars="200"/>
        <w:rPr>
          <w:rFonts w:hint="eastAsia" w:ascii="仿宋" w:hAnsi="仿宋" w:eastAsia="仿宋" w:cs="仿宋"/>
          <w:spacing w:val="-16"/>
          <w:sz w:val="32"/>
          <w:szCs w:val="32"/>
        </w:rPr>
        <w:sectPr>
          <w:footerReference r:id="rId4" w:type="default"/>
          <w:pgSz w:w="11906" w:h="16839"/>
          <w:pgMar w:top="1431" w:right="607" w:bottom="1168" w:left="1160" w:header="0" w:footer="990" w:gutter="0"/>
          <w:cols w:space="720" w:num="1"/>
        </w:sectPr>
      </w:pPr>
      <w:r>
        <w:rPr>
          <w:rFonts w:ascii="仿宋" w:hAnsi="仿宋" w:eastAsia="仿宋" w:cs="仿宋"/>
          <w:spacing w:val="-5"/>
          <w:sz w:val="32"/>
          <w:szCs w:val="32"/>
        </w:rPr>
        <w:t>6．基本支出：指为保障机构正常运转、完成日常工作任务而发生的支出，包括人员经费和公用经费</w:t>
      </w:r>
      <w:r>
        <w:rPr>
          <w:rFonts w:hint="eastAsia" w:ascii="仿宋" w:hAnsi="仿宋" w:eastAsia="仿宋" w:cs="仿宋"/>
          <w:spacing w:val="-5"/>
          <w:sz w:val="32"/>
          <w:szCs w:val="32"/>
        </w:rPr>
        <w:t>。</w:t>
      </w:r>
    </w:p>
    <w:p>
      <w:pPr>
        <w:spacing w:before="49" w:line="296" w:lineRule="auto"/>
        <w:ind w:right="48"/>
        <w:rPr>
          <w:rFonts w:hint="eastAsia" w:ascii="仿宋" w:hAnsi="仿宋" w:eastAsia="仿宋" w:cs="仿宋"/>
          <w:sz w:val="32"/>
          <w:szCs w:val="32"/>
        </w:rPr>
      </w:pPr>
    </w:p>
    <w:p>
      <w:pPr>
        <w:numPr>
          <w:ilvl w:val="0"/>
          <w:numId w:val="2"/>
        </w:numPr>
        <w:spacing w:before="251" w:line="296" w:lineRule="auto"/>
        <w:ind w:left="18" w:right="48" w:firstLine="834"/>
        <w:rPr>
          <w:rFonts w:hint="eastAsia" w:ascii="仿宋" w:hAnsi="仿宋" w:eastAsia="仿宋" w:cs="仿宋"/>
          <w:spacing w:val="-16"/>
          <w:sz w:val="32"/>
          <w:szCs w:val="32"/>
        </w:rPr>
      </w:pPr>
      <w:r>
        <w:rPr>
          <w:rFonts w:ascii="仿宋" w:hAnsi="仿宋" w:eastAsia="仿宋" w:cs="仿宋"/>
          <w:spacing w:val="-5"/>
          <w:sz w:val="32"/>
          <w:szCs w:val="32"/>
        </w:rPr>
        <w:t>项目支出：指在为完成特定的工作任务和事业发展目标所发生</w:t>
      </w:r>
      <w:r>
        <w:rPr>
          <w:rFonts w:ascii="仿宋" w:hAnsi="仿宋" w:eastAsia="仿宋" w:cs="仿宋"/>
          <w:spacing w:val="-16"/>
          <w:sz w:val="32"/>
          <w:szCs w:val="32"/>
        </w:rPr>
        <w:t>的支出。</w:t>
      </w:r>
    </w:p>
    <w:p>
      <w:pPr>
        <w:spacing w:before="170" w:line="319" w:lineRule="auto"/>
        <w:ind w:right="138" w:firstLine="620" w:firstLineChars="200"/>
        <w:rPr>
          <w:rFonts w:hint="eastAsia" w:ascii="仿宋" w:hAnsi="仿宋" w:eastAsia="仿宋" w:cs="仿宋"/>
          <w:spacing w:val="-16"/>
          <w:sz w:val="32"/>
          <w:szCs w:val="32"/>
        </w:rPr>
      </w:pPr>
      <w:r>
        <w:rPr>
          <w:rFonts w:hint="eastAsia" w:ascii="仿宋" w:hAnsi="仿宋" w:eastAsia="仿宋" w:cs="仿宋"/>
          <w:spacing w:val="-5"/>
          <w:sz w:val="32"/>
          <w:szCs w:val="32"/>
        </w:rPr>
        <w:t>8.</w:t>
      </w:r>
      <w:r>
        <w:rPr>
          <w:rFonts w:ascii="仿宋" w:hAnsi="仿宋" w:eastAsia="仿宋" w:cs="仿宋"/>
          <w:spacing w:val="-5"/>
          <w:sz w:val="32"/>
          <w:szCs w:val="32"/>
        </w:rPr>
        <w:t>社会保障和就业支出（类）行政事业单位养老支出（款）机关</w:t>
      </w:r>
      <w:r>
        <w:rPr>
          <w:rFonts w:ascii="仿宋" w:hAnsi="仿宋" w:eastAsia="仿宋" w:cs="仿宋"/>
          <w:spacing w:val="1"/>
          <w:sz w:val="32"/>
          <w:szCs w:val="32"/>
        </w:rPr>
        <w:t>事业单位基本养老保险缴费支出（项</w:t>
      </w:r>
      <w:r>
        <w:rPr>
          <w:rFonts w:ascii="仿宋" w:hAnsi="仿宋" w:eastAsia="仿宋" w:cs="仿宋"/>
          <w:spacing w:val="24"/>
          <w:sz w:val="32"/>
          <w:szCs w:val="32"/>
        </w:rPr>
        <w:t>）</w:t>
      </w:r>
      <w:r>
        <w:rPr>
          <w:rFonts w:hint="eastAsia" w:ascii="仿宋" w:hAnsi="仿宋" w:eastAsia="仿宋" w:cs="仿宋"/>
          <w:spacing w:val="24"/>
          <w:sz w:val="32"/>
          <w:szCs w:val="32"/>
        </w:rPr>
        <w:t>：</w:t>
      </w:r>
      <w:r>
        <w:rPr>
          <w:rFonts w:ascii="仿宋" w:hAnsi="仿宋" w:eastAsia="仿宋" w:cs="仿宋"/>
          <w:spacing w:val="1"/>
          <w:sz w:val="32"/>
          <w:szCs w:val="32"/>
        </w:rPr>
        <w:t>反映机关事业单位实施养老保</w:t>
      </w:r>
      <w:r>
        <w:rPr>
          <w:rFonts w:ascii="仿宋" w:hAnsi="仿宋" w:eastAsia="仿宋" w:cs="仿宋"/>
          <w:spacing w:val="-4"/>
          <w:sz w:val="32"/>
          <w:szCs w:val="32"/>
        </w:rPr>
        <w:t>险制度由单位缴纳的基本养老保险费支出。</w:t>
      </w:r>
    </w:p>
    <w:p>
      <w:pPr>
        <w:spacing w:before="255" w:line="331" w:lineRule="auto"/>
        <w:ind w:firstLine="532" w:firstLineChars="200"/>
        <w:rPr>
          <w:rFonts w:hint="eastAsia" w:ascii="仿宋" w:hAnsi="仿宋" w:eastAsia="仿宋" w:cs="仿宋"/>
          <w:sz w:val="32"/>
          <w:szCs w:val="32"/>
        </w:rPr>
      </w:pPr>
      <w:r>
        <w:rPr>
          <w:rFonts w:ascii="仿宋" w:hAnsi="仿宋" w:eastAsia="仿宋" w:cs="仿宋"/>
          <w:spacing w:val="-27"/>
          <w:sz w:val="32"/>
          <w:szCs w:val="32"/>
        </w:rPr>
        <w:t>9．卫生健康支出（类）行政事业单位医疗（款）行政单位医疗（项</w:t>
      </w:r>
      <w:r>
        <w:rPr>
          <w:rFonts w:ascii="仿宋" w:hAnsi="仿宋" w:eastAsia="仿宋" w:cs="仿宋"/>
          <w:spacing w:val="-61"/>
          <w:sz w:val="32"/>
          <w:szCs w:val="32"/>
        </w:rPr>
        <w:t>）：</w:t>
      </w:r>
      <w:r>
        <w:rPr>
          <w:rFonts w:ascii="仿宋" w:hAnsi="仿宋" w:eastAsia="仿宋" w:cs="仿宋"/>
          <w:spacing w:val="1"/>
          <w:sz w:val="32"/>
          <w:szCs w:val="32"/>
        </w:rPr>
        <w:t xml:space="preserve"> </w:t>
      </w:r>
      <w:r>
        <w:rPr>
          <w:rFonts w:ascii="仿宋" w:hAnsi="仿宋" w:eastAsia="仿宋" w:cs="仿宋"/>
          <w:spacing w:val="-10"/>
          <w:sz w:val="32"/>
          <w:szCs w:val="32"/>
        </w:rPr>
        <w:t>反映财政部门安排的行政单位（包括实行公务员管理的事业单位，下同）</w:t>
      </w:r>
      <w:r>
        <w:rPr>
          <w:rFonts w:ascii="仿宋" w:hAnsi="仿宋" w:eastAsia="仿宋" w:cs="仿宋"/>
          <w:sz w:val="32"/>
          <w:szCs w:val="32"/>
        </w:rPr>
        <w:t xml:space="preserve"> 基本医疗保险缴费经费，未参加医疗保险的行政单位的公费医疗经费，</w:t>
      </w:r>
      <w:r>
        <w:rPr>
          <w:rFonts w:ascii="仿宋" w:hAnsi="仿宋" w:eastAsia="仿宋" w:cs="仿宋"/>
          <w:spacing w:val="-2"/>
          <w:sz w:val="32"/>
          <w:szCs w:val="32"/>
        </w:rPr>
        <w:t>按国家规定享受离休人员、红军老战士待遇人员的医疗</w:t>
      </w:r>
      <w:r>
        <w:rPr>
          <w:rFonts w:ascii="仿宋" w:hAnsi="仿宋" w:eastAsia="仿宋" w:cs="仿宋"/>
          <w:spacing w:val="-3"/>
          <w:sz w:val="32"/>
          <w:szCs w:val="32"/>
        </w:rPr>
        <w:t>经费。</w:t>
      </w:r>
    </w:p>
    <w:p>
      <w:pPr>
        <w:spacing w:before="257" w:line="319" w:lineRule="auto"/>
        <w:ind w:right="50" w:firstLine="612" w:firstLineChars="200"/>
        <w:rPr>
          <w:rFonts w:hint="eastAsia" w:ascii="仿宋" w:hAnsi="仿宋" w:eastAsia="仿宋" w:cs="仿宋"/>
          <w:sz w:val="32"/>
          <w:szCs w:val="32"/>
        </w:rPr>
      </w:pPr>
      <w:r>
        <w:rPr>
          <w:rFonts w:hint="eastAsia" w:ascii="仿宋" w:hAnsi="仿宋" w:eastAsia="仿宋" w:cs="仿宋"/>
          <w:spacing w:val="-7"/>
          <w:sz w:val="32"/>
          <w:szCs w:val="32"/>
        </w:rPr>
        <w:t>1</w:t>
      </w:r>
      <w:r>
        <w:rPr>
          <w:rFonts w:ascii="仿宋" w:hAnsi="仿宋" w:eastAsia="仿宋" w:cs="仿宋"/>
          <w:spacing w:val="-7"/>
          <w:sz w:val="32"/>
          <w:szCs w:val="32"/>
        </w:rPr>
        <w:t>0．城乡社区支出（类）城乡社区管理事务（款</w:t>
      </w:r>
      <w:r>
        <w:rPr>
          <w:rFonts w:ascii="仿宋" w:hAnsi="仿宋" w:eastAsia="仿宋" w:cs="仿宋"/>
          <w:spacing w:val="-8"/>
          <w:sz w:val="32"/>
          <w:szCs w:val="32"/>
        </w:rPr>
        <w:t>）行政运行（项</w:t>
      </w:r>
      <w:r>
        <w:rPr>
          <w:rFonts w:ascii="仿宋" w:hAnsi="仿宋" w:eastAsia="仿宋" w:cs="仿宋"/>
          <w:spacing w:val="-69"/>
          <w:sz w:val="32"/>
          <w:szCs w:val="32"/>
        </w:rPr>
        <w:t>）：</w:t>
      </w:r>
      <w:r>
        <w:rPr>
          <w:rFonts w:ascii="仿宋" w:hAnsi="仿宋" w:eastAsia="仿宋" w:cs="仿宋"/>
          <w:sz w:val="32"/>
          <w:szCs w:val="32"/>
        </w:rPr>
        <w:t xml:space="preserve"> </w:t>
      </w:r>
      <w:r>
        <w:rPr>
          <w:rFonts w:ascii="仿宋" w:hAnsi="仿宋" w:eastAsia="仿宋" w:cs="仿宋"/>
          <w:spacing w:val="8"/>
          <w:sz w:val="32"/>
          <w:szCs w:val="32"/>
        </w:rPr>
        <w:t>反映行政单位（包括实行公务员管理的事业</w:t>
      </w:r>
      <w:r>
        <w:rPr>
          <w:rFonts w:ascii="仿宋" w:hAnsi="仿宋" w:eastAsia="仿宋" w:cs="仿宋"/>
          <w:spacing w:val="7"/>
          <w:sz w:val="32"/>
          <w:szCs w:val="32"/>
        </w:rPr>
        <w:t>单位）未单独设置项级科</w:t>
      </w:r>
      <w:r>
        <w:rPr>
          <w:rFonts w:ascii="仿宋" w:hAnsi="仿宋" w:eastAsia="仿宋" w:cs="仿宋"/>
          <w:spacing w:val="-7"/>
          <w:sz w:val="32"/>
          <w:szCs w:val="32"/>
        </w:rPr>
        <w:t>目的其他项目支出。</w:t>
      </w:r>
    </w:p>
    <w:p>
      <w:pPr>
        <w:spacing w:before="253" w:line="319" w:lineRule="auto"/>
        <w:ind w:right="138" w:firstLine="624" w:firstLineChars="200"/>
        <w:rPr>
          <w:rFonts w:hint="eastAsia" w:ascii="仿宋" w:hAnsi="仿宋" w:eastAsia="仿宋" w:cs="仿宋"/>
          <w:sz w:val="32"/>
          <w:szCs w:val="32"/>
        </w:rPr>
      </w:pPr>
      <w:r>
        <w:rPr>
          <w:rFonts w:hint="eastAsia" w:ascii="仿宋" w:hAnsi="仿宋" w:eastAsia="仿宋" w:cs="仿宋"/>
          <w:spacing w:val="-4"/>
          <w:sz w:val="32"/>
          <w:szCs w:val="32"/>
        </w:rPr>
        <w:t>1</w:t>
      </w:r>
      <w:r>
        <w:rPr>
          <w:rFonts w:ascii="仿宋" w:hAnsi="仿宋" w:eastAsia="仿宋" w:cs="仿宋"/>
          <w:spacing w:val="-4"/>
          <w:sz w:val="32"/>
          <w:szCs w:val="32"/>
        </w:rPr>
        <w:t>1．城乡社区支出（类）城乡社区管理事务（款）一般行政管理事</w:t>
      </w:r>
      <w:r>
        <w:rPr>
          <w:rFonts w:ascii="仿宋" w:hAnsi="仿宋" w:eastAsia="仿宋" w:cs="仿宋"/>
          <w:spacing w:val="11"/>
          <w:sz w:val="32"/>
          <w:szCs w:val="32"/>
        </w:rPr>
        <w:t>务（项</w:t>
      </w:r>
      <w:r>
        <w:rPr>
          <w:rFonts w:ascii="仿宋" w:hAnsi="仿宋" w:eastAsia="仿宋" w:cs="仿宋"/>
          <w:sz w:val="32"/>
          <w:szCs w:val="32"/>
        </w:rPr>
        <w:t>）</w:t>
      </w:r>
      <w:r>
        <w:rPr>
          <w:rFonts w:ascii="仿宋" w:hAnsi="仿宋" w:eastAsia="仿宋" w:cs="仿宋"/>
          <w:spacing w:val="-87"/>
          <w:sz w:val="32"/>
          <w:szCs w:val="32"/>
        </w:rPr>
        <w:t xml:space="preserve"> </w:t>
      </w:r>
      <w:r>
        <w:rPr>
          <w:rFonts w:ascii="仿宋" w:hAnsi="仿宋" w:eastAsia="仿宋" w:cs="仿宋"/>
          <w:sz w:val="32"/>
          <w:szCs w:val="32"/>
        </w:rPr>
        <w:t>：</w:t>
      </w:r>
      <w:r>
        <w:rPr>
          <w:rFonts w:ascii="仿宋" w:hAnsi="仿宋" w:eastAsia="仿宋" w:cs="仿宋"/>
          <w:spacing w:val="11"/>
          <w:sz w:val="32"/>
          <w:szCs w:val="32"/>
        </w:rPr>
        <w:t>反映为行政单位（包括实行公务员管理的事业单位）提供</w:t>
      </w:r>
      <w:r>
        <w:rPr>
          <w:rFonts w:ascii="仿宋" w:hAnsi="仿宋" w:eastAsia="仿宋" w:cs="仿宋"/>
          <w:spacing w:val="-3"/>
          <w:sz w:val="32"/>
          <w:szCs w:val="32"/>
        </w:rPr>
        <w:t>后勤服务的各类后勤服务中心、医务室等附属事业单位的支出。</w:t>
      </w:r>
    </w:p>
    <w:p>
      <w:pPr>
        <w:spacing w:before="255" w:line="320" w:lineRule="auto"/>
        <w:ind w:right="138" w:firstLine="624" w:firstLineChars="200"/>
        <w:rPr>
          <w:rFonts w:hint="eastAsia" w:ascii="仿宋" w:hAnsi="仿宋" w:eastAsia="仿宋" w:cs="仿宋"/>
          <w:sz w:val="32"/>
          <w:szCs w:val="32"/>
        </w:rPr>
      </w:pPr>
      <w:r>
        <w:rPr>
          <w:rFonts w:hint="eastAsia" w:ascii="仿宋" w:hAnsi="仿宋" w:eastAsia="仿宋" w:cs="仿宋"/>
          <w:spacing w:val="-4"/>
          <w:sz w:val="32"/>
          <w:szCs w:val="32"/>
        </w:rPr>
        <w:t>1</w:t>
      </w:r>
      <w:r>
        <w:rPr>
          <w:rFonts w:ascii="仿宋" w:hAnsi="仿宋" w:eastAsia="仿宋" w:cs="仿宋"/>
          <w:spacing w:val="-4"/>
          <w:sz w:val="32"/>
          <w:szCs w:val="32"/>
        </w:rPr>
        <w:t>2．城乡社区支出（类）城乡社区公共设施（款）其他城乡社区公</w:t>
      </w:r>
      <w:r>
        <w:rPr>
          <w:rFonts w:ascii="仿宋" w:hAnsi="仿宋" w:eastAsia="仿宋" w:cs="仿宋"/>
          <w:spacing w:val="1"/>
          <w:sz w:val="32"/>
          <w:szCs w:val="32"/>
        </w:rPr>
        <w:t>共设施支出（项</w:t>
      </w:r>
      <w:r>
        <w:rPr>
          <w:rFonts w:ascii="仿宋" w:hAnsi="仿宋" w:eastAsia="仿宋" w:cs="仿宋"/>
          <w:spacing w:val="21"/>
          <w:sz w:val="32"/>
          <w:szCs w:val="32"/>
        </w:rPr>
        <w:t>）</w:t>
      </w:r>
      <w:r>
        <w:rPr>
          <w:rFonts w:hint="eastAsia" w:ascii="仿宋" w:hAnsi="仿宋" w:eastAsia="仿宋" w:cs="仿宋"/>
          <w:spacing w:val="21"/>
          <w:sz w:val="32"/>
          <w:szCs w:val="32"/>
        </w:rPr>
        <w:t>：</w:t>
      </w:r>
      <w:r>
        <w:rPr>
          <w:rFonts w:ascii="仿宋" w:hAnsi="仿宋" w:eastAsia="仿宋" w:cs="仿宋"/>
          <w:spacing w:val="1"/>
          <w:sz w:val="32"/>
          <w:szCs w:val="32"/>
        </w:rPr>
        <w:t>反映除上述项目以外其他用于城乡社区公共设施方</w:t>
      </w:r>
      <w:r>
        <w:rPr>
          <w:rFonts w:ascii="仿宋" w:hAnsi="仿宋" w:eastAsia="仿宋" w:cs="仿宋"/>
          <w:spacing w:val="-14"/>
          <w:sz w:val="32"/>
          <w:szCs w:val="32"/>
        </w:rPr>
        <w:t>面的</w:t>
      </w:r>
      <w:r>
        <w:rPr>
          <w:rFonts w:ascii="仿宋" w:hAnsi="仿宋" w:eastAsia="仿宋" w:cs="仿宋"/>
          <w:spacing w:val="21"/>
          <w:sz w:val="32"/>
          <w:szCs w:val="32"/>
        </w:rPr>
        <w:t xml:space="preserve"> </w:t>
      </w:r>
      <w:r>
        <w:rPr>
          <w:rFonts w:ascii="仿宋" w:hAnsi="仿宋" w:eastAsia="仿宋" w:cs="仿宋"/>
          <w:spacing w:val="-14"/>
          <w:sz w:val="32"/>
          <w:szCs w:val="32"/>
        </w:rPr>
        <w:t>支出。</w:t>
      </w:r>
    </w:p>
    <w:p>
      <w:pPr>
        <w:ind w:firstLine="624" w:firstLineChars="200"/>
        <w:rPr>
          <w:rFonts w:hint="eastAsia" w:ascii="仿宋" w:hAnsi="仿宋" w:eastAsia="仿宋" w:cs="仿宋"/>
          <w:spacing w:val="-16"/>
          <w:sz w:val="32"/>
          <w:szCs w:val="32"/>
        </w:rPr>
        <w:sectPr>
          <w:footerReference r:id="rId5" w:type="default"/>
          <w:pgSz w:w="11906" w:h="16839"/>
          <w:pgMar w:top="1431" w:right="697" w:bottom="1169" w:left="1161" w:header="0" w:footer="990" w:gutter="0"/>
          <w:cols w:space="720" w:num="1"/>
        </w:sectPr>
      </w:pPr>
      <w:r>
        <w:rPr>
          <w:rFonts w:hint="eastAsia" w:ascii="仿宋" w:hAnsi="仿宋" w:eastAsia="仿宋" w:cs="仿宋"/>
          <w:spacing w:val="-4"/>
          <w:sz w:val="32"/>
          <w:szCs w:val="32"/>
        </w:rPr>
        <w:t>1</w:t>
      </w:r>
      <w:r>
        <w:rPr>
          <w:rFonts w:ascii="仿宋" w:hAnsi="仿宋" w:eastAsia="仿宋" w:cs="仿宋"/>
          <w:spacing w:val="-4"/>
          <w:sz w:val="32"/>
          <w:szCs w:val="32"/>
        </w:rPr>
        <w:t>3．城乡社区支出（类）城乡社区环境卫生（款）城乡社区环境卫</w:t>
      </w:r>
      <w:r>
        <w:rPr>
          <w:rFonts w:ascii="仿宋" w:hAnsi="仿宋" w:eastAsia="仿宋" w:cs="仿宋"/>
          <w:spacing w:val="11"/>
          <w:sz w:val="32"/>
          <w:szCs w:val="32"/>
        </w:rPr>
        <w:t>生（项</w:t>
      </w:r>
      <w:r>
        <w:rPr>
          <w:rFonts w:ascii="仿宋" w:hAnsi="仿宋" w:eastAsia="仿宋" w:cs="仿宋"/>
          <w:spacing w:val="1"/>
          <w:sz w:val="32"/>
          <w:szCs w:val="32"/>
        </w:rPr>
        <w:t>）</w:t>
      </w:r>
      <w:r>
        <w:rPr>
          <w:rFonts w:ascii="仿宋" w:hAnsi="仿宋" w:eastAsia="仿宋" w:cs="仿宋"/>
          <w:spacing w:val="-86"/>
          <w:sz w:val="32"/>
          <w:szCs w:val="32"/>
        </w:rPr>
        <w:t xml:space="preserve"> </w:t>
      </w:r>
      <w:r>
        <w:rPr>
          <w:rFonts w:ascii="仿宋" w:hAnsi="仿宋" w:eastAsia="仿宋" w:cs="仿宋"/>
          <w:spacing w:val="1"/>
          <w:sz w:val="32"/>
          <w:szCs w:val="32"/>
        </w:rPr>
        <w:t>：</w:t>
      </w:r>
      <w:r>
        <w:rPr>
          <w:rFonts w:ascii="仿宋" w:hAnsi="仿宋" w:eastAsia="仿宋" w:cs="仿宋"/>
          <w:spacing w:val="11"/>
          <w:sz w:val="32"/>
          <w:szCs w:val="32"/>
        </w:rPr>
        <w:t>反映城乡社区道路清扫、垃圾清运与处理、公厕建设与维</w:t>
      </w:r>
      <w:r>
        <w:rPr>
          <w:rFonts w:ascii="仿宋" w:hAnsi="仿宋" w:eastAsia="仿宋" w:cs="仿宋"/>
          <w:spacing w:val="-5"/>
          <w:sz w:val="32"/>
          <w:szCs w:val="32"/>
        </w:rPr>
        <w:t>护、园林绿化等方面的支出</w:t>
      </w:r>
      <w:r>
        <w:rPr>
          <w:rFonts w:hint="eastAsia" w:ascii="仿宋" w:hAnsi="仿宋" w:eastAsia="仿宋" w:cs="仿宋"/>
          <w:spacing w:val="-5"/>
          <w:sz w:val="32"/>
          <w:szCs w:val="32"/>
        </w:rPr>
        <w:t>。</w:t>
      </w:r>
    </w:p>
    <w:p>
      <w:pPr>
        <w:pStyle w:val="18"/>
        <w:jc w:val="both"/>
        <w:rPr>
          <w:sz w:val="72"/>
          <w:szCs w:val="72"/>
        </w:rPr>
      </w:pPr>
    </w:p>
    <w:p>
      <w:pPr>
        <w:pStyle w:val="18"/>
        <w:jc w:val="center"/>
        <w:rPr>
          <w:sz w:val="72"/>
          <w:szCs w:val="72"/>
        </w:rPr>
      </w:pPr>
    </w:p>
    <w:p>
      <w:pPr>
        <w:pStyle w:val="18"/>
        <w:jc w:val="center"/>
        <w:rPr>
          <w:sz w:val="72"/>
          <w:szCs w:val="72"/>
        </w:rPr>
      </w:pPr>
    </w:p>
    <w:p>
      <w:pP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第五部分</w:t>
      </w:r>
    </w:p>
    <w:p>
      <w:pPr>
        <w:pStyle w:val="18"/>
        <w:jc w:val="center"/>
        <w:rPr>
          <w:sz w:val="72"/>
          <w:szCs w:val="72"/>
        </w:rPr>
      </w:pPr>
      <w:r>
        <w:rPr>
          <w:rFonts w:hint="eastAsia" w:ascii="方正小标宋_GBK" w:hAnsi="方正小标宋_GBK" w:eastAsia="方正小标宋_GBK" w:cs="方正小标宋_GBK"/>
          <w:sz w:val="70"/>
          <w:szCs w:val="70"/>
        </w:rPr>
        <w:t>附 件</w:t>
      </w:r>
    </w:p>
    <w:p>
      <w:pPr>
        <w:rPr>
          <w:sz w:val="72"/>
          <w:szCs w:val="72"/>
        </w:rPr>
      </w:pPr>
      <w:r>
        <w:rPr>
          <w:sz w:val="72"/>
          <w:szCs w:val="72"/>
        </w:rPr>
        <w:br w:type="page"/>
      </w:r>
    </w:p>
    <w:p>
      <w:pPr>
        <w:jc w:val="left"/>
        <w:rPr>
          <w:rFonts w:hint="eastAsia" w:cs="黑体" w:asciiTheme="minorEastAsia" w:hAnsiTheme="minorEastAsia" w:eastAsiaTheme="minorEastAsia"/>
          <w:color w:val="000000"/>
          <w:kern w:val="0"/>
          <w:sz w:val="32"/>
          <w:szCs w:val="32"/>
          <w:lang w:val="en-US" w:eastAsia="zh-CN"/>
        </w:rPr>
      </w:pPr>
      <w:r>
        <w:rPr>
          <w:rFonts w:hint="eastAsia" w:cs="黑体" w:asciiTheme="minorEastAsia" w:hAnsiTheme="minorEastAsia"/>
          <w:color w:val="000000"/>
          <w:kern w:val="0"/>
          <w:sz w:val="32"/>
          <w:szCs w:val="32"/>
          <w:lang w:val="en-US" w:eastAsia="zh-CN"/>
        </w:rPr>
        <w:t>1、2025年度道县城市环境卫生和园林绿化服务中心整体支出绩效自评报告</w:t>
      </w:r>
    </w:p>
    <w:sectPr>
      <w:footerReference r:id="rId6" w:type="default"/>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991"/>
      <w:rPr>
        <w:rFonts w:hint="eastAsia" w:ascii="黑体" w:hAnsi="黑体" w:eastAsia="黑体" w:cs="黑体"/>
        <w:sz w:val="18"/>
        <w:szCs w:val="18"/>
      </w:rPr>
    </w:pPr>
    <w:r>
      <w:rPr>
        <w:rFonts w:ascii="黑体" w:hAnsi="黑体" w:eastAsia="黑体" w:cs="黑体"/>
        <w:spacing w:val="-3"/>
        <w:sz w:val="18"/>
        <w:szCs w:val="18"/>
      </w:rPr>
      <w:t>-</w:t>
    </w:r>
    <w:r>
      <w:rPr>
        <w:rFonts w:ascii="黑体" w:hAnsi="黑体" w:eastAsia="黑体" w:cs="黑体"/>
        <w:spacing w:val="4"/>
        <w:sz w:val="18"/>
        <w:szCs w:val="18"/>
      </w:rPr>
      <w:t xml:space="preserve"> </w:t>
    </w:r>
    <w:r>
      <w:rPr>
        <w:rFonts w:ascii="黑体" w:hAnsi="黑体" w:eastAsia="黑体" w:cs="黑体"/>
        <w:spacing w:val="-3"/>
        <w:sz w:val="18"/>
        <w:szCs w:val="18"/>
      </w:rPr>
      <w:t>5</w:t>
    </w:r>
    <w:r>
      <w:rPr>
        <w:rFonts w:ascii="黑体" w:hAnsi="黑体" w:eastAsia="黑体" w:cs="黑体"/>
        <w:spacing w:val="3"/>
        <w:sz w:val="18"/>
        <w:szCs w:val="18"/>
      </w:rPr>
      <w:t xml:space="preserve"> </w:t>
    </w:r>
    <w:r>
      <w:rPr>
        <w:rFonts w:ascii="黑体" w:hAnsi="黑体" w:eastAsia="黑体" w:cs="黑体"/>
        <w:spacing w:val="-3"/>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4513"/>
      <w:rPr>
        <w:rFonts w:hint="eastAsia" w:ascii="黑体" w:hAnsi="黑体" w:eastAsia="黑体" w:cs="黑体"/>
        <w:sz w:val="18"/>
        <w:szCs w:val="18"/>
      </w:rPr>
    </w:pPr>
    <w:r>
      <w:rPr>
        <w:rFonts w:ascii="黑体" w:hAnsi="黑体" w:eastAsia="黑体" w:cs="黑体"/>
        <w:spacing w:val="-5"/>
        <w:sz w:val="18"/>
        <w:szCs w:val="18"/>
      </w:rPr>
      <w:t>-</w:t>
    </w:r>
    <w:r>
      <w:rPr>
        <w:rFonts w:ascii="黑体" w:hAnsi="黑体" w:eastAsia="黑体" w:cs="黑体"/>
        <w:spacing w:val="16"/>
        <w:sz w:val="18"/>
        <w:szCs w:val="18"/>
      </w:rPr>
      <w:t xml:space="preserve"> </w:t>
    </w:r>
    <w:r>
      <w:rPr>
        <w:rFonts w:ascii="黑体" w:hAnsi="黑体" w:eastAsia="黑体" w:cs="黑体"/>
        <w:spacing w:val="-5"/>
        <w:sz w:val="18"/>
        <w:szCs w:val="18"/>
      </w:rPr>
      <w:t>19</w:t>
    </w:r>
    <w:r>
      <w:rPr>
        <w:rFonts w:ascii="黑体" w:hAnsi="黑体" w:eastAsia="黑体" w:cs="黑体"/>
        <w:spacing w:val="3"/>
        <w:sz w:val="18"/>
        <w:szCs w:val="18"/>
      </w:rPr>
      <w:t xml:space="preserve"> </w:t>
    </w:r>
    <w:r>
      <w:rPr>
        <w:rFonts w:ascii="黑体" w:hAnsi="黑体" w:eastAsia="黑体" w:cs="黑体"/>
        <w:spacing w:val="-5"/>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ind w:left="4512"/>
      <w:rPr>
        <w:rFonts w:hint="eastAsia" w:ascii="黑体" w:hAnsi="黑体" w:eastAsia="黑体" w:cs="黑体"/>
        <w:sz w:val="18"/>
        <w:szCs w:val="18"/>
      </w:rPr>
    </w:pPr>
    <w:r>
      <w:rPr>
        <w:rFonts w:ascii="黑体" w:hAnsi="黑体" w:eastAsia="黑体" w:cs="黑体"/>
        <w:spacing w:val="-3"/>
        <w:sz w:val="18"/>
        <w:szCs w:val="18"/>
      </w:rPr>
      <w:t>-</w:t>
    </w:r>
    <w:r>
      <w:rPr>
        <w:rFonts w:ascii="黑体" w:hAnsi="黑体" w:eastAsia="黑体" w:cs="黑体"/>
        <w:spacing w:val="7"/>
        <w:sz w:val="18"/>
        <w:szCs w:val="18"/>
      </w:rPr>
      <w:t xml:space="preserve"> </w:t>
    </w:r>
    <w:r>
      <w:rPr>
        <w:rFonts w:ascii="黑体" w:hAnsi="黑体" w:eastAsia="黑体" w:cs="黑体"/>
        <w:spacing w:val="-3"/>
        <w:sz w:val="18"/>
        <w:szCs w:val="18"/>
      </w:rPr>
      <w:t>20</w:t>
    </w:r>
    <w:r>
      <w:rPr>
        <w:rFonts w:ascii="黑体" w:hAnsi="黑体" w:eastAsia="黑体" w:cs="黑体"/>
        <w:spacing w:val="4"/>
        <w:sz w:val="18"/>
        <w:szCs w:val="18"/>
      </w:rPr>
      <w:t xml:space="preserve"> </w:t>
    </w:r>
    <w:r>
      <w:rPr>
        <w:rFonts w:ascii="黑体" w:hAnsi="黑体" w:eastAsia="黑体" w:cs="黑体"/>
        <w:spacing w:val="-3"/>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ind w:left="4521"/>
      <w:rPr>
        <w:rFonts w:hint="eastAsia" w:ascii="黑体" w:hAnsi="黑体" w:eastAsia="黑体" w:cs="黑体"/>
        <w:sz w:val="18"/>
        <w:szCs w:val="18"/>
      </w:rPr>
    </w:pPr>
    <w:r>
      <w:rPr>
        <w:rFonts w:ascii="黑体" w:hAnsi="黑体" w:eastAsia="黑体" w:cs="黑体"/>
        <w:spacing w:val="-5"/>
        <w:sz w:val="18"/>
        <w:szCs w:val="18"/>
      </w:rPr>
      <w:t>-</w:t>
    </w:r>
    <w:r>
      <w:rPr>
        <w:rFonts w:ascii="黑体" w:hAnsi="黑体" w:eastAsia="黑体" w:cs="黑体"/>
        <w:spacing w:val="16"/>
        <w:sz w:val="18"/>
        <w:szCs w:val="18"/>
      </w:rPr>
      <w:t xml:space="preserve"> </w:t>
    </w:r>
    <w:r>
      <w:rPr>
        <w:rFonts w:ascii="黑体" w:hAnsi="黑体" w:eastAsia="黑体" w:cs="黑体"/>
        <w:spacing w:val="-5"/>
        <w:sz w:val="18"/>
        <w:szCs w:val="18"/>
      </w:rPr>
      <w:t>12</w:t>
    </w:r>
    <w:r>
      <w:rPr>
        <w:rFonts w:ascii="黑体" w:hAnsi="黑体" w:eastAsia="黑体" w:cs="黑体"/>
        <w:spacing w:val="3"/>
        <w:sz w:val="18"/>
        <w:szCs w:val="18"/>
      </w:rPr>
      <w:t xml:space="preserve"> </w:t>
    </w:r>
    <w:r>
      <w:rPr>
        <w:rFonts w:ascii="黑体" w:hAnsi="黑体" w:eastAsia="黑体" w:cs="黑体"/>
        <w:spacing w:val="-5"/>
        <w:sz w:val="18"/>
        <w:szCs w:val="1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831F88"/>
    <w:multiLevelType w:val="singleLevel"/>
    <w:tmpl w:val="2B831F88"/>
    <w:lvl w:ilvl="0" w:tentative="0">
      <w:start w:val="1"/>
      <w:numFmt w:val="chineseCounting"/>
      <w:suff w:val="nothing"/>
      <w:lvlText w:val="%1、"/>
      <w:lvlJc w:val="left"/>
      <w:rPr>
        <w:rFonts w:hint="eastAsia"/>
      </w:rPr>
    </w:lvl>
  </w:abstractNum>
  <w:abstractNum w:abstractNumId="1">
    <w:nsid w:val="6A422045"/>
    <w:multiLevelType w:val="singleLevel"/>
    <w:tmpl w:val="6A422045"/>
    <w:lvl w:ilvl="0" w:tentative="0">
      <w:start w:val="7"/>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17B7"/>
    <w:rsid w:val="0002229B"/>
    <w:rsid w:val="000273BD"/>
    <w:rsid w:val="000278E3"/>
    <w:rsid w:val="00036ADA"/>
    <w:rsid w:val="00040CBC"/>
    <w:rsid w:val="000415B7"/>
    <w:rsid w:val="00041E3F"/>
    <w:rsid w:val="00055DAA"/>
    <w:rsid w:val="00061F7B"/>
    <w:rsid w:val="0006537A"/>
    <w:rsid w:val="00065755"/>
    <w:rsid w:val="000658A3"/>
    <w:rsid w:val="00074155"/>
    <w:rsid w:val="000765EA"/>
    <w:rsid w:val="00086369"/>
    <w:rsid w:val="000A3F69"/>
    <w:rsid w:val="000B5E8E"/>
    <w:rsid w:val="000C1E27"/>
    <w:rsid w:val="000C2406"/>
    <w:rsid w:val="000E3BFE"/>
    <w:rsid w:val="000F1D7A"/>
    <w:rsid w:val="00102530"/>
    <w:rsid w:val="00103957"/>
    <w:rsid w:val="00111020"/>
    <w:rsid w:val="00121951"/>
    <w:rsid w:val="001322C6"/>
    <w:rsid w:val="00152C6D"/>
    <w:rsid w:val="00162D39"/>
    <w:rsid w:val="001678BD"/>
    <w:rsid w:val="00182373"/>
    <w:rsid w:val="00184015"/>
    <w:rsid w:val="001A67DB"/>
    <w:rsid w:val="001A6E5F"/>
    <w:rsid w:val="001C3C29"/>
    <w:rsid w:val="001C52DA"/>
    <w:rsid w:val="001D51E5"/>
    <w:rsid w:val="001E080D"/>
    <w:rsid w:val="001E172C"/>
    <w:rsid w:val="001E53D0"/>
    <w:rsid w:val="001F0C3B"/>
    <w:rsid w:val="00202C82"/>
    <w:rsid w:val="00214427"/>
    <w:rsid w:val="00226CB7"/>
    <w:rsid w:val="00237076"/>
    <w:rsid w:val="00255C75"/>
    <w:rsid w:val="00263716"/>
    <w:rsid w:val="00264552"/>
    <w:rsid w:val="00264EF9"/>
    <w:rsid w:val="00265724"/>
    <w:rsid w:val="0027426B"/>
    <w:rsid w:val="0028731C"/>
    <w:rsid w:val="002948BF"/>
    <w:rsid w:val="002E0A30"/>
    <w:rsid w:val="002E0AF0"/>
    <w:rsid w:val="002E204D"/>
    <w:rsid w:val="003130C4"/>
    <w:rsid w:val="00316C4B"/>
    <w:rsid w:val="00317876"/>
    <w:rsid w:val="0032192B"/>
    <w:rsid w:val="0034788D"/>
    <w:rsid w:val="003479BD"/>
    <w:rsid w:val="00350377"/>
    <w:rsid w:val="00370778"/>
    <w:rsid w:val="0037197D"/>
    <w:rsid w:val="00375877"/>
    <w:rsid w:val="003768A7"/>
    <w:rsid w:val="003768D5"/>
    <w:rsid w:val="003926B9"/>
    <w:rsid w:val="00393E0B"/>
    <w:rsid w:val="003C156A"/>
    <w:rsid w:val="003C47E6"/>
    <w:rsid w:val="003C4FC2"/>
    <w:rsid w:val="003C5F81"/>
    <w:rsid w:val="003D3B11"/>
    <w:rsid w:val="003F492A"/>
    <w:rsid w:val="00416E61"/>
    <w:rsid w:val="0042790C"/>
    <w:rsid w:val="004433E2"/>
    <w:rsid w:val="00444F53"/>
    <w:rsid w:val="00447C32"/>
    <w:rsid w:val="004506F9"/>
    <w:rsid w:val="004608F2"/>
    <w:rsid w:val="00470B0A"/>
    <w:rsid w:val="004717A2"/>
    <w:rsid w:val="00473DF3"/>
    <w:rsid w:val="00481804"/>
    <w:rsid w:val="00487911"/>
    <w:rsid w:val="00491741"/>
    <w:rsid w:val="004B0CEE"/>
    <w:rsid w:val="004D0174"/>
    <w:rsid w:val="004D13E7"/>
    <w:rsid w:val="004E68E5"/>
    <w:rsid w:val="00500E5F"/>
    <w:rsid w:val="005122EF"/>
    <w:rsid w:val="0051441A"/>
    <w:rsid w:val="00517C33"/>
    <w:rsid w:val="00517D5F"/>
    <w:rsid w:val="00523644"/>
    <w:rsid w:val="00536E88"/>
    <w:rsid w:val="0054069E"/>
    <w:rsid w:val="00544866"/>
    <w:rsid w:val="00567362"/>
    <w:rsid w:val="005767CC"/>
    <w:rsid w:val="00581718"/>
    <w:rsid w:val="00590D9F"/>
    <w:rsid w:val="00595D26"/>
    <w:rsid w:val="005A74E6"/>
    <w:rsid w:val="005B404E"/>
    <w:rsid w:val="005C1A17"/>
    <w:rsid w:val="005D4D55"/>
    <w:rsid w:val="005D5F68"/>
    <w:rsid w:val="005E1585"/>
    <w:rsid w:val="005E2CFB"/>
    <w:rsid w:val="005F2103"/>
    <w:rsid w:val="005F3D1C"/>
    <w:rsid w:val="00604811"/>
    <w:rsid w:val="0062378F"/>
    <w:rsid w:val="00633906"/>
    <w:rsid w:val="00641842"/>
    <w:rsid w:val="00642562"/>
    <w:rsid w:val="00651EEC"/>
    <w:rsid w:val="0066352D"/>
    <w:rsid w:val="00664C51"/>
    <w:rsid w:val="00686673"/>
    <w:rsid w:val="00691E8C"/>
    <w:rsid w:val="006A22C4"/>
    <w:rsid w:val="006A351B"/>
    <w:rsid w:val="006B0422"/>
    <w:rsid w:val="006C1B53"/>
    <w:rsid w:val="006D7730"/>
    <w:rsid w:val="006E2188"/>
    <w:rsid w:val="006E5284"/>
    <w:rsid w:val="006E75B8"/>
    <w:rsid w:val="006F1F54"/>
    <w:rsid w:val="006F3EB5"/>
    <w:rsid w:val="00702E34"/>
    <w:rsid w:val="00704395"/>
    <w:rsid w:val="00707CAA"/>
    <w:rsid w:val="00710FE7"/>
    <w:rsid w:val="00717621"/>
    <w:rsid w:val="00720FF1"/>
    <w:rsid w:val="00721192"/>
    <w:rsid w:val="0072532A"/>
    <w:rsid w:val="00727A53"/>
    <w:rsid w:val="00737CCE"/>
    <w:rsid w:val="00741F83"/>
    <w:rsid w:val="00787B42"/>
    <w:rsid w:val="007A4CE3"/>
    <w:rsid w:val="007C4539"/>
    <w:rsid w:val="007E0DBD"/>
    <w:rsid w:val="007F3657"/>
    <w:rsid w:val="00812ED5"/>
    <w:rsid w:val="008277D9"/>
    <w:rsid w:val="0082794D"/>
    <w:rsid w:val="0084478C"/>
    <w:rsid w:val="00845A85"/>
    <w:rsid w:val="0086638C"/>
    <w:rsid w:val="00894FBC"/>
    <w:rsid w:val="0089561E"/>
    <w:rsid w:val="008A3400"/>
    <w:rsid w:val="008A3E8D"/>
    <w:rsid w:val="008B5655"/>
    <w:rsid w:val="008D51C5"/>
    <w:rsid w:val="008F11B6"/>
    <w:rsid w:val="008F19AD"/>
    <w:rsid w:val="009237C4"/>
    <w:rsid w:val="0094208E"/>
    <w:rsid w:val="00944C48"/>
    <w:rsid w:val="00950252"/>
    <w:rsid w:val="009524D4"/>
    <w:rsid w:val="00967F5D"/>
    <w:rsid w:val="00972CB9"/>
    <w:rsid w:val="009A0F95"/>
    <w:rsid w:val="009B2D19"/>
    <w:rsid w:val="009B3ADF"/>
    <w:rsid w:val="009C3937"/>
    <w:rsid w:val="009C3B52"/>
    <w:rsid w:val="009D0182"/>
    <w:rsid w:val="009E6817"/>
    <w:rsid w:val="009E6E9A"/>
    <w:rsid w:val="00A01D2B"/>
    <w:rsid w:val="00A33435"/>
    <w:rsid w:val="00A40208"/>
    <w:rsid w:val="00A42218"/>
    <w:rsid w:val="00A5040F"/>
    <w:rsid w:val="00A6586E"/>
    <w:rsid w:val="00A70249"/>
    <w:rsid w:val="00A708FF"/>
    <w:rsid w:val="00A70B02"/>
    <w:rsid w:val="00A71D9F"/>
    <w:rsid w:val="00A74501"/>
    <w:rsid w:val="00A80427"/>
    <w:rsid w:val="00A92E9F"/>
    <w:rsid w:val="00AB18FF"/>
    <w:rsid w:val="00AD7277"/>
    <w:rsid w:val="00AE71F6"/>
    <w:rsid w:val="00AF0796"/>
    <w:rsid w:val="00AF273C"/>
    <w:rsid w:val="00B17323"/>
    <w:rsid w:val="00B33BEA"/>
    <w:rsid w:val="00B36292"/>
    <w:rsid w:val="00B461FD"/>
    <w:rsid w:val="00B57C9F"/>
    <w:rsid w:val="00B63572"/>
    <w:rsid w:val="00B845B3"/>
    <w:rsid w:val="00B854F8"/>
    <w:rsid w:val="00B85D8B"/>
    <w:rsid w:val="00BA7208"/>
    <w:rsid w:val="00BB2FF4"/>
    <w:rsid w:val="00BB4A40"/>
    <w:rsid w:val="00BD1A24"/>
    <w:rsid w:val="00BD6C3E"/>
    <w:rsid w:val="00BE3674"/>
    <w:rsid w:val="00BF6853"/>
    <w:rsid w:val="00C10681"/>
    <w:rsid w:val="00C1178D"/>
    <w:rsid w:val="00C1598E"/>
    <w:rsid w:val="00C3049A"/>
    <w:rsid w:val="00C31B1E"/>
    <w:rsid w:val="00C77645"/>
    <w:rsid w:val="00C80FEC"/>
    <w:rsid w:val="00C857F3"/>
    <w:rsid w:val="00C87FAF"/>
    <w:rsid w:val="00C934A7"/>
    <w:rsid w:val="00C93F8F"/>
    <w:rsid w:val="00C97344"/>
    <w:rsid w:val="00CC06D2"/>
    <w:rsid w:val="00CC1B87"/>
    <w:rsid w:val="00CD3680"/>
    <w:rsid w:val="00CE04C3"/>
    <w:rsid w:val="00CE76A0"/>
    <w:rsid w:val="00CF305A"/>
    <w:rsid w:val="00CF781B"/>
    <w:rsid w:val="00D038C7"/>
    <w:rsid w:val="00D0518D"/>
    <w:rsid w:val="00D148C6"/>
    <w:rsid w:val="00D17A8A"/>
    <w:rsid w:val="00D415BA"/>
    <w:rsid w:val="00D626CC"/>
    <w:rsid w:val="00D63780"/>
    <w:rsid w:val="00D644EE"/>
    <w:rsid w:val="00D65DFD"/>
    <w:rsid w:val="00DD06FF"/>
    <w:rsid w:val="00DD0CCB"/>
    <w:rsid w:val="00DD256A"/>
    <w:rsid w:val="00DD5FE9"/>
    <w:rsid w:val="00DD623B"/>
    <w:rsid w:val="00DE0C8C"/>
    <w:rsid w:val="00DE1A53"/>
    <w:rsid w:val="00DF57B0"/>
    <w:rsid w:val="00DF7DAB"/>
    <w:rsid w:val="00E00C7A"/>
    <w:rsid w:val="00E21B37"/>
    <w:rsid w:val="00E37D6C"/>
    <w:rsid w:val="00E55B68"/>
    <w:rsid w:val="00E561AE"/>
    <w:rsid w:val="00E6730C"/>
    <w:rsid w:val="00E67BE6"/>
    <w:rsid w:val="00E709D2"/>
    <w:rsid w:val="00E750D3"/>
    <w:rsid w:val="00E8683C"/>
    <w:rsid w:val="00E9341B"/>
    <w:rsid w:val="00E93F8A"/>
    <w:rsid w:val="00E957FF"/>
    <w:rsid w:val="00E96C3F"/>
    <w:rsid w:val="00EA2B72"/>
    <w:rsid w:val="00ED30F1"/>
    <w:rsid w:val="00F6651B"/>
    <w:rsid w:val="00F713DE"/>
    <w:rsid w:val="00F716E8"/>
    <w:rsid w:val="00F74360"/>
    <w:rsid w:val="00F957AE"/>
    <w:rsid w:val="00FA0054"/>
    <w:rsid w:val="00FB4330"/>
    <w:rsid w:val="00FB462F"/>
    <w:rsid w:val="00FC0281"/>
    <w:rsid w:val="00FE16FA"/>
    <w:rsid w:val="00FE28D8"/>
    <w:rsid w:val="00FE328A"/>
    <w:rsid w:val="00FE6269"/>
    <w:rsid w:val="00FF5CD6"/>
    <w:rsid w:val="01FF41FA"/>
    <w:rsid w:val="07414AB9"/>
    <w:rsid w:val="08A44DD0"/>
    <w:rsid w:val="0970312D"/>
    <w:rsid w:val="10C255F7"/>
    <w:rsid w:val="11164A85"/>
    <w:rsid w:val="115E2A84"/>
    <w:rsid w:val="17591340"/>
    <w:rsid w:val="192521E3"/>
    <w:rsid w:val="1D97DEFF"/>
    <w:rsid w:val="1DFF72E5"/>
    <w:rsid w:val="1EFC6F07"/>
    <w:rsid w:val="1F00195E"/>
    <w:rsid w:val="21D824FF"/>
    <w:rsid w:val="24317FDD"/>
    <w:rsid w:val="255E53E7"/>
    <w:rsid w:val="280C5DC8"/>
    <w:rsid w:val="2CC2587F"/>
    <w:rsid w:val="2FDF85B8"/>
    <w:rsid w:val="2FFFEE04"/>
    <w:rsid w:val="30F86B23"/>
    <w:rsid w:val="33390740"/>
    <w:rsid w:val="34111416"/>
    <w:rsid w:val="34DF85B0"/>
    <w:rsid w:val="38B04988"/>
    <w:rsid w:val="3B8F36BC"/>
    <w:rsid w:val="3C7B0D49"/>
    <w:rsid w:val="46BC262A"/>
    <w:rsid w:val="491FF225"/>
    <w:rsid w:val="4CAC41B8"/>
    <w:rsid w:val="4FFD214C"/>
    <w:rsid w:val="57715950"/>
    <w:rsid w:val="5777D4F5"/>
    <w:rsid w:val="58D866C5"/>
    <w:rsid w:val="59DD8326"/>
    <w:rsid w:val="5BF9252B"/>
    <w:rsid w:val="5CED4F6D"/>
    <w:rsid w:val="5D5D166D"/>
    <w:rsid w:val="5DEF592A"/>
    <w:rsid w:val="5FC6BB1E"/>
    <w:rsid w:val="5FF720F1"/>
    <w:rsid w:val="60FA47A5"/>
    <w:rsid w:val="635C502F"/>
    <w:rsid w:val="64227D5B"/>
    <w:rsid w:val="64945303"/>
    <w:rsid w:val="666F593F"/>
    <w:rsid w:val="67FF5C0B"/>
    <w:rsid w:val="6C832144"/>
    <w:rsid w:val="6EFC0924"/>
    <w:rsid w:val="6FB74722"/>
    <w:rsid w:val="6FEF8B7E"/>
    <w:rsid w:val="71A6591B"/>
    <w:rsid w:val="71B90114"/>
    <w:rsid w:val="72773C67"/>
    <w:rsid w:val="737D59BA"/>
    <w:rsid w:val="747A18CA"/>
    <w:rsid w:val="77C37683"/>
    <w:rsid w:val="78A93B77"/>
    <w:rsid w:val="79FF515B"/>
    <w:rsid w:val="7E132BFC"/>
    <w:rsid w:val="7E9E1962"/>
    <w:rsid w:val="7E9F11B4"/>
    <w:rsid w:val="7E9F26E2"/>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firstLineChars="100"/>
    </w:pPr>
    <w:rPr>
      <w:rFonts w:eastAsia="华文仿宋"/>
      <w:sz w:val="30"/>
      <w:szCs w:val="21"/>
    </w:rPr>
  </w:style>
  <w:style w:type="paragraph" w:styleId="3">
    <w:name w:val="Body Text"/>
    <w:basedOn w:val="1"/>
    <w:qFormat/>
    <w:uiPriority w:val="99"/>
  </w:style>
  <w:style w:type="paragraph" w:styleId="4">
    <w:name w:val="annotation text"/>
    <w:basedOn w:val="1"/>
    <w:link w:val="24"/>
    <w:unhideWhenUsed/>
    <w:qFormat/>
    <w:uiPriority w:val="99"/>
    <w:pPr>
      <w:jc w:val="left"/>
    </w:pPr>
    <w:rPr>
      <w:rFonts w:ascii="Times New Roman" w:hAnsi="Times New Roman" w:eastAsia="宋体" w:cs="Times New Roman"/>
      <w:szCs w:val="24"/>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Plain Text"/>
    <w:basedOn w:val="1"/>
    <w:qFormat/>
    <w:uiPriority w:val="0"/>
    <w:rPr>
      <w:rFonts w:ascii="宋体" w:hAnsi="Courier New" w:eastAsia="宋体"/>
    </w:rPr>
  </w:style>
  <w:style w:type="paragraph" w:styleId="8">
    <w:name w:val="Body Text Indent 2"/>
    <w:basedOn w:val="1"/>
    <w:link w:val="26"/>
    <w:qFormat/>
    <w:uiPriority w:val="0"/>
    <w:pPr>
      <w:spacing w:after="120" w:line="480" w:lineRule="auto"/>
      <w:ind w:left="420" w:leftChars="200"/>
    </w:pPr>
    <w:rPr>
      <w:rFonts w:ascii="Calibri" w:hAnsi="Calibri" w:eastAsia="宋体" w:cs="Calibri"/>
      <w:szCs w:val="21"/>
    </w:rPr>
  </w:style>
  <w:style w:type="paragraph" w:styleId="9">
    <w:name w:val="Balloon Text"/>
    <w:basedOn w:val="1"/>
    <w:link w:val="20"/>
    <w:semiHidden/>
    <w:unhideWhenUsed/>
    <w:qFormat/>
    <w:uiPriority w:val="99"/>
    <w:rPr>
      <w:sz w:val="18"/>
      <w:szCs w:val="18"/>
    </w:rPr>
  </w:style>
  <w:style w:type="paragraph" w:styleId="10">
    <w:name w:val="footer"/>
    <w:basedOn w:val="1"/>
    <w:link w:val="17"/>
    <w:unhideWhenUsed/>
    <w:qFormat/>
    <w:uiPriority w:val="99"/>
    <w:pPr>
      <w:tabs>
        <w:tab w:val="center" w:pos="4153"/>
        <w:tab w:val="right" w:pos="8306"/>
      </w:tabs>
      <w:snapToGrid w:val="0"/>
      <w:jc w:val="left"/>
    </w:pPr>
    <w:rPr>
      <w:sz w:val="18"/>
      <w:szCs w:val="18"/>
    </w:rPr>
  </w:style>
  <w:style w:type="paragraph" w:styleId="11">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next w:val="6"/>
    <w:semiHidden/>
    <w:qFormat/>
    <w:uiPriority w:val="0"/>
    <w:pPr>
      <w:snapToGrid w:val="0"/>
      <w:jc w:val="left"/>
    </w:pPr>
    <w:rPr>
      <w:sz w:val="18"/>
      <w:szCs w:val="18"/>
    </w:rPr>
  </w:style>
  <w:style w:type="paragraph" w:styleId="13">
    <w:name w:val="Normal (Web)"/>
    <w:basedOn w:val="1"/>
    <w:unhideWhenUsed/>
    <w:qFormat/>
    <w:uiPriority w:val="99"/>
    <w:pPr>
      <w:spacing w:before="100" w:beforeAutospacing="1" w:after="100" w:afterAutospacing="1"/>
      <w:jc w:val="left"/>
    </w:pPr>
    <w:rPr>
      <w:rFonts w:ascii="Calibri" w:hAnsi="Calibri"/>
      <w:kern w:val="0"/>
      <w:sz w:val="24"/>
      <w:szCs w:val="24"/>
    </w:rPr>
  </w:style>
  <w:style w:type="character" w:customStyle="1" w:styleId="16">
    <w:name w:val="页眉 字符"/>
    <w:basedOn w:val="15"/>
    <w:link w:val="11"/>
    <w:qFormat/>
    <w:uiPriority w:val="99"/>
    <w:rPr>
      <w:sz w:val="18"/>
      <w:szCs w:val="18"/>
    </w:rPr>
  </w:style>
  <w:style w:type="character" w:customStyle="1" w:styleId="17">
    <w:name w:val="页脚 字符"/>
    <w:basedOn w:val="15"/>
    <w:link w:val="10"/>
    <w:qFormat/>
    <w:uiPriority w:val="99"/>
    <w:rPr>
      <w:sz w:val="18"/>
      <w:szCs w:val="18"/>
    </w:rPr>
  </w:style>
  <w:style w:type="paragraph" w:customStyle="1" w:styleId="18">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9">
    <w:name w:val="List Paragraph"/>
    <w:basedOn w:val="1"/>
    <w:qFormat/>
    <w:uiPriority w:val="34"/>
    <w:pPr>
      <w:ind w:firstLine="420" w:firstLineChars="200"/>
    </w:pPr>
  </w:style>
  <w:style w:type="character" w:customStyle="1" w:styleId="20">
    <w:name w:val="批注框文本 字符"/>
    <w:basedOn w:val="15"/>
    <w:link w:val="9"/>
    <w:semiHidden/>
    <w:qFormat/>
    <w:uiPriority w:val="99"/>
    <w:rPr>
      <w:sz w:val="18"/>
      <w:szCs w:val="18"/>
    </w:rPr>
  </w:style>
  <w:style w:type="character" w:customStyle="1" w:styleId="21">
    <w:name w:val="font01"/>
    <w:basedOn w:val="15"/>
    <w:qFormat/>
    <w:uiPriority w:val="0"/>
    <w:rPr>
      <w:rFonts w:hint="eastAsia" w:ascii="宋体" w:hAnsi="宋体" w:eastAsia="宋体" w:cs="宋体"/>
      <w:color w:val="000000"/>
      <w:sz w:val="22"/>
      <w:szCs w:val="22"/>
      <w:u w:val="none"/>
    </w:rPr>
  </w:style>
  <w:style w:type="character" w:customStyle="1" w:styleId="22">
    <w:name w:val="font21"/>
    <w:basedOn w:val="15"/>
    <w:qFormat/>
    <w:uiPriority w:val="0"/>
    <w:rPr>
      <w:rFonts w:hint="eastAsia" w:ascii="宋体" w:hAnsi="宋体" w:eastAsia="宋体" w:cs="宋体"/>
      <w:color w:val="000000"/>
      <w:sz w:val="24"/>
      <w:szCs w:val="24"/>
      <w:u w:val="none"/>
    </w:rPr>
  </w:style>
  <w:style w:type="character" w:customStyle="1" w:styleId="23">
    <w:name w:val="font11"/>
    <w:basedOn w:val="15"/>
    <w:qFormat/>
    <w:uiPriority w:val="0"/>
    <w:rPr>
      <w:rFonts w:hint="eastAsia" w:ascii="宋体" w:hAnsi="宋体" w:eastAsia="宋体" w:cs="宋体"/>
      <w:color w:val="000000"/>
      <w:sz w:val="24"/>
      <w:szCs w:val="24"/>
      <w:u w:val="none"/>
    </w:rPr>
  </w:style>
  <w:style w:type="character" w:customStyle="1" w:styleId="24">
    <w:name w:val="批注文字 字符"/>
    <w:basedOn w:val="15"/>
    <w:link w:val="4"/>
    <w:qFormat/>
    <w:uiPriority w:val="99"/>
    <w:rPr>
      <w:rFonts w:ascii="Times New Roman" w:hAnsi="Times New Roman" w:eastAsia="宋体" w:cs="Times New Roman"/>
      <w:kern w:val="2"/>
      <w:sz w:val="21"/>
      <w:szCs w:val="24"/>
    </w:rPr>
  </w:style>
  <w:style w:type="paragraph" w:customStyle="1" w:styleId="25">
    <w:name w:val="cjk"/>
    <w:basedOn w:val="1"/>
    <w:qFormat/>
    <w:uiPriority w:val="0"/>
    <w:pPr>
      <w:widowControl/>
      <w:spacing w:before="100" w:beforeAutospacing="1" w:after="119"/>
    </w:pPr>
    <w:rPr>
      <w:rFonts w:ascii="宋体" w:hAnsi="宋体" w:eastAsia="宋体" w:cs="宋体"/>
      <w:color w:val="000000"/>
      <w:kern w:val="0"/>
      <w:sz w:val="20"/>
      <w:szCs w:val="20"/>
    </w:rPr>
  </w:style>
  <w:style w:type="character" w:customStyle="1" w:styleId="26">
    <w:name w:val="正文文本缩进 2 字符"/>
    <w:basedOn w:val="15"/>
    <w:link w:val="8"/>
    <w:qFormat/>
    <w:uiPriority w:val="0"/>
    <w:rPr>
      <w:rFonts w:ascii="Calibri" w:hAnsi="Calibri" w:eastAsia="宋体" w:cs="Calibri"/>
      <w:kern w:val="2"/>
      <w:sz w:val="21"/>
      <w:szCs w:val="21"/>
    </w:rPr>
  </w:style>
  <w:style w:type="character" w:customStyle="1" w:styleId="27">
    <w:name w:val="15"/>
    <w:basedOn w:val="15"/>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7274</Words>
  <Characters>8651</Characters>
  <Lines>352</Lines>
  <Paragraphs>272</Paragraphs>
  <TotalTime>2</TotalTime>
  <ScaleCrop>false</ScaleCrop>
  <LinksUpToDate>false</LinksUpToDate>
  <CharactersWithSpaces>9596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2026-09-11T02:17:50Z</dcterms:modified>
  <cp:revision>150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98519A27963D4771B64F88C25408AA17_12</vt:lpwstr>
  </property>
  <property fmtid="{D5CDD505-2E9C-101B-9397-08002B2CF9AE}" pid="4" name="KSOTemplateDocerSaveRecord">
    <vt:lpwstr>eyJoZGlkIjoiNDEyYTkxZWFhMjMzZDY2NTJiNzAzZDNkMTJlN2NmYjMiLCJ1c2VySWQiOiI2NjAzNzQ3NTEifQ==</vt:lpwstr>
  </property>
</Properties>
</file>