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83595">
      <w:pPr>
        <w:pStyle w:val="8"/>
        <w:keepNext/>
        <w:keepLines/>
        <w:pageBreakBefore w:val="0"/>
        <w:widowControl w:val="0"/>
        <w:numPr>
          <w:ilvl w:val="0"/>
          <w:numId w:val="0"/>
        </w:numPr>
        <w:kinsoku/>
        <w:wordWrap/>
        <w:overflowPunct/>
        <w:topLinePunct w:val="0"/>
        <w:autoSpaceDE/>
        <w:autoSpaceDN/>
        <w:bidi w:val="0"/>
        <w:adjustRightInd/>
        <w:snapToGrid/>
        <w:spacing w:before="260" w:after="260" w:line="700" w:lineRule="exact"/>
        <w:jc w:val="center"/>
        <w:textAlignment w:val="auto"/>
        <w:rPr>
          <w:rFonts w:hint="eastAsia" w:ascii="黑体" w:hAnsi="黑体" w:eastAsia="黑体" w:cs="黑体"/>
          <w:b/>
          <w:bCs/>
          <w:color w:val="auto"/>
          <w:kern w:val="2"/>
          <w:sz w:val="32"/>
          <w:szCs w:val="32"/>
          <w:lang w:val="en-US" w:eastAsia="zh-CN" w:bidi="ar-SA"/>
        </w:rPr>
      </w:pPr>
      <w:r>
        <w:rPr>
          <w:rFonts w:hint="eastAsia" w:ascii="方正小标宋简体" w:eastAsia="方正小标宋简体" w:cs="Times New Roman"/>
          <w:b w:val="0"/>
          <w:spacing w:val="-26"/>
          <w:kern w:val="2"/>
          <w:sz w:val="44"/>
          <w:szCs w:val="44"/>
          <w:lang w:val="en-US" w:eastAsia="zh-CN" w:bidi="ar-SA"/>
        </w:rPr>
        <w:t>道县县委编办</w:t>
      </w:r>
      <w:r>
        <w:rPr>
          <w:rFonts w:hint="eastAsia" w:ascii="方正小标宋简体" w:hAnsi="Times New Roman" w:eastAsia="方正小标宋简体" w:cs="Times New Roman"/>
          <w:b w:val="0"/>
          <w:spacing w:val="-26"/>
          <w:kern w:val="2"/>
          <w:sz w:val="44"/>
          <w:szCs w:val="44"/>
          <w:lang w:val="en-US" w:eastAsia="zh-CN" w:bidi="ar-SA"/>
        </w:rPr>
        <w:t>2</w:t>
      </w:r>
      <w:r>
        <w:rPr>
          <w:rFonts w:hint="eastAsia" w:ascii="方正小标宋简体" w:eastAsia="方正小标宋简体" w:cs="Times New Roman"/>
          <w:b w:val="0"/>
          <w:spacing w:val="-26"/>
          <w:kern w:val="2"/>
          <w:sz w:val="44"/>
          <w:szCs w:val="44"/>
          <w:lang w:val="en-US" w:eastAsia="zh-CN" w:bidi="ar-SA"/>
        </w:rPr>
        <w:t>025</w:t>
      </w:r>
      <w:r>
        <w:rPr>
          <w:rFonts w:hint="eastAsia" w:ascii="方正小标宋简体" w:hAnsi="Times New Roman" w:eastAsia="方正小标宋简体" w:cs="Times New Roman"/>
          <w:b w:val="0"/>
          <w:spacing w:val="-26"/>
          <w:kern w:val="2"/>
          <w:sz w:val="44"/>
          <w:szCs w:val="44"/>
          <w:lang w:val="en-US" w:eastAsia="zh-CN" w:bidi="ar-SA"/>
        </w:rPr>
        <w:t>年度整体支出绩效评价报告</w:t>
      </w:r>
    </w:p>
    <w:p w14:paraId="1BD59954">
      <w:pPr>
        <w:pStyle w:val="9"/>
        <w:numPr>
          <w:ilvl w:val="0"/>
          <w:numId w:val="0"/>
        </w:numPr>
        <w:ind w:left="700" w:leftChars="0"/>
        <w:rPr>
          <w:rFonts w:hint="eastAsia" w:ascii="黑体" w:hAnsi="黑体" w:eastAsia="黑体" w:cs="黑体"/>
          <w:b/>
          <w:bCs/>
          <w:color w:val="auto"/>
          <w:kern w:val="2"/>
          <w:sz w:val="32"/>
          <w:szCs w:val="32"/>
          <w:lang w:val="en-US" w:eastAsia="zh-CN" w:bidi="ar-SA"/>
        </w:rPr>
      </w:pPr>
    </w:p>
    <w:p w14:paraId="4E19BC5B">
      <w:pPr>
        <w:pStyle w:val="9"/>
        <w:numPr>
          <w:ilvl w:val="0"/>
          <w:numId w:val="0"/>
        </w:numPr>
        <w:ind w:left="700" w:leftChars="0"/>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一、基本情况</w:t>
      </w:r>
    </w:p>
    <w:p w14:paraId="7A5B96D1">
      <w:pPr>
        <w:pStyle w:val="9"/>
        <w:numPr>
          <w:ilvl w:val="0"/>
          <w:numId w:val="0"/>
        </w:numPr>
        <w:ind w:left="700" w:leftChars="0"/>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(一)单位基本情况</w:t>
      </w:r>
    </w:p>
    <w:p w14:paraId="2E663963">
      <w:pPr>
        <w:keepNext w:val="0"/>
        <w:keepLines w:val="0"/>
        <w:pageBreakBefore w:val="0"/>
        <w:widowControl/>
        <w:kinsoku/>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1．主要职能。相关内容，依法不予公开。</w:t>
      </w:r>
    </w:p>
    <w:p w14:paraId="330F7515">
      <w:pPr>
        <w:pStyle w:val="5"/>
        <w:keepNext w:val="0"/>
        <w:keepLines w:val="0"/>
        <w:pageBreakBefore w:val="0"/>
        <w:widowControl w:val="0"/>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left="0" w:right="0" w:rightChars="0" w:firstLine="645"/>
        <w:jc w:val="both"/>
        <w:textAlignment w:val="auto"/>
        <w:outlineLvl w:val="9"/>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2．机构情况。相关内容，依法不予公开。</w:t>
      </w:r>
    </w:p>
    <w:p w14:paraId="7A65D0E3">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pPr>
      <w:r>
        <w:rPr>
          <w:rFonts w:hint="eastAsia" w:ascii="仿宋_GB2312" w:hAnsi="宋体" w:eastAsia="仿宋_GB2312" w:cs="仿宋_GB2312"/>
          <w:b/>
          <w:bCs/>
          <w:i w:val="0"/>
          <w:iCs w:val="0"/>
          <w:caps w:val="0"/>
          <w:color w:val="000000"/>
          <w:spacing w:val="0"/>
          <w:kern w:val="2"/>
          <w:sz w:val="32"/>
          <w:szCs w:val="32"/>
          <w:shd w:val="clear" w:color="auto" w:fill="FFFFFF"/>
          <w:lang w:val="en-US" w:eastAsia="zh-CN" w:bidi="ar-SA"/>
        </w:rPr>
        <w:t>（二）整体支出绩效目标</w:t>
      </w:r>
    </w:p>
    <w:p w14:paraId="45F407CE">
      <w:pPr>
        <w:pStyle w:val="5"/>
        <w:keepNext w:val="0"/>
        <w:keepLines w:val="0"/>
        <w:pageBreakBefore w:val="0"/>
        <w:widowControl w:val="0"/>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left="0" w:right="0" w:rightChars="0" w:firstLine="645"/>
        <w:jc w:val="both"/>
        <w:textAlignment w:val="auto"/>
        <w:outlineLvl w:val="9"/>
        <w:rPr>
          <w:rFonts w:hint="eastAsia" w:ascii="Times New Roman" w:hAnsi="Times New Roman" w:cs="黑体"/>
          <w:color w:val="auto"/>
          <w:kern w:val="0"/>
          <w:sz w:val="32"/>
          <w:szCs w:val="32"/>
          <w:lang w:val="en-US" w:eastAsia="zh-CN" w:bidi="ar-SA"/>
        </w:rPr>
      </w:pPr>
      <w:r>
        <w:rPr>
          <w:rFonts w:hint="eastAsia" w:ascii="仿宋_GB2312" w:hAnsi="宋体" w:eastAsia="仿宋_GB2312" w:cs="仿宋_GB2312"/>
          <w:b/>
          <w:bCs/>
          <w:i w:val="0"/>
          <w:iCs w:val="0"/>
          <w:caps w:val="0"/>
          <w:color w:val="000000"/>
          <w:spacing w:val="0"/>
          <w:sz w:val="32"/>
          <w:szCs w:val="32"/>
          <w:shd w:val="clear" w:color="auto" w:fill="FFFFFF"/>
          <w:lang w:val="en-US" w:eastAsia="zh-CN"/>
        </w:rPr>
        <w:t>1</w:t>
      </w:r>
      <w:r>
        <w:rPr>
          <w:rFonts w:hint="eastAsia" w:ascii="仿宋_GB2312" w:hAnsi="宋体" w:cs="仿宋_GB2312"/>
          <w:b/>
          <w:bCs/>
          <w:i w:val="0"/>
          <w:iCs w:val="0"/>
          <w:caps w:val="0"/>
          <w:color w:val="000000"/>
          <w:spacing w:val="0"/>
          <w:sz w:val="32"/>
          <w:szCs w:val="32"/>
          <w:shd w:val="clear" w:color="auto" w:fill="FFFFFF"/>
          <w:lang w:val="en-US" w:eastAsia="zh-CN"/>
        </w:rPr>
        <w:t>.</w:t>
      </w:r>
      <w:r>
        <w:rPr>
          <w:rFonts w:hint="eastAsia" w:ascii="仿宋_GB2312" w:hAnsi="仿宋_GB2312" w:eastAsia="仿宋_GB2312" w:cs="仿宋_GB2312"/>
          <w:b/>
          <w:bCs/>
          <w:sz w:val="32"/>
          <w:szCs w:val="32"/>
          <w:lang w:val="en-US" w:eastAsia="zh-CN"/>
        </w:rPr>
        <w:t>加强和规范全县机构编制管理工作</w:t>
      </w:r>
      <w:r>
        <w:rPr>
          <w:rFonts w:hint="eastAsia" w:ascii="仿宋_GB2312" w:hAnsi="仿宋_GB2312" w:cs="仿宋_GB2312"/>
          <w:b/>
          <w:bCs/>
          <w:sz w:val="32"/>
          <w:szCs w:val="32"/>
          <w:lang w:val="en-US" w:eastAsia="zh-CN"/>
        </w:rPr>
        <w:t>。</w:t>
      </w:r>
      <w:r>
        <w:rPr>
          <w:rFonts w:hint="eastAsia" w:ascii="Times New Roman" w:hAnsi="Times New Roman" w:eastAsia="仿宋_GB2312" w:cs="黑体"/>
          <w:color w:val="auto"/>
          <w:kern w:val="0"/>
          <w:sz w:val="32"/>
          <w:szCs w:val="32"/>
          <w:lang w:val="en-US" w:eastAsia="zh-CN" w:bidi="ar-SA"/>
        </w:rPr>
        <w:t>严格机构编制管理，优化配置执政资源。实行机构编制动态调整，有效盘活机构编制资源</w:t>
      </w:r>
      <w:r>
        <w:rPr>
          <w:rFonts w:hint="eastAsia" w:ascii="Times New Roman" w:hAnsi="Times New Roman" w:cs="黑体"/>
          <w:color w:val="auto"/>
          <w:kern w:val="0"/>
          <w:sz w:val="32"/>
          <w:szCs w:val="32"/>
          <w:lang w:val="en-US" w:eastAsia="zh-CN" w:bidi="ar-SA"/>
        </w:rPr>
        <w:t>。</w:t>
      </w:r>
    </w:p>
    <w:p w14:paraId="45DF0177">
      <w:pPr>
        <w:pStyle w:val="5"/>
        <w:keepNext w:val="0"/>
        <w:keepLines w:val="0"/>
        <w:pageBreakBefore w:val="0"/>
        <w:widowControl w:val="0"/>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left="0" w:right="0" w:rightChars="0" w:firstLine="645"/>
        <w:jc w:val="both"/>
        <w:textAlignment w:val="auto"/>
        <w:outlineLvl w:val="9"/>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b/>
          <w:bCs/>
          <w:color w:val="auto"/>
          <w:kern w:val="0"/>
          <w:sz w:val="32"/>
          <w:szCs w:val="32"/>
          <w:lang w:val="en-US" w:eastAsia="zh-CN" w:bidi="ar-SA"/>
        </w:rPr>
        <w:t>2.</w:t>
      </w:r>
      <w:r>
        <w:rPr>
          <w:rFonts w:hint="eastAsia" w:ascii="Times New Roman" w:hAnsi="Times New Roman" w:cs="黑体"/>
          <w:b/>
          <w:bCs/>
          <w:color w:val="auto"/>
          <w:kern w:val="0"/>
          <w:sz w:val="32"/>
          <w:szCs w:val="32"/>
          <w:lang w:val="en-US" w:eastAsia="zh-CN" w:bidi="ar-SA"/>
        </w:rPr>
        <w:t>建立乡镇（街道）履职事项清单。</w:t>
      </w:r>
      <w:r>
        <w:rPr>
          <w:rFonts w:hint="eastAsia" w:ascii="Times New Roman" w:hAnsi="Times New Roman" w:eastAsia="仿宋_GB2312" w:cs="黑体"/>
          <w:color w:val="auto"/>
          <w:kern w:val="0"/>
          <w:sz w:val="32"/>
          <w:szCs w:val="32"/>
          <w:lang w:val="en-US" w:eastAsia="zh-CN" w:bidi="ar-SA"/>
        </w:rPr>
        <w:t>以乡镇（街道）履职事项清单激活基层治理效能，厘清县乡权责边界，进一步减轻基层负担。</w:t>
      </w:r>
    </w:p>
    <w:p w14:paraId="1F7676E7">
      <w:pPr>
        <w:pStyle w:val="5"/>
        <w:keepNext w:val="0"/>
        <w:keepLines w:val="0"/>
        <w:pageBreakBefore w:val="0"/>
        <w:widowControl w:val="0"/>
        <w:numPr>
          <w:ilvl w:val="0"/>
          <w:numId w:val="0"/>
        </w:numPr>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right="0" w:rightChars="0" w:firstLine="643" w:firstLineChars="200"/>
        <w:jc w:val="both"/>
        <w:textAlignment w:val="auto"/>
        <w:outlineLvl w:val="9"/>
        <w:rPr>
          <w:rFonts w:hint="eastAsia" w:ascii="Times New Roman" w:hAnsi="Times New Roman" w:eastAsia="仿宋_GB2312" w:cs="黑体"/>
          <w:color w:val="auto"/>
          <w:kern w:val="0"/>
          <w:sz w:val="32"/>
          <w:szCs w:val="32"/>
          <w:lang w:val="en-US" w:eastAsia="zh-CN" w:bidi="ar-SA"/>
        </w:rPr>
      </w:pPr>
      <w:r>
        <w:rPr>
          <w:rFonts w:hint="eastAsia" w:ascii="仿宋_GB2312" w:hAnsi="仿宋_GB2312" w:cs="仿宋_GB2312"/>
          <w:b/>
          <w:bCs/>
          <w:color w:val="auto"/>
          <w:kern w:val="0"/>
          <w:sz w:val="32"/>
          <w:szCs w:val="32"/>
          <w:shd w:val="clear" w:color="auto" w:fill="FFFFFF"/>
          <w:vertAlign w:val="baseline"/>
          <w:lang w:val="en-US" w:eastAsia="zh-CN" w:bidi="ar-SA"/>
        </w:rPr>
        <w:t>3.持续推进各类改革。</w:t>
      </w:r>
      <w:r>
        <w:rPr>
          <w:rFonts w:hint="eastAsia" w:ascii="Times New Roman" w:hAnsi="Times New Roman" w:eastAsia="仿宋_GB2312" w:cs="黑体"/>
          <w:color w:val="auto"/>
          <w:kern w:val="0"/>
          <w:sz w:val="32"/>
          <w:szCs w:val="32"/>
          <w:lang w:val="en-US" w:eastAsia="zh-CN" w:bidi="ar-SA"/>
        </w:rPr>
        <w:t>扎实推进园区改革；稳步实施公安改革；有力</w:t>
      </w:r>
      <w:r>
        <w:rPr>
          <w:rFonts w:hint="eastAsia" w:ascii="Times New Roman" w:hAnsi="Times New Roman" w:cs="黑体"/>
          <w:color w:val="auto"/>
          <w:kern w:val="0"/>
          <w:sz w:val="32"/>
          <w:szCs w:val="32"/>
          <w:lang w:val="en-US" w:eastAsia="zh-CN" w:bidi="ar-SA"/>
        </w:rPr>
        <w:t>抓</w:t>
      </w:r>
      <w:r>
        <w:rPr>
          <w:rFonts w:hint="eastAsia" w:ascii="Times New Roman" w:hAnsi="Times New Roman" w:eastAsia="仿宋_GB2312" w:cs="黑体"/>
          <w:color w:val="auto"/>
          <w:kern w:val="0"/>
          <w:sz w:val="32"/>
          <w:szCs w:val="32"/>
          <w:lang w:val="en-US" w:eastAsia="zh-CN" w:bidi="ar-SA"/>
        </w:rPr>
        <w:t>实“三定</w:t>
      </w:r>
      <w:r>
        <w:rPr>
          <w:rFonts w:hint="default" w:ascii="Times New Roman" w:hAnsi="Times New Roman" w:eastAsia="仿宋_GB2312" w:cs="黑体"/>
          <w:color w:val="auto"/>
          <w:kern w:val="0"/>
          <w:sz w:val="32"/>
          <w:szCs w:val="32"/>
          <w:lang w:val="en-US" w:eastAsia="zh-CN" w:bidi="ar-SA"/>
        </w:rPr>
        <w:t>”</w:t>
      </w:r>
      <w:r>
        <w:rPr>
          <w:rFonts w:hint="eastAsia" w:ascii="Times New Roman" w:hAnsi="Times New Roman" w:eastAsia="仿宋_GB2312" w:cs="黑体"/>
          <w:color w:val="auto"/>
          <w:kern w:val="0"/>
          <w:sz w:val="32"/>
          <w:szCs w:val="32"/>
          <w:lang w:val="en-US" w:eastAsia="zh-CN" w:bidi="ar-SA"/>
        </w:rPr>
        <w:t>修订。</w:t>
      </w:r>
    </w:p>
    <w:p w14:paraId="5A23D51B">
      <w:pPr>
        <w:pStyle w:val="5"/>
        <w:keepNext w:val="0"/>
        <w:keepLines w:val="0"/>
        <w:pageBreakBefore w:val="0"/>
        <w:widowControl w:val="0"/>
        <w:numPr>
          <w:ilvl w:val="0"/>
          <w:numId w:val="0"/>
        </w:numPr>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right="0" w:rightChars="0" w:firstLine="643"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宋体" w:cs="仿宋_GB2312"/>
          <w:b/>
          <w:bCs/>
          <w:i w:val="0"/>
          <w:iCs w:val="0"/>
          <w:caps w:val="0"/>
          <w:color w:val="000000"/>
          <w:spacing w:val="0"/>
          <w:sz w:val="32"/>
          <w:szCs w:val="32"/>
          <w:shd w:val="clear" w:color="auto" w:fill="FFFFFF"/>
          <w:lang w:val="en-US" w:eastAsia="zh-CN"/>
        </w:rPr>
        <w:t>4.</w:t>
      </w:r>
      <w:r>
        <w:rPr>
          <w:rFonts w:hint="eastAsia" w:ascii="仿宋_GB2312" w:hAnsi="宋体" w:eastAsia="仿宋_GB2312" w:cs="仿宋_GB2312"/>
          <w:b/>
          <w:bCs/>
          <w:i w:val="0"/>
          <w:iCs w:val="0"/>
          <w:caps w:val="0"/>
          <w:color w:val="000000"/>
          <w:spacing w:val="0"/>
          <w:sz w:val="32"/>
          <w:szCs w:val="32"/>
          <w:shd w:val="clear" w:color="auto" w:fill="FFFFFF"/>
          <w:lang w:val="en-US" w:eastAsia="zh-CN"/>
        </w:rPr>
        <w:t>依法开展全县事业单位登记管理</w:t>
      </w:r>
      <w:r>
        <w:rPr>
          <w:rFonts w:hint="eastAsia" w:ascii="仿宋_GB2312" w:hAnsi="宋体" w:cs="仿宋_GB2312"/>
          <w:b/>
          <w:bCs/>
          <w:i w:val="0"/>
          <w:iCs w:val="0"/>
          <w:caps w:val="0"/>
          <w:color w:val="000000"/>
          <w:spacing w:val="0"/>
          <w:sz w:val="32"/>
          <w:szCs w:val="32"/>
          <w:shd w:val="clear" w:color="auto" w:fill="FFFFFF"/>
          <w:lang w:val="en-US" w:eastAsia="zh-CN"/>
        </w:rPr>
        <w:t>和网上名称管理</w:t>
      </w:r>
      <w:r>
        <w:rPr>
          <w:rFonts w:hint="eastAsia" w:ascii="仿宋_GB2312" w:hAnsi="宋体" w:eastAsia="仿宋_GB2312" w:cs="仿宋_GB2312"/>
          <w:b/>
          <w:bCs/>
          <w:i w:val="0"/>
          <w:iCs w:val="0"/>
          <w:caps w:val="0"/>
          <w:color w:val="000000"/>
          <w:spacing w:val="0"/>
          <w:sz w:val="32"/>
          <w:szCs w:val="32"/>
          <w:shd w:val="clear" w:color="auto" w:fill="FFFFFF"/>
          <w:lang w:val="en-US" w:eastAsia="zh-CN"/>
        </w:rPr>
        <w:t>工作。</w:t>
      </w:r>
      <w:r>
        <w:rPr>
          <w:rFonts w:hint="eastAsia" w:ascii="仿宋_GB2312" w:hAnsi="仿宋_GB2312" w:eastAsia="仿宋_GB2312" w:cs="仿宋_GB2312"/>
          <w:b w:val="0"/>
          <w:bCs w:val="0"/>
          <w:color w:val="auto"/>
          <w:sz w:val="32"/>
          <w:szCs w:val="32"/>
          <w:lang w:val="en-US" w:eastAsia="zh-CN"/>
        </w:rPr>
        <w:t>认真做好事业单位登记管理以及统一社会信用代码赋码工作；扎实开展事业单位“双随机、一公开”抽查工作。高效推进党政机关和事业单位网上名称管理工作，提高网上名称管理的规范化水平。</w:t>
      </w:r>
    </w:p>
    <w:p w14:paraId="5AD19697">
      <w:pPr>
        <w:pStyle w:val="5"/>
        <w:keepNext w:val="0"/>
        <w:keepLines w:val="0"/>
        <w:pageBreakBefore w:val="0"/>
        <w:widowControl w:val="0"/>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left="0" w:right="0" w:rightChars="0" w:firstLine="645"/>
        <w:jc w:val="both"/>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宋体" w:cs="仿宋_GB2312"/>
          <w:b/>
          <w:bCs/>
          <w:i w:val="0"/>
          <w:iCs w:val="0"/>
          <w:caps w:val="0"/>
          <w:color w:val="000000"/>
          <w:spacing w:val="0"/>
          <w:sz w:val="32"/>
          <w:szCs w:val="32"/>
          <w:shd w:val="clear" w:color="auto" w:fill="FFFFFF"/>
          <w:lang w:val="en-US" w:eastAsia="zh-CN"/>
        </w:rPr>
        <w:t>5.</w:t>
      </w:r>
      <w:r>
        <w:rPr>
          <w:rFonts w:hint="eastAsia" w:ascii="仿宋_GB2312" w:hAnsi="宋体" w:eastAsia="仿宋_GB2312" w:cs="仿宋_GB2312"/>
          <w:b/>
          <w:bCs/>
          <w:i w:val="0"/>
          <w:iCs w:val="0"/>
          <w:caps w:val="0"/>
          <w:color w:val="000000"/>
          <w:spacing w:val="0"/>
          <w:sz w:val="32"/>
          <w:szCs w:val="32"/>
          <w:shd w:val="clear" w:color="auto" w:fill="FFFFFF"/>
          <w:lang w:val="en-US" w:eastAsia="zh-CN"/>
        </w:rPr>
        <w:t>加强机构编制</w:t>
      </w:r>
      <w:r>
        <w:rPr>
          <w:rFonts w:hint="eastAsia" w:ascii="仿宋_GB2312" w:hAnsi="宋体" w:cs="仿宋_GB2312"/>
          <w:b/>
          <w:bCs/>
          <w:i w:val="0"/>
          <w:iCs w:val="0"/>
          <w:caps w:val="0"/>
          <w:color w:val="000000"/>
          <w:spacing w:val="0"/>
          <w:sz w:val="32"/>
          <w:szCs w:val="32"/>
          <w:shd w:val="clear" w:color="auto" w:fill="FFFFFF"/>
          <w:lang w:val="en-US" w:eastAsia="zh-CN"/>
        </w:rPr>
        <w:t>法制建设、</w:t>
      </w:r>
      <w:r>
        <w:rPr>
          <w:rFonts w:hint="eastAsia" w:ascii="仿宋_GB2312" w:hAnsi="宋体" w:eastAsia="仿宋_GB2312" w:cs="仿宋_GB2312"/>
          <w:b/>
          <w:bCs/>
          <w:i w:val="0"/>
          <w:iCs w:val="0"/>
          <w:caps w:val="0"/>
          <w:color w:val="000000"/>
          <w:spacing w:val="0"/>
          <w:sz w:val="32"/>
          <w:szCs w:val="32"/>
          <w:shd w:val="clear" w:color="auto" w:fill="FFFFFF"/>
          <w:lang w:val="en-US" w:eastAsia="zh-CN"/>
        </w:rPr>
        <w:t>监督检查</w:t>
      </w:r>
      <w:r>
        <w:rPr>
          <w:rFonts w:hint="eastAsia" w:ascii="仿宋_GB2312" w:hAnsi="宋体" w:cs="仿宋_GB2312"/>
          <w:b/>
          <w:bCs/>
          <w:i w:val="0"/>
          <w:iCs w:val="0"/>
          <w:caps w:val="0"/>
          <w:color w:val="000000"/>
          <w:spacing w:val="0"/>
          <w:sz w:val="32"/>
          <w:szCs w:val="32"/>
          <w:shd w:val="clear" w:color="auto" w:fill="FFFFFF"/>
          <w:lang w:val="en-US" w:eastAsia="zh-CN"/>
        </w:rPr>
        <w:t>。</w:t>
      </w:r>
      <w:r>
        <w:rPr>
          <w:rFonts w:hint="eastAsia" w:ascii="仿宋_GB2312" w:hAnsi="仿宋_GB2312" w:eastAsia="仿宋_GB2312" w:cs="仿宋_GB2312"/>
          <w:b w:val="0"/>
          <w:bCs w:val="0"/>
          <w:color w:val="auto"/>
          <w:sz w:val="32"/>
          <w:szCs w:val="32"/>
          <w:lang w:val="en-US" w:eastAsia="zh-CN"/>
        </w:rPr>
        <w:t>严肃机构编制工作纪律，加快推进机构编制管理的法制化建设。</w:t>
      </w:r>
    </w:p>
    <w:p w14:paraId="5B86BC4D">
      <w:pPr>
        <w:pStyle w:val="5"/>
        <w:keepNext w:val="0"/>
        <w:keepLines w:val="0"/>
        <w:pageBreakBefore w:val="0"/>
        <w:widowControl w:val="0"/>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left="0" w:right="0" w:rightChars="0" w:firstLine="645"/>
        <w:jc w:val="both"/>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lang w:val="en-US" w:eastAsia="zh-CN"/>
        </w:rPr>
        <w:t>做好县委、县政府交办的各项中心工作。</w:t>
      </w:r>
      <w:r>
        <w:rPr>
          <w:rFonts w:hint="eastAsia" w:ascii="仿宋_GB2312" w:hAnsi="仿宋_GB2312" w:eastAsia="仿宋_GB2312" w:cs="仿宋_GB2312"/>
          <w:b w:val="0"/>
          <w:bCs w:val="0"/>
          <w:color w:val="auto"/>
          <w:sz w:val="32"/>
          <w:szCs w:val="32"/>
          <w:lang w:val="en-US" w:eastAsia="zh-CN"/>
        </w:rPr>
        <w:t>统筹做好乡村振兴、平安建设、文明实践等中心工作。</w:t>
      </w:r>
    </w:p>
    <w:p w14:paraId="4D1E5505">
      <w:pPr>
        <w:pStyle w:val="5"/>
        <w:keepNext w:val="0"/>
        <w:keepLines w:val="0"/>
        <w:pageBreakBefore w:val="0"/>
        <w:widowControl w:val="0"/>
        <w:suppressLineNumbers w:val="0"/>
        <w:pBdr>
          <w:bottom w:val="none" w:color="auto" w:sz="0" w:space="0"/>
        </w:pBdr>
        <w:kinsoku/>
        <w:wordWrap w:val="0"/>
        <w:overflowPunct/>
        <w:topLinePunct w:val="0"/>
        <w:autoSpaceDE w:val="0"/>
        <w:autoSpaceDN/>
        <w:bidi w:val="0"/>
        <w:adjustRightInd/>
        <w:snapToGrid/>
        <w:spacing w:before="0" w:beforeAutospacing="0" w:after="0" w:afterAutospacing="0" w:line="560" w:lineRule="exact"/>
        <w:ind w:left="0" w:right="0" w:rightChars="0" w:firstLine="645"/>
        <w:jc w:val="both"/>
        <w:textAlignment w:val="auto"/>
        <w:outlineLvl w:val="9"/>
        <w:rPr>
          <w:rFonts w:hint="eastAsia" w:ascii="黑体" w:hAnsi="黑体" w:eastAsia="黑体" w:cs="黑体"/>
          <w:b/>
          <w:bCs/>
          <w:i w:val="0"/>
          <w:iCs w:val="0"/>
          <w:caps w:val="0"/>
          <w:color w:val="000000"/>
          <w:spacing w:val="0"/>
          <w:kern w:val="2"/>
          <w:sz w:val="32"/>
          <w:szCs w:val="32"/>
          <w:shd w:val="clear" w:color="auto" w:fill="FFFFFF"/>
          <w:lang w:val="en-US" w:eastAsia="zh-CN" w:bidi="ar-SA"/>
        </w:rPr>
      </w:pPr>
      <w:r>
        <w:rPr>
          <w:rFonts w:hint="eastAsia" w:ascii="黑体" w:hAnsi="黑体" w:eastAsia="黑体" w:cs="黑体"/>
          <w:b/>
          <w:bCs/>
          <w:i w:val="0"/>
          <w:iCs w:val="0"/>
          <w:caps w:val="0"/>
          <w:color w:val="000000"/>
          <w:spacing w:val="0"/>
          <w:kern w:val="2"/>
          <w:sz w:val="32"/>
          <w:szCs w:val="32"/>
          <w:shd w:val="clear" w:color="auto" w:fill="FFFFFF"/>
          <w:lang w:val="en-US" w:eastAsia="zh-CN" w:bidi="ar-SA"/>
        </w:rPr>
        <w:t>二、一般公共预算支出情况</w:t>
      </w:r>
    </w:p>
    <w:p w14:paraId="5FD6AE1C">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cs="仿宋_GB2312"/>
          <w:b w:val="0"/>
          <w:bCs w:val="0"/>
          <w:color w:val="auto"/>
          <w:kern w:val="0"/>
          <w:sz w:val="32"/>
          <w:szCs w:val="32"/>
          <w:lang w:val="en-US" w:eastAsia="zh-CN" w:bidi="ar-SA"/>
        </w:rPr>
        <w:t>2025年度</w:t>
      </w:r>
      <w:r>
        <w:rPr>
          <w:rFonts w:hint="eastAsia" w:ascii="仿宋_GB2312" w:hAnsi="仿宋_GB2312" w:eastAsia="仿宋_GB2312" w:cs="仿宋_GB2312"/>
          <w:b w:val="0"/>
          <w:bCs w:val="0"/>
          <w:color w:val="auto"/>
          <w:kern w:val="0"/>
          <w:sz w:val="32"/>
          <w:szCs w:val="32"/>
          <w:lang w:val="en-US" w:eastAsia="zh-CN" w:bidi="ar-SA"/>
        </w:rPr>
        <w:t>一般公共预算拨款支出</w:t>
      </w:r>
      <w:r>
        <w:rPr>
          <w:rFonts w:hint="eastAsia" w:ascii="仿宋_GB2312" w:hAnsi="仿宋_GB2312" w:cs="仿宋_GB2312"/>
          <w:b w:val="0"/>
          <w:bCs w:val="0"/>
          <w:color w:val="auto"/>
          <w:kern w:val="0"/>
          <w:sz w:val="32"/>
          <w:szCs w:val="32"/>
          <w:lang w:val="en-US" w:eastAsia="zh-CN" w:bidi="ar-SA"/>
        </w:rPr>
        <w:t>226.14</w:t>
      </w:r>
      <w:r>
        <w:rPr>
          <w:rFonts w:hint="eastAsia" w:ascii="仿宋_GB2312" w:hAnsi="仿宋_GB2312" w:eastAsia="仿宋_GB2312" w:cs="仿宋_GB2312"/>
          <w:b w:val="0"/>
          <w:bCs w:val="0"/>
          <w:color w:val="auto"/>
          <w:kern w:val="0"/>
          <w:sz w:val="32"/>
          <w:szCs w:val="32"/>
          <w:lang w:val="en-US" w:eastAsia="zh-CN" w:bidi="ar-SA"/>
        </w:rPr>
        <w:t>万元，具体安排情况如下：</w:t>
      </w:r>
    </w:p>
    <w:p w14:paraId="0EF2E163">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i w:val="0"/>
          <w:iCs w:val="0"/>
          <w:caps w:val="0"/>
          <w:color w:val="000000"/>
          <w:spacing w:val="0"/>
          <w:sz w:val="32"/>
          <w:szCs w:val="32"/>
          <w:shd w:val="clear" w:color="auto" w:fill="FFFFFF"/>
          <w:lang w:val="en-US" w:eastAsia="zh-CN"/>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（一）基本支出</w:t>
      </w:r>
    </w:p>
    <w:p w14:paraId="7BBF561C">
      <w:pPr>
        <w:numPr>
          <w:ilvl w:val="0"/>
          <w:numId w:val="0"/>
        </w:numPr>
        <w:ind w:firstLine="640" w:firstLineChars="200"/>
        <w:rPr>
          <w:rFonts w:hint="eastAsia" w:ascii="仿宋_GB2312" w:hAnsi="仿宋_GB2312" w:cs="仿宋_GB2312"/>
          <w:color w:val="auto"/>
          <w:kern w:val="0"/>
          <w:sz w:val="32"/>
          <w:szCs w:val="32"/>
          <w:shd w:val="clear" w:color="auto" w:fill="FFFFFF"/>
          <w:vertAlign w:val="baseline"/>
          <w:lang w:val="en-US" w:eastAsia="zh-CN" w:bidi="ar-SA"/>
        </w:rPr>
      </w:pPr>
      <w:r>
        <w:rPr>
          <w:rFonts w:hint="eastAsia" w:ascii="仿宋_GB2312" w:hAnsi="仿宋_GB2312" w:cs="仿宋_GB2312"/>
          <w:color w:val="auto"/>
          <w:kern w:val="0"/>
          <w:sz w:val="32"/>
          <w:szCs w:val="32"/>
          <w:shd w:val="clear" w:color="auto" w:fill="FFFFFF"/>
          <w:vertAlign w:val="baseline"/>
          <w:lang w:val="en-US" w:eastAsia="zh-CN" w:bidi="ar-SA"/>
        </w:rPr>
        <w:t>2025年全年基本支出199.55万元，其中：</w:t>
      </w:r>
      <w:r>
        <w:rPr>
          <w:rFonts w:hint="eastAsia" w:ascii="仿宋_GB2312" w:hAnsi="仿宋_GB2312" w:eastAsia="仿宋_GB2312" w:cs="仿宋_GB2312"/>
          <w:color w:val="auto"/>
          <w:kern w:val="0"/>
          <w:sz w:val="32"/>
          <w:szCs w:val="32"/>
          <w:shd w:val="clear" w:color="auto" w:fill="FFFFFF"/>
          <w:vertAlign w:val="baseline"/>
          <w:lang w:val="en-US" w:eastAsia="zh-CN" w:bidi="ar-SA"/>
        </w:rPr>
        <w:t>人员经费169.97万元，公用经费29.58万元，</w:t>
      </w:r>
      <w:r>
        <w:rPr>
          <w:rFonts w:hint="eastAsia" w:ascii="仿宋_GB2312" w:hAnsi="仿宋_GB2312" w:cs="仿宋_GB2312"/>
          <w:color w:val="auto"/>
          <w:kern w:val="0"/>
          <w:sz w:val="32"/>
          <w:szCs w:val="32"/>
          <w:shd w:val="clear" w:color="auto" w:fill="FFFFFF"/>
          <w:vertAlign w:val="baseline"/>
          <w:lang w:val="en-US" w:eastAsia="zh-CN" w:bidi="ar-SA"/>
        </w:rPr>
        <w:t>分别占全年基本支出的</w:t>
      </w:r>
      <w:r>
        <w:rPr>
          <w:rFonts w:hint="eastAsia" w:ascii="仿宋_GB2312" w:hAnsi="仿宋_GB2312" w:eastAsia="仿宋_GB2312" w:cs="仿宋_GB2312"/>
          <w:color w:val="auto"/>
          <w:kern w:val="0"/>
          <w:sz w:val="32"/>
          <w:szCs w:val="32"/>
          <w:shd w:val="clear" w:color="auto" w:fill="FFFFFF"/>
          <w:vertAlign w:val="baseline"/>
          <w:lang w:val="en-US" w:eastAsia="zh-CN" w:bidi="ar-SA"/>
        </w:rPr>
        <w:t>85.18%、14.82%。</w:t>
      </w:r>
    </w:p>
    <w:p w14:paraId="2771663D">
      <w:pPr>
        <w:numPr>
          <w:ilvl w:val="0"/>
          <w:numId w:val="0"/>
        </w:numPr>
        <w:ind w:firstLine="640" w:firstLineChars="200"/>
        <w:rPr>
          <w:rFonts w:hint="eastAsia" w:ascii="仿宋_GB2312" w:hAnsi="仿宋_GB2312" w:eastAsia="仿宋_GB2312" w:cs="仿宋_GB2312"/>
          <w:color w:val="auto"/>
          <w:kern w:val="0"/>
          <w:sz w:val="32"/>
          <w:szCs w:val="32"/>
          <w:shd w:val="clear" w:color="auto" w:fill="FFFFFF"/>
          <w:vertAlign w:val="baseline"/>
          <w:lang w:val="en-US" w:eastAsia="zh-CN" w:bidi="ar-SA"/>
        </w:rPr>
      </w:pPr>
      <w:r>
        <w:rPr>
          <w:rFonts w:hint="eastAsia" w:ascii="仿宋_GB2312" w:hAnsi="仿宋_GB2312" w:eastAsia="仿宋_GB2312" w:cs="仿宋_GB2312"/>
          <w:color w:val="auto"/>
          <w:kern w:val="0"/>
          <w:sz w:val="32"/>
          <w:szCs w:val="32"/>
          <w:shd w:val="clear" w:color="auto" w:fill="FFFFFF"/>
          <w:vertAlign w:val="baseline"/>
          <w:lang w:val="en-US" w:eastAsia="zh-CN" w:bidi="ar-SA"/>
        </w:rPr>
        <w:t>人员经费169.97万元。其中基本工资73.57万元，占43.28%；津贴补贴32.36万元，占19.04%；奖金34.19万元，占20.12%；绩效工资4.31万元，占2.53%；机关事业单位养老保险费16.57万元，占9.75%；职工基本医疗保险缴费8.97万元，占5.28%。</w:t>
      </w:r>
    </w:p>
    <w:p w14:paraId="535246A1">
      <w:pPr>
        <w:numPr>
          <w:ilvl w:val="0"/>
          <w:numId w:val="0"/>
        </w:numPr>
        <w:ind w:firstLine="640" w:firstLineChars="200"/>
        <w:rPr>
          <w:rFonts w:hint="eastAsia" w:ascii="仿宋_GB2312" w:hAnsi="仿宋_GB2312" w:eastAsia="仿宋_GB2312" w:cs="仿宋_GB2312"/>
          <w:color w:val="auto"/>
          <w:kern w:val="0"/>
          <w:sz w:val="32"/>
          <w:szCs w:val="32"/>
          <w:shd w:val="clear" w:color="auto" w:fill="FFFFFF"/>
          <w:vertAlign w:val="baseline"/>
          <w:lang w:val="en-US" w:eastAsia="zh-CN" w:bidi="ar-SA"/>
        </w:rPr>
      </w:pPr>
      <w:r>
        <w:rPr>
          <w:rFonts w:hint="eastAsia" w:ascii="仿宋_GB2312" w:hAnsi="仿宋_GB2312" w:eastAsia="仿宋_GB2312" w:cs="仿宋_GB2312"/>
          <w:color w:val="auto"/>
          <w:kern w:val="0"/>
          <w:sz w:val="32"/>
          <w:szCs w:val="32"/>
          <w:shd w:val="clear" w:color="auto" w:fill="FFFFFF"/>
          <w:vertAlign w:val="baseline"/>
          <w:lang w:val="en-US" w:eastAsia="zh-CN" w:bidi="ar-SA"/>
        </w:rPr>
        <w:t>公用经费29.58万元。其中办公费3.37万元，占11.38%；印刷费1.85万元，占6.27%；水费0.04万元，占0.12%；电费1.01万元，占3.41%；邮电费0.21万元，占0.71%；差旅费1.37万元，占4.63%；维护费0.87万元，占2.93%；培训费0.15万元，占0.51%；劳务费0.3万元，占1.01%；工会经费6.4万元，占21.64%；其他交通费用9.08万元，占30.72%；其他商品和服务支出4.93万元，占16.67%。</w:t>
      </w:r>
    </w:p>
    <w:p w14:paraId="6DFC6233">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（二）项目支出</w:t>
      </w:r>
    </w:p>
    <w:p w14:paraId="70CA4CF1">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2</w:t>
      </w:r>
      <w:r>
        <w:rPr>
          <w:rFonts w:hint="eastAsia" w:ascii="仿宋_GB2312" w:hAnsi="仿宋_GB2312" w:cs="仿宋_GB2312"/>
          <w:b w:val="0"/>
          <w:bCs w:val="0"/>
          <w:color w:val="auto"/>
          <w:kern w:val="0"/>
          <w:sz w:val="32"/>
          <w:szCs w:val="32"/>
          <w:lang w:val="en-US" w:eastAsia="zh-CN" w:bidi="ar-SA"/>
        </w:rPr>
        <w:t>025</w:t>
      </w:r>
      <w:r>
        <w:rPr>
          <w:rFonts w:hint="eastAsia" w:ascii="仿宋_GB2312" w:hAnsi="仿宋_GB2312" w:eastAsia="仿宋_GB2312" w:cs="仿宋_GB2312"/>
          <w:b w:val="0"/>
          <w:bCs w:val="0"/>
          <w:color w:val="auto"/>
          <w:kern w:val="0"/>
          <w:sz w:val="32"/>
          <w:szCs w:val="32"/>
          <w:lang w:val="en-US" w:eastAsia="zh-CN" w:bidi="ar-SA"/>
        </w:rPr>
        <w:t>年度项目支出</w:t>
      </w:r>
      <w:r>
        <w:rPr>
          <w:rFonts w:hint="eastAsia" w:ascii="仿宋_GB2312" w:hAnsi="仿宋_GB2312" w:cs="仿宋_GB2312"/>
          <w:b w:val="0"/>
          <w:bCs w:val="0"/>
          <w:color w:val="auto"/>
          <w:kern w:val="0"/>
          <w:sz w:val="32"/>
          <w:szCs w:val="32"/>
          <w:lang w:val="en-US" w:eastAsia="zh-CN" w:bidi="ar-SA"/>
        </w:rPr>
        <w:t>26.59</w:t>
      </w:r>
      <w:r>
        <w:rPr>
          <w:rFonts w:hint="eastAsia" w:ascii="仿宋_GB2312" w:hAnsi="仿宋_GB2312" w:eastAsia="仿宋_GB2312" w:cs="仿宋_GB2312"/>
          <w:b w:val="0"/>
          <w:bCs w:val="0"/>
          <w:color w:val="auto"/>
          <w:kern w:val="0"/>
          <w:sz w:val="32"/>
          <w:szCs w:val="32"/>
          <w:lang w:val="en-US" w:eastAsia="zh-CN" w:bidi="ar-SA"/>
        </w:rPr>
        <w:t>万元（非基建项目），项目中取消事业单位收费年检及公益类事业单位改革</w:t>
      </w:r>
      <w:r>
        <w:rPr>
          <w:rFonts w:hint="eastAsia" w:ascii="仿宋_GB2312" w:hAnsi="仿宋_GB2312" w:cs="仿宋_GB2312"/>
          <w:b w:val="0"/>
          <w:bCs w:val="0"/>
          <w:color w:val="auto"/>
          <w:kern w:val="0"/>
          <w:sz w:val="32"/>
          <w:szCs w:val="32"/>
          <w:lang w:val="en-US" w:eastAsia="zh-CN" w:bidi="ar-SA"/>
        </w:rPr>
        <w:t>支出</w:t>
      </w:r>
      <w:r>
        <w:rPr>
          <w:rFonts w:hint="eastAsia" w:ascii="仿宋_GB2312" w:hAnsi="仿宋_GB2312" w:eastAsia="仿宋_GB2312" w:cs="仿宋_GB2312"/>
          <w:b w:val="0"/>
          <w:bCs w:val="0"/>
          <w:color w:val="auto"/>
          <w:kern w:val="0"/>
          <w:sz w:val="32"/>
          <w:szCs w:val="32"/>
          <w:lang w:val="en-US" w:eastAsia="zh-CN" w:bidi="ar-SA"/>
        </w:rPr>
        <w:t>为</w:t>
      </w:r>
      <w:r>
        <w:rPr>
          <w:rFonts w:hint="eastAsia" w:ascii="仿宋_GB2312" w:hAnsi="仿宋_GB2312" w:cs="仿宋_GB2312"/>
          <w:b w:val="0"/>
          <w:bCs w:val="0"/>
          <w:color w:val="auto"/>
          <w:kern w:val="0"/>
          <w:sz w:val="32"/>
          <w:szCs w:val="32"/>
          <w:lang w:val="en-US" w:eastAsia="zh-CN" w:bidi="ar-SA"/>
        </w:rPr>
        <w:t>7</w:t>
      </w:r>
      <w:r>
        <w:rPr>
          <w:rFonts w:hint="eastAsia" w:ascii="仿宋_GB2312" w:hAnsi="仿宋_GB2312" w:eastAsia="仿宋_GB2312" w:cs="仿宋_GB2312"/>
          <w:b w:val="0"/>
          <w:bCs w:val="0"/>
          <w:color w:val="auto"/>
          <w:kern w:val="0"/>
          <w:sz w:val="32"/>
          <w:szCs w:val="32"/>
          <w:lang w:val="en-US" w:eastAsia="zh-CN" w:bidi="ar-SA"/>
        </w:rPr>
        <w:t>万元，党政机关和事业单位网上名称管理</w:t>
      </w:r>
      <w:r>
        <w:rPr>
          <w:rFonts w:hint="eastAsia" w:ascii="仿宋_GB2312" w:hAnsi="仿宋_GB2312" w:cs="仿宋_GB2312"/>
          <w:b w:val="0"/>
          <w:bCs w:val="0"/>
          <w:color w:val="auto"/>
          <w:kern w:val="0"/>
          <w:sz w:val="32"/>
          <w:szCs w:val="32"/>
          <w:lang w:val="en-US" w:eastAsia="zh-CN" w:bidi="ar-SA"/>
        </w:rPr>
        <w:t>支出</w:t>
      </w:r>
      <w:r>
        <w:rPr>
          <w:rFonts w:hint="eastAsia" w:ascii="仿宋_GB2312" w:hAnsi="仿宋_GB2312" w:eastAsia="仿宋_GB2312" w:cs="仿宋_GB2312"/>
          <w:b w:val="0"/>
          <w:bCs w:val="0"/>
          <w:color w:val="auto"/>
          <w:kern w:val="0"/>
          <w:sz w:val="32"/>
          <w:szCs w:val="32"/>
          <w:lang w:val="en-US" w:eastAsia="zh-CN" w:bidi="ar-SA"/>
        </w:rPr>
        <w:t>为</w:t>
      </w:r>
      <w:r>
        <w:rPr>
          <w:rFonts w:hint="eastAsia" w:ascii="仿宋_GB2312" w:hAnsi="仿宋_GB2312" w:cs="仿宋_GB2312"/>
          <w:b w:val="0"/>
          <w:bCs w:val="0"/>
          <w:color w:val="auto"/>
          <w:kern w:val="0"/>
          <w:sz w:val="32"/>
          <w:szCs w:val="32"/>
          <w:lang w:val="en-US" w:eastAsia="zh-CN" w:bidi="ar-SA"/>
        </w:rPr>
        <w:t>6.99</w:t>
      </w:r>
      <w:r>
        <w:rPr>
          <w:rFonts w:hint="eastAsia" w:ascii="仿宋_GB2312" w:hAnsi="仿宋_GB2312" w:eastAsia="仿宋_GB2312" w:cs="仿宋_GB2312"/>
          <w:b w:val="0"/>
          <w:bCs w:val="0"/>
          <w:color w:val="auto"/>
          <w:kern w:val="0"/>
          <w:sz w:val="32"/>
          <w:szCs w:val="32"/>
          <w:lang w:val="en-US" w:eastAsia="zh-CN" w:bidi="ar-SA"/>
        </w:rPr>
        <w:t>万元</w:t>
      </w:r>
      <w:r>
        <w:rPr>
          <w:rFonts w:hint="eastAsia" w:ascii="仿宋_GB2312" w:hAnsi="仿宋_GB2312" w:cs="仿宋_GB2312"/>
          <w:b w:val="0"/>
          <w:bCs w:val="0"/>
          <w:color w:val="auto"/>
          <w:kern w:val="0"/>
          <w:sz w:val="32"/>
          <w:szCs w:val="32"/>
          <w:lang w:val="en-US" w:eastAsia="zh-CN" w:bidi="ar-SA"/>
        </w:rPr>
        <w:t>，县直部门、乡镇（街道）履职清单编制、评估工作支出</w:t>
      </w:r>
      <w:bookmarkStart w:id="0" w:name="_GoBack"/>
      <w:bookmarkEnd w:id="0"/>
      <w:r>
        <w:rPr>
          <w:rFonts w:hint="eastAsia" w:ascii="仿宋_GB2312" w:hAnsi="仿宋_GB2312" w:cs="仿宋_GB2312"/>
          <w:b w:val="0"/>
          <w:bCs w:val="0"/>
          <w:color w:val="auto"/>
          <w:kern w:val="0"/>
          <w:sz w:val="32"/>
          <w:szCs w:val="32"/>
          <w:lang w:val="en-US" w:eastAsia="zh-CN" w:bidi="ar-SA"/>
        </w:rPr>
        <w:t>12.6万元</w:t>
      </w:r>
      <w:r>
        <w:rPr>
          <w:rFonts w:hint="eastAsia" w:ascii="仿宋_GB2312" w:hAnsi="仿宋_GB2312" w:eastAsia="仿宋_GB2312" w:cs="仿宋_GB2312"/>
          <w:b w:val="0"/>
          <w:bCs w:val="0"/>
          <w:color w:val="auto"/>
          <w:kern w:val="0"/>
          <w:sz w:val="32"/>
          <w:szCs w:val="32"/>
          <w:lang w:val="en-US" w:eastAsia="zh-CN" w:bidi="ar-SA"/>
        </w:rPr>
        <w:t>。</w:t>
      </w:r>
    </w:p>
    <w:p w14:paraId="688B1228">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（三）三公经费支出</w:t>
      </w:r>
    </w:p>
    <w:p w14:paraId="418952C4">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cs="仿宋_GB2312"/>
          <w:b w:val="0"/>
          <w:bCs w:val="0"/>
          <w:color w:val="auto"/>
          <w:kern w:val="0"/>
          <w:sz w:val="32"/>
          <w:szCs w:val="32"/>
          <w:lang w:val="en-US" w:eastAsia="zh-CN" w:bidi="ar-SA"/>
        </w:rPr>
        <w:t>2025年</w:t>
      </w:r>
      <w:r>
        <w:rPr>
          <w:rFonts w:hint="eastAsia" w:ascii="仿宋_GB2312" w:hAnsi="仿宋_GB2312" w:eastAsia="仿宋_GB2312" w:cs="仿宋_GB2312"/>
          <w:b w:val="0"/>
          <w:bCs w:val="0"/>
          <w:color w:val="auto"/>
          <w:kern w:val="0"/>
          <w:sz w:val="32"/>
          <w:szCs w:val="32"/>
          <w:lang w:val="en-US" w:eastAsia="zh-CN" w:bidi="ar-SA"/>
        </w:rPr>
        <w:t>度本单位“三公”经费</w:t>
      </w:r>
      <w:r>
        <w:rPr>
          <w:rFonts w:hint="eastAsia" w:ascii="仿宋_GB2312" w:hAnsi="仿宋_GB2312" w:cs="仿宋_GB2312"/>
          <w:b w:val="0"/>
          <w:bCs w:val="0"/>
          <w:color w:val="auto"/>
          <w:kern w:val="0"/>
          <w:sz w:val="32"/>
          <w:szCs w:val="32"/>
          <w:lang w:val="en-US" w:eastAsia="zh-CN" w:bidi="ar-SA"/>
        </w:rPr>
        <w:t>支出</w:t>
      </w:r>
      <w:r>
        <w:rPr>
          <w:rFonts w:hint="eastAsia" w:ascii="仿宋_GB2312" w:hAnsi="仿宋_GB2312" w:eastAsia="仿宋_GB2312" w:cs="仿宋_GB2312"/>
          <w:b w:val="0"/>
          <w:bCs w:val="0"/>
          <w:color w:val="auto"/>
          <w:kern w:val="0"/>
          <w:sz w:val="32"/>
          <w:szCs w:val="32"/>
          <w:lang w:val="en-US" w:eastAsia="zh-CN" w:bidi="ar-SA"/>
        </w:rPr>
        <w:t>总额为</w:t>
      </w:r>
      <w:r>
        <w:rPr>
          <w:rFonts w:hint="eastAsia" w:ascii="仿宋_GB2312" w:hAnsi="仿宋_GB2312" w:cs="仿宋_GB2312"/>
          <w:b w:val="0"/>
          <w:bCs w:val="0"/>
          <w:color w:val="auto"/>
          <w:kern w:val="0"/>
          <w:sz w:val="32"/>
          <w:szCs w:val="32"/>
          <w:lang w:val="en-US" w:eastAsia="zh-CN" w:bidi="ar-SA"/>
        </w:rPr>
        <w:t>0</w:t>
      </w:r>
      <w:r>
        <w:rPr>
          <w:rFonts w:hint="eastAsia" w:ascii="仿宋_GB2312" w:hAnsi="仿宋_GB2312" w:eastAsia="仿宋_GB2312" w:cs="仿宋_GB2312"/>
          <w:b w:val="0"/>
          <w:bCs w:val="0"/>
          <w:color w:val="auto"/>
          <w:kern w:val="0"/>
          <w:sz w:val="32"/>
          <w:szCs w:val="32"/>
          <w:lang w:val="en-US" w:eastAsia="zh-CN" w:bidi="ar-SA"/>
        </w:rPr>
        <w:t>万元，其中公务用车运行及维护费用0万元，公务接待费</w:t>
      </w:r>
      <w:r>
        <w:rPr>
          <w:rFonts w:hint="eastAsia" w:ascii="仿宋_GB2312" w:hAnsi="仿宋_GB2312" w:cs="仿宋_GB2312"/>
          <w:b w:val="0"/>
          <w:bCs w:val="0"/>
          <w:color w:val="auto"/>
          <w:kern w:val="0"/>
          <w:sz w:val="32"/>
          <w:szCs w:val="32"/>
          <w:lang w:val="en-US" w:eastAsia="zh-CN" w:bidi="ar-SA"/>
        </w:rPr>
        <w:t>0</w:t>
      </w:r>
      <w:r>
        <w:rPr>
          <w:rFonts w:hint="eastAsia" w:ascii="仿宋_GB2312" w:hAnsi="仿宋_GB2312" w:eastAsia="仿宋_GB2312" w:cs="仿宋_GB2312"/>
          <w:b w:val="0"/>
          <w:bCs w:val="0"/>
          <w:color w:val="auto"/>
          <w:kern w:val="0"/>
          <w:sz w:val="32"/>
          <w:szCs w:val="32"/>
          <w:lang w:val="en-US" w:eastAsia="zh-CN" w:bidi="ar-SA"/>
        </w:rPr>
        <w:t>万元。2</w:t>
      </w:r>
      <w:r>
        <w:rPr>
          <w:rFonts w:hint="eastAsia" w:ascii="仿宋_GB2312" w:hAnsi="仿宋_GB2312" w:cs="仿宋_GB2312"/>
          <w:b w:val="0"/>
          <w:bCs w:val="0"/>
          <w:color w:val="auto"/>
          <w:kern w:val="0"/>
          <w:sz w:val="32"/>
          <w:szCs w:val="32"/>
          <w:lang w:val="en-US" w:eastAsia="zh-CN" w:bidi="ar-SA"/>
        </w:rPr>
        <w:t>024</w:t>
      </w:r>
      <w:r>
        <w:rPr>
          <w:rFonts w:hint="eastAsia" w:ascii="仿宋_GB2312" w:hAnsi="仿宋_GB2312" w:eastAsia="仿宋_GB2312" w:cs="仿宋_GB2312"/>
          <w:b w:val="0"/>
          <w:bCs w:val="0"/>
          <w:color w:val="auto"/>
          <w:kern w:val="0"/>
          <w:sz w:val="32"/>
          <w:szCs w:val="32"/>
          <w:lang w:val="en-US" w:eastAsia="zh-CN" w:bidi="ar-SA"/>
        </w:rPr>
        <w:t>年公务用车购置数0台，车辆保有量0台。</w:t>
      </w:r>
    </w:p>
    <w:p w14:paraId="0AB0304B">
      <w:pPr>
        <w:pStyle w:val="9"/>
        <w:numPr>
          <w:ilvl w:val="0"/>
          <w:numId w:val="0"/>
        </w:numPr>
        <w:ind w:left="700" w:leftChars="0"/>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三、政府性基金预算支出情况</w:t>
      </w:r>
    </w:p>
    <w:p w14:paraId="59E4D7E8">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道县县委编办</w:t>
      </w:r>
      <w:r>
        <w:rPr>
          <w:rFonts w:hint="eastAsia" w:ascii="仿宋_GB2312" w:hAnsi="仿宋_GB2312" w:cs="仿宋_GB2312"/>
          <w:b w:val="0"/>
          <w:bCs w:val="0"/>
          <w:color w:val="auto"/>
          <w:kern w:val="0"/>
          <w:sz w:val="32"/>
          <w:szCs w:val="32"/>
          <w:lang w:val="en-US" w:eastAsia="zh-CN" w:bidi="ar-SA"/>
        </w:rPr>
        <w:t>2025</w:t>
      </w:r>
      <w:r>
        <w:rPr>
          <w:rFonts w:hint="eastAsia" w:ascii="仿宋_GB2312" w:hAnsi="仿宋_GB2312" w:eastAsia="仿宋_GB2312" w:cs="仿宋_GB2312"/>
          <w:b w:val="0"/>
          <w:bCs w:val="0"/>
          <w:color w:val="auto"/>
          <w:kern w:val="0"/>
          <w:sz w:val="32"/>
          <w:szCs w:val="32"/>
          <w:lang w:val="en-US" w:eastAsia="zh-CN" w:bidi="ar-SA"/>
        </w:rPr>
        <w:t>年无政府性基金预算。</w:t>
      </w:r>
    </w:p>
    <w:p w14:paraId="26AEE57C">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四、</w:t>
      </w:r>
      <w:r>
        <w:rPr>
          <w:rFonts w:hint="default" w:ascii="黑体" w:hAnsi="黑体" w:eastAsia="黑体" w:cs="黑体"/>
          <w:b/>
          <w:bCs/>
          <w:color w:val="auto"/>
          <w:kern w:val="2"/>
          <w:sz w:val="32"/>
          <w:szCs w:val="32"/>
          <w:lang w:val="en-US" w:eastAsia="zh-CN" w:bidi="ar-SA"/>
        </w:rPr>
        <w:t>国有资本经营预算支出情况</w:t>
      </w:r>
    </w:p>
    <w:p w14:paraId="3B1377B0">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道县县委编办</w:t>
      </w:r>
      <w:r>
        <w:rPr>
          <w:rFonts w:hint="eastAsia" w:ascii="仿宋_GB2312" w:hAnsi="宋体" w:cs="仿宋_GB2312"/>
          <w:i w:val="0"/>
          <w:iCs w:val="0"/>
          <w:caps w:val="0"/>
          <w:color w:val="000000"/>
          <w:spacing w:val="0"/>
          <w:sz w:val="32"/>
          <w:szCs w:val="32"/>
          <w:shd w:val="clear" w:color="auto" w:fill="FFFFFF"/>
          <w:lang w:val="en-US" w:eastAsia="zh-CN"/>
        </w:rPr>
        <w:t>2025</w:t>
      </w:r>
      <w:r>
        <w:rPr>
          <w:rFonts w:hint="eastAsia" w:ascii="仿宋_GB2312" w:hAnsi="宋体" w:eastAsia="仿宋_GB2312" w:cs="仿宋_GB2312"/>
          <w:i w:val="0"/>
          <w:iCs w:val="0"/>
          <w:caps w:val="0"/>
          <w:color w:val="000000"/>
          <w:spacing w:val="0"/>
          <w:sz w:val="32"/>
          <w:szCs w:val="32"/>
          <w:shd w:val="clear" w:color="auto" w:fill="FFFFFF"/>
          <w:lang w:val="en-US" w:eastAsia="zh-CN"/>
        </w:rPr>
        <w:t>年无国有资本经营预算</w:t>
      </w:r>
    </w:p>
    <w:p w14:paraId="55885257">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五、</w:t>
      </w:r>
      <w:r>
        <w:rPr>
          <w:rFonts w:hint="default" w:ascii="黑体" w:hAnsi="黑体" w:eastAsia="黑体" w:cs="黑体"/>
          <w:b/>
          <w:bCs/>
          <w:color w:val="auto"/>
          <w:kern w:val="2"/>
          <w:sz w:val="32"/>
          <w:szCs w:val="32"/>
          <w:lang w:val="en-US" w:eastAsia="zh-CN" w:bidi="ar-SA"/>
        </w:rPr>
        <w:t>社会保险基金预算支出情况</w:t>
      </w:r>
    </w:p>
    <w:p w14:paraId="3D42FA70">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（一）养老保险：</w:t>
      </w:r>
      <w:r>
        <w:rPr>
          <w:rFonts w:hint="eastAsia" w:ascii="仿宋_GB2312" w:hAnsi="仿宋_GB2312" w:cs="仿宋_GB2312"/>
          <w:b w:val="0"/>
          <w:bCs w:val="0"/>
          <w:color w:val="auto"/>
          <w:kern w:val="0"/>
          <w:sz w:val="32"/>
          <w:szCs w:val="32"/>
          <w:lang w:val="en-US" w:eastAsia="zh-CN" w:bidi="ar-SA"/>
        </w:rPr>
        <w:t>2025</w:t>
      </w:r>
      <w:r>
        <w:rPr>
          <w:rFonts w:hint="eastAsia" w:ascii="仿宋_GB2312" w:hAnsi="仿宋_GB2312" w:eastAsia="仿宋_GB2312" w:cs="仿宋_GB2312"/>
          <w:b w:val="0"/>
          <w:bCs w:val="0"/>
          <w:color w:val="auto"/>
          <w:kern w:val="0"/>
          <w:sz w:val="32"/>
          <w:szCs w:val="32"/>
          <w:lang w:val="en-US" w:eastAsia="zh-CN" w:bidi="ar-SA"/>
        </w:rPr>
        <w:t>年初预算</w:t>
      </w:r>
      <w:r>
        <w:rPr>
          <w:rFonts w:hint="eastAsia" w:ascii="仿宋_GB2312" w:hAnsi="仿宋_GB2312" w:cs="仿宋_GB2312"/>
          <w:b w:val="0"/>
          <w:bCs w:val="0"/>
          <w:color w:val="auto"/>
          <w:kern w:val="0"/>
          <w:sz w:val="32"/>
          <w:szCs w:val="32"/>
          <w:lang w:val="en-US" w:eastAsia="zh-CN" w:bidi="ar-SA"/>
        </w:rPr>
        <w:t>16.57</w:t>
      </w:r>
      <w:r>
        <w:rPr>
          <w:rFonts w:hint="eastAsia" w:ascii="仿宋_GB2312" w:hAnsi="仿宋_GB2312" w:eastAsia="仿宋_GB2312" w:cs="仿宋_GB2312"/>
          <w:b w:val="0"/>
          <w:bCs w:val="0"/>
          <w:color w:val="auto"/>
          <w:kern w:val="0"/>
          <w:sz w:val="32"/>
          <w:szCs w:val="32"/>
          <w:lang w:val="en-US" w:eastAsia="zh-CN" w:bidi="ar-SA"/>
        </w:rPr>
        <w:t>万元，2</w:t>
      </w:r>
      <w:r>
        <w:rPr>
          <w:rFonts w:hint="eastAsia" w:ascii="仿宋_GB2312" w:hAnsi="仿宋_GB2312" w:cs="仿宋_GB2312"/>
          <w:b w:val="0"/>
          <w:bCs w:val="0"/>
          <w:color w:val="auto"/>
          <w:kern w:val="0"/>
          <w:sz w:val="32"/>
          <w:szCs w:val="32"/>
          <w:lang w:val="en-US" w:eastAsia="zh-CN" w:bidi="ar-SA"/>
        </w:rPr>
        <w:t>025</w:t>
      </w:r>
      <w:r>
        <w:rPr>
          <w:rFonts w:hint="eastAsia" w:ascii="仿宋_GB2312" w:hAnsi="仿宋_GB2312" w:eastAsia="仿宋_GB2312" w:cs="仿宋_GB2312"/>
          <w:b w:val="0"/>
          <w:bCs w:val="0"/>
          <w:color w:val="auto"/>
          <w:kern w:val="0"/>
          <w:sz w:val="32"/>
          <w:szCs w:val="32"/>
          <w:lang w:val="en-US" w:eastAsia="zh-CN" w:bidi="ar-SA"/>
        </w:rPr>
        <w:t>年决算</w:t>
      </w:r>
      <w:r>
        <w:rPr>
          <w:rFonts w:hint="eastAsia" w:ascii="仿宋_GB2312" w:hAnsi="仿宋_GB2312" w:cs="仿宋_GB2312"/>
          <w:b w:val="0"/>
          <w:bCs w:val="0"/>
          <w:color w:val="auto"/>
          <w:kern w:val="0"/>
          <w:sz w:val="32"/>
          <w:szCs w:val="32"/>
          <w:lang w:val="en-US" w:eastAsia="zh-CN" w:bidi="ar-SA"/>
        </w:rPr>
        <w:t>16.57</w:t>
      </w:r>
      <w:r>
        <w:rPr>
          <w:rFonts w:hint="eastAsia" w:ascii="仿宋_GB2312" w:hAnsi="仿宋_GB2312" w:eastAsia="仿宋_GB2312" w:cs="仿宋_GB2312"/>
          <w:b w:val="0"/>
          <w:bCs w:val="0"/>
          <w:color w:val="auto"/>
          <w:kern w:val="0"/>
          <w:sz w:val="32"/>
          <w:szCs w:val="32"/>
          <w:lang w:val="en-US" w:eastAsia="zh-CN" w:bidi="ar-SA"/>
        </w:rPr>
        <w:t>元，决算与预算持平，主要原因是严格开展预算执行。</w:t>
      </w:r>
    </w:p>
    <w:p w14:paraId="211D3329">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（二）医疗保险：2</w:t>
      </w:r>
      <w:r>
        <w:rPr>
          <w:rFonts w:hint="eastAsia" w:ascii="仿宋_GB2312" w:hAnsi="仿宋_GB2312" w:cs="仿宋_GB2312"/>
          <w:b w:val="0"/>
          <w:bCs w:val="0"/>
          <w:color w:val="auto"/>
          <w:kern w:val="0"/>
          <w:sz w:val="32"/>
          <w:szCs w:val="32"/>
          <w:lang w:val="en-US" w:eastAsia="zh-CN" w:bidi="ar-SA"/>
        </w:rPr>
        <w:t>025</w:t>
      </w:r>
      <w:r>
        <w:rPr>
          <w:rFonts w:hint="eastAsia" w:ascii="仿宋_GB2312" w:hAnsi="仿宋_GB2312" w:eastAsia="仿宋_GB2312" w:cs="仿宋_GB2312"/>
          <w:b w:val="0"/>
          <w:bCs w:val="0"/>
          <w:color w:val="auto"/>
          <w:kern w:val="0"/>
          <w:sz w:val="32"/>
          <w:szCs w:val="32"/>
          <w:lang w:val="en-US" w:eastAsia="zh-CN" w:bidi="ar-SA"/>
        </w:rPr>
        <w:t>年初预算</w:t>
      </w:r>
      <w:r>
        <w:rPr>
          <w:rFonts w:hint="eastAsia" w:ascii="仿宋_GB2312" w:hAnsi="仿宋_GB2312" w:cs="仿宋_GB2312"/>
          <w:b w:val="0"/>
          <w:bCs w:val="0"/>
          <w:color w:val="auto"/>
          <w:kern w:val="0"/>
          <w:sz w:val="32"/>
          <w:szCs w:val="32"/>
          <w:lang w:val="en-US" w:eastAsia="zh-CN" w:bidi="ar-SA"/>
        </w:rPr>
        <w:t>8.97</w:t>
      </w:r>
      <w:r>
        <w:rPr>
          <w:rFonts w:hint="eastAsia" w:ascii="仿宋_GB2312" w:hAnsi="仿宋_GB2312" w:eastAsia="仿宋_GB2312" w:cs="仿宋_GB2312"/>
          <w:b w:val="0"/>
          <w:bCs w:val="0"/>
          <w:color w:val="auto"/>
          <w:kern w:val="0"/>
          <w:sz w:val="32"/>
          <w:szCs w:val="32"/>
          <w:lang w:val="en-US" w:eastAsia="zh-CN" w:bidi="ar-SA"/>
        </w:rPr>
        <w:t>万元，2</w:t>
      </w:r>
      <w:r>
        <w:rPr>
          <w:rFonts w:hint="eastAsia" w:ascii="仿宋_GB2312" w:hAnsi="仿宋_GB2312" w:cs="仿宋_GB2312"/>
          <w:b w:val="0"/>
          <w:bCs w:val="0"/>
          <w:color w:val="auto"/>
          <w:kern w:val="0"/>
          <w:sz w:val="32"/>
          <w:szCs w:val="32"/>
          <w:lang w:val="en-US" w:eastAsia="zh-CN" w:bidi="ar-SA"/>
        </w:rPr>
        <w:t>025</w:t>
      </w:r>
      <w:r>
        <w:rPr>
          <w:rFonts w:hint="eastAsia" w:ascii="仿宋_GB2312" w:hAnsi="仿宋_GB2312" w:eastAsia="仿宋_GB2312" w:cs="仿宋_GB2312"/>
          <w:b w:val="0"/>
          <w:bCs w:val="0"/>
          <w:color w:val="auto"/>
          <w:kern w:val="0"/>
          <w:sz w:val="32"/>
          <w:szCs w:val="32"/>
          <w:lang w:val="en-US" w:eastAsia="zh-CN" w:bidi="ar-SA"/>
        </w:rPr>
        <w:t>年决算</w:t>
      </w:r>
      <w:r>
        <w:rPr>
          <w:rFonts w:hint="eastAsia" w:ascii="仿宋_GB2312" w:hAnsi="仿宋_GB2312" w:cs="仿宋_GB2312"/>
          <w:b w:val="0"/>
          <w:bCs w:val="0"/>
          <w:color w:val="auto"/>
          <w:kern w:val="0"/>
          <w:sz w:val="32"/>
          <w:szCs w:val="32"/>
          <w:lang w:val="en-US" w:eastAsia="zh-CN" w:bidi="ar-SA"/>
        </w:rPr>
        <w:t>8.97</w:t>
      </w:r>
      <w:r>
        <w:rPr>
          <w:rFonts w:hint="eastAsia" w:ascii="仿宋_GB2312" w:hAnsi="仿宋_GB2312" w:eastAsia="仿宋_GB2312" w:cs="仿宋_GB2312"/>
          <w:b w:val="0"/>
          <w:bCs w:val="0"/>
          <w:color w:val="auto"/>
          <w:kern w:val="0"/>
          <w:sz w:val="32"/>
          <w:szCs w:val="32"/>
          <w:lang w:val="en-US" w:eastAsia="zh-CN" w:bidi="ar-SA"/>
        </w:rPr>
        <w:t>万元，决算与预算持平，主要原因是严格开展预算执行。</w:t>
      </w:r>
    </w:p>
    <w:p w14:paraId="1936F15D">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六、</w:t>
      </w:r>
      <w:r>
        <w:rPr>
          <w:rFonts w:hint="default" w:ascii="黑体" w:hAnsi="黑体" w:eastAsia="黑体" w:cs="黑体"/>
          <w:b/>
          <w:bCs/>
          <w:color w:val="auto"/>
          <w:kern w:val="2"/>
          <w:sz w:val="32"/>
          <w:szCs w:val="32"/>
          <w:lang w:val="en-US" w:eastAsia="zh-CN" w:bidi="ar-SA"/>
        </w:rPr>
        <w:t>部门整体支出绩效情况</w:t>
      </w:r>
    </w:p>
    <w:p w14:paraId="40054810">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牢固树立县委编办是党的政治机关、政治性是机构编制工作本质属性的观念，增强“四个意识”，坚定“四个自信”，规范创新机构编制管理。通过机构编制实名制管理，建立健全机构编制审核、审批制度，有效控制了机构编制无序增长，机构编制管理更为规范化、制度化。同时按照上级指示，县委编办积极完成各项中心工作。</w:t>
      </w:r>
    </w:p>
    <w:p w14:paraId="4B1B1C2D">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一是强化政治建设铸根基。以政治建设统领全局，严格落实“第一议题”制度，全年开展专题学习、警示教育等各类活动30余次，查摆整改作风问题12个；抓实党建标准化建设，规范党内政治生活，推动党建与业务深度融合，凝聚履职合力。</w:t>
      </w:r>
    </w:p>
    <w:p w14:paraId="59ADF1EB">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二是从严监管巡察促规范。扎实开展县委机构编制专项巡察，第八轮检查10个单位、整改问题10项，整改率100%；第九轮覆盖8个县直单位、13所学校，发现线索20个，有效规范编制管理，助力县委科学决策。</w:t>
      </w:r>
    </w:p>
    <w:p w14:paraId="32EE7F95">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三是科学配置编制强保障。坚持“总量控制、增减平衡”，动态盘活编制存量。全年核准用编436名，办理人员编制业务1453人次，做实实名制管理，提升编制使用效益。始终坚持党对机构编制工作的集中统一领导，牢牢把握改革方向，聚焦主责主业，稳妥有序推进重点领域体制机制改革。扎实推进园区改革，稳步实施公安改革，制定出台县农村经营服务站、县融媒体中心、县疾控中心三个部门的“三定”规定。</w:t>
      </w:r>
      <w:r>
        <w:rPr>
          <w:rFonts w:hint="eastAsia" w:ascii="仿宋_GB2312" w:hAnsi="仿宋_GB2312" w:cs="仿宋_GB2312"/>
          <w:b w:val="0"/>
          <w:bCs w:val="0"/>
          <w:color w:val="auto"/>
          <w:kern w:val="0"/>
          <w:sz w:val="32"/>
          <w:szCs w:val="32"/>
          <w:lang w:val="en-US" w:eastAsia="zh-CN" w:bidi="ar-SA"/>
        </w:rPr>
        <w:t>建立乡镇（街道）履职事项清单，</w:t>
      </w:r>
      <w:r>
        <w:rPr>
          <w:rFonts w:hint="eastAsia" w:ascii="仿宋_GB2312" w:hAnsi="仿宋_GB2312" w:eastAsia="仿宋_GB2312" w:cs="仿宋_GB2312"/>
          <w:b w:val="0"/>
          <w:bCs w:val="0"/>
          <w:color w:val="auto"/>
          <w:kern w:val="0"/>
          <w:sz w:val="32"/>
          <w:szCs w:val="32"/>
          <w:lang w:val="en-US" w:eastAsia="zh-CN" w:bidi="ar-SA"/>
        </w:rPr>
        <w:t>以乡镇（街道）履职事项清单激活基层治理效能，厘清县乡权责边界，进一步减轻基层负担。</w:t>
      </w:r>
    </w:p>
    <w:p w14:paraId="68C70B6F">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四是规范登记管理提效能。完成283家事业单位年报审核，公示率100%，办理设立、变更、注销登记36家；更新信用代码69条，开展信用核查34次；摸排14家敬老院、24家幼儿园，责令3所幼儿园限期整改，强化法人监管。</w:t>
      </w:r>
    </w:p>
    <w:p w14:paraId="03968B59">
      <w:pPr>
        <w:keepNext w:val="0"/>
        <w:keepLines w:val="0"/>
        <w:pageBreakBefore w:val="0"/>
        <w:widowControl w:val="0"/>
        <w:kinsoku/>
        <w:wordWrap/>
        <w:overflowPunct/>
        <w:topLinePunct w:val="0"/>
        <w:autoSpaceDE/>
        <w:autoSpaceDN/>
        <w:bidi w:val="0"/>
        <w:adjustRightInd/>
        <w:snapToGrid/>
        <w:spacing w:before="0" w:after="0" w:line="560" w:lineRule="exact"/>
        <w:ind w:right="0" w:firstLine="643" w:firstLineChars="200"/>
        <w:textAlignment w:val="auto"/>
        <w:outlineLvl w:val="9"/>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七、存在的问题及原因分析</w:t>
      </w:r>
    </w:p>
    <w:p w14:paraId="7C290E0A">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预算绩效观念不够强，工作质量有待提高。单位对预算绩效管理工作不够重视，缺乏主动性；对预算绩效管理工作的重要性认识不够深入，申报绩效目标不够明确。</w:t>
      </w:r>
    </w:p>
    <w:p w14:paraId="4B6A0BDF">
      <w:pPr>
        <w:keepNext w:val="0"/>
        <w:keepLines w:val="0"/>
        <w:pageBreakBefore w:val="0"/>
        <w:widowControl w:val="0"/>
        <w:kinsoku/>
        <w:wordWrap/>
        <w:overflowPunct/>
        <w:topLinePunct w:val="0"/>
        <w:autoSpaceDE/>
        <w:autoSpaceDN/>
        <w:bidi w:val="0"/>
        <w:adjustRightInd/>
        <w:snapToGrid/>
        <w:spacing w:before="0" w:after="0" w:line="560" w:lineRule="exact"/>
        <w:ind w:right="0" w:firstLine="643" w:firstLineChars="200"/>
        <w:textAlignment w:val="auto"/>
        <w:outlineLvl w:val="9"/>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八、改进措施和有关建议</w:t>
      </w:r>
    </w:p>
    <w:p w14:paraId="4E9E3AA4">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1.细化预算编制工作，认真做好预算编制。进一步加强预算管理意识，严格按照预算编制的相关制度和要求进行预算编制，提高绩效监控工作质量，完善绩效管理制度。</w:t>
      </w:r>
    </w:p>
    <w:p w14:paraId="05316434">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2.规范绩效目标编制，分解细化各项工作要求，科学设置绩效目标和相关指标，加强绩效目标审核，提升绩效目标编制质量，提升资金使用效率。</w:t>
      </w:r>
    </w:p>
    <w:p w14:paraId="53B85CDF">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3.加强对政府会计制度、内控制度、固定资产管理制度等的学习培训，加强会计队伍建设，提高财务人员的业务水平。</w:t>
      </w:r>
    </w:p>
    <w:p w14:paraId="0808EDE7">
      <w:pPr>
        <w:pStyle w:val="9"/>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九、绩效自评结果拟应用和公开情况</w:t>
      </w:r>
    </w:p>
    <w:p w14:paraId="4771B759">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firstLine="640" w:firstLineChars="200"/>
        <w:textAlignment w:val="auto"/>
        <w:outlineLvl w:val="9"/>
        <w:rPr>
          <w:rFonts w:cs="黑体" w:asciiTheme="minorEastAsia" w:hAnsiTheme="minorEastAsia"/>
          <w:color w:val="000000"/>
          <w:kern w:val="0"/>
          <w:sz w:val="32"/>
          <w:szCs w:val="32"/>
        </w:rPr>
      </w:pPr>
      <w:r>
        <w:rPr>
          <w:rFonts w:hint="eastAsia" w:ascii="仿宋_GB2312" w:hAnsi="仿宋_GB2312" w:eastAsia="仿宋_GB2312" w:cs="仿宋_GB2312"/>
          <w:b w:val="0"/>
          <w:bCs w:val="0"/>
          <w:color w:val="auto"/>
          <w:kern w:val="0"/>
          <w:sz w:val="32"/>
          <w:szCs w:val="32"/>
          <w:lang w:val="en-US" w:eastAsia="zh-CN" w:bidi="ar-SA"/>
        </w:rPr>
        <w:t>道县县委编办高度重视绩效评价结果的应用工作，积极探索和建立一套与预算管理相结合、多渠道应用评价结果的有效机制，着力提高绩效意识和财政资金使用效益。同时，道县县委编办部门整体支出绩效自评报告委托财政局在道县人民政府门户网站上进行公开，广泛接受社会监督。</w:t>
      </w:r>
    </w:p>
    <w:p w14:paraId="4E75DBF9">
      <w:pPr>
        <w:pStyle w:val="9"/>
        <w:rPr>
          <w:rFonts w:hint="eastAsia"/>
          <w:lang w:val="en-US" w:eastAsia="zh-CN"/>
        </w:rPr>
      </w:pPr>
    </w:p>
    <w:sectPr>
      <w:footerReference r:id="rId5" w:type="default"/>
      <w:pgSz w:w="11906" w:h="16838"/>
      <w:pgMar w:top="720" w:right="720" w:bottom="720" w:left="720" w:header="0" w:footer="0" w:gutter="0"/>
      <w:pgNumType w:fmt="decimal" w:start="1"/>
      <w:cols w:space="720" w:num="1"/>
      <w:formProt w:val="0"/>
      <w:docGrid w:type="lines" w:linePitch="312" w:charSpace="919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1394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5B680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5B680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NzJiMWM2NGNiZmM3OWI5YzJkYjRiNTg2ZWI5YjcifQ=="/>
  </w:docVars>
  <w:rsids>
    <w:rsidRoot w:val="1FE508A8"/>
    <w:rsid w:val="017A2CD6"/>
    <w:rsid w:val="01FD49AE"/>
    <w:rsid w:val="02BE3A7E"/>
    <w:rsid w:val="02E323C2"/>
    <w:rsid w:val="04157DE6"/>
    <w:rsid w:val="05662A1A"/>
    <w:rsid w:val="06761173"/>
    <w:rsid w:val="06A64F55"/>
    <w:rsid w:val="07104FF4"/>
    <w:rsid w:val="087671A8"/>
    <w:rsid w:val="088E3EF3"/>
    <w:rsid w:val="0AAB21E9"/>
    <w:rsid w:val="0C3F680E"/>
    <w:rsid w:val="0CCD7A25"/>
    <w:rsid w:val="0DD121CF"/>
    <w:rsid w:val="0F1152BA"/>
    <w:rsid w:val="0F352603"/>
    <w:rsid w:val="0F493172"/>
    <w:rsid w:val="0F663CC4"/>
    <w:rsid w:val="0FA27E20"/>
    <w:rsid w:val="104A2BC8"/>
    <w:rsid w:val="10B62203"/>
    <w:rsid w:val="11032982"/>
    <w:rsid w:val="11835A58"/>
    <w:rsid w:val="119772DC"/>
    <w:rsid w:val="128454B8"/>
    <w:rsid w:val="12B622F5"/>
    <w:rsid w:val="13AC0307"/>
    <w:rsid w:val="14242FB9"/>
    <w:rsid w:val="157F4DFE"/>
    <w:rsid w:val="158A6DFA"/>
    <w:rsid w:val="15E12A6B"/>
    <w:rsid w:val="15FA5603"/>
    <w:rsid w:val="17754DA5"/>
    <w:rsid w:val="17B33589"/>
    <w:rsid w:val="181A6968"/>
    <w:rsid w:val="189A3193"/>
    <w:rsid w:val="189A48F0"/>
    <w:rsid w:val="1A865052"/>
    <w:rsid w:val="1A9B5D97"/>
    <w:rsid w:val="1AFE6750"/>
    <w:rsid w:val="1C760675"/>
    <w:rsid w:val="1C8D6050"/>
    <w:rsid w:val="1DB86FD2"/>
    <w:rsid w:val="1E411767"/>
    <w:rsid w:val="1EB85791"/>
    <w:rsid w:val="1F5861E6"/>
    <w:rsid w:val="1FE508A8"/>
    <w:rsid w:val="21186A36"/>
    <w:rsid w:val="216A1A51"/>
    <w:rsid w:val="22230260"/>
    <w:rsid w:val="22C30EFC"/>
    <w:rsid w:val="23D53DCE"/>
    <w:rsid w:val="23EF484B"/>
    <w:rsid w:val="2476750B"/>
    <w:rsid w:val="247C0F46"/>
    <w:rsid w:val="24E262D4"/>
    <w:rsid w:val="252346CB"/>
    <w:rsid w:val="26411F0F"/>
    <w:rsid w:val="28344198"/>
    <w:rsid w:val="28E91465"/>
    <w:rsid w:val="29D91ACD"/>
    <w:rsid w:val="2B8C3E80"/>
    <w:rsid w:val="2DA65CC6"/>
    <w:rsid w:val="2EDA7796"/>
    <w:rsid w:val="2F680650"/>
    <w:rsid w:val="2FFA422D"/>
    <w:rsid w:val="30427A6E"/>
    <w:rsid w:val="31204E4E"/>
    <w:rsid w:val="314450AE"/>
    <w:rsid w:val="318C6D07"/>
    <w:rsid w:val="31BF3BFD"/>
    <w:rsid w:val="32216740"/>
    <w:rsid w:val="322202A5"/>
    <w:rsid w:val="32943A5E"/>
    <w:rsid w:val="332646F5"/>
    <w:rsid w:val="33B20256"/>
    <w:rsid w:val="350B23FD"/>
    <w:rsid w:val="35534E80"/>
    <w:rsid w:val="363D4E79"/>
    <w:rsid w:val="377A2E68"/>
    <w:rsid w:val="37C93AFD"/>
    <w:rsid w:val="391A2AB5"/>
    <w:rsid w:val="391C09EB"/>
    <w:rsid w:val="394B3E20"/>
    <w:rsid w:val="3C27572D"/>
    <w:rsid w:val="3C962103"/>
    <w:rsid w:val="3D4B26B7"/>
    <w:rsid w:val="3DB20562"/>
    <w:rsid w:val="3DCA3DDD"/>
    <w:rsid w:val="3DE47719"/>
    <w:rsid w:val="3DEC0798"/>
    <w:rsid w:val="3FA14457"/>
    <w:rsid w:val="405076DB"/>
    <w:rsid w:val="413D5E2E"/>
    <w:rsid w:val="42E607E3"/>
    <w:rsid w:val="434C6037"/>
    <w:rsid w:val="434E5850"/>
    <w:rsid w:val="437A26E2"/>
    <w:rsid w:val="47317B0B"/>
    <w:rsid w:val="47E921D8"/>
    <w:rsid w:val="488D06A9"/>
    <w:rsid w:val="48A23AC9"/>
    <w:rsid w:val="48EC5020"/>
    <w:rsid w:val="4B8F64D6"/>
    <w:rsid w:val="4BB27A1B"/>
    <w:rsid w:val="4BD838A6"/>
    <w:rsid w:val="4C963363"/>
    <w:rsid w:val="4E220463"/>
    <w:rsid w:val="50275404"/>
    <w:rsid w:val="509179E9"/>
    <w:rsid w:val="51AC7025"/>
    <w:rsid w:val="543D1517"/>
    <w:rsid w:val="552471A1"/>
    <w:rsid w:val="55BF1B7B"/>
    <w:rsid w:val="55DD7D88"/>
    <w:rsid w:val="56400886"/>
    <w:rsid w:val="57B51D0E"/>
    <w:rsid w:val="58CF2BD4"/>
    <w:rsid w:val="58EE01E7"/>
    <w:rsid w:val="59AA46C9"/>
    <w:rsid w:val="5A201A9E"/>
    <w:rsid w:val="5BDF6065"/>
    <w:rsid w:val="5C59160D"/>
    <w:rsid w:val="5CE45005"/>
    <w:rsid w:val="5E984B73"/>
    <w:rsid w:val="5EB804F7"/>
    <w:rsid w:val="5FA363BB"/>
    <w:rsid w:val="61745F2F"/>
    <w:rsid w:val="63912610"/>
    <w:rsid w:val="64E07E01"/>
    <w:rsid w:val="6616417C"/>
    <w:rsid w:val="67C9107F"/>
    <w:rsid w:val="67F842F2"/>
    <w:rsid w:val="683E1FB4"/>
    <w:rsid w:val="68AD1DE1"/>
    <w:rsid w:val="68E26E5A"/>
    <w:rsid w:val="693E5803"/>
    <w:rsid w:val="69A1579B"/>
    <w:rsid w:val="69D9139F"/>
    <w:rsid w:val="6ACC3696"/>
    <w:rsid w:val="6BA92D4B"/>
    <w:rsid w:val="6BEF1545"/>
    <w:rsid w:val="6C396DDE"/>
    <w:rsid w:val="6CCE2F41"/>
    <w:rsid w:val="6D167B12"/>
    <w:rsid w:val="6F607933"/>
    <w:rsid w:val="6F8B3544"/>
    <w:rsid w:val="70516601"/>
    <w:rsid w:val="70CB2F29"/>
    <w:rsid w:val="72A9257E"/>
    <w:rsid w:val="73097711"/>
    <w:rsid w:val="734A27AC"/>
    <w:rsid w:val="76211435"/>
    <w:rsid w:val="79CD5821"/>
    <w:rsid w:val="7A6A63B4"/>
    <w:rsid w:val="7AAB73C8"/>
    <w:rsid w:val="7AD54E7F"/>
    <w:rsid w:val="7B07484F"/>
    <w:rsid w:val="7BB4699F"/>
    <w:rsid w:val="7C057755"/>
    <w:rsid w:val="7C4B2269"/>
    <w:rsid w:val="7D5C6C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0" w:lineRule="exact"/>
      <w:ind w:firstLine="200" w:firstLineChars="200"/>
      <w:jc w:val="both"/>
    </w:pPr>
    <w:rPr>
      <w:rFonts w:ascii="Times New Roman" w:hAnsi="Times New Roman" w:eastAsia="仿宋_GB2312" w:cs="Times New Roman"/>
      <w:kern w:val="2"/>
      <w:sz w:val="32"/>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customStyle="1" w:styleId="8">
    <w:name w:val="标题 31"/>
    <w:basedOn w:val="9"/>
    <w:next w:val="9"/>
    <w:unhideWhenUsed/>
    <w:qFormat/>
    <w:uiPriority w:val="0"/>
    <w:pPr>
      <w:keepNext/>
      <w:keepLines/>
      <w:spacing w:before="260" w:beforeAutospacing="0" w:after="260" w:afterAutospacing="0" w:line="410" w:lineRule="auto"/>
      <w:outlineLvl w:val="2"/>
    </w:pPr>
    <w:rPr>
      <w:b/>
      <w:sz w:val="32"/>
    </w:rPr>
  </w:style>
  <w:style w:type="paragraph" w:customStyle="1" w:styleId="9">
    <w:name w:val="正文1"/>
    <w:qFormat/>
    <w:uiPriority w:val="0"/>
    <w:pPr>
      <w:widowControl w:val="0"/>
      <w:suppressAutoHyphens w:val="0"/>
      <w:bidi w:val="0"/>
      <w:spacing w:before="0" w:after="0"/>
      <w:jc w:val="both"/>
    </w:pPr>
    <w:rPr>
      <w:rFonts w:ascii="Times New Roman" w:hAnsi="Times New Roman" w:eastAsia="宋体" w:cs="Times New Roman"/>
      <w:color w:val="auto"/>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2212</Words>
  <Characters>2478</Characters>
  <Lines>0</Lines>
  <Paragraphs>0</Paragraphs>
  <TotalTime>3</TotalTime>
  <ScaleCrop>false</ScaleCrop>
  <LinksUpToDate>false</LinksUpToDate>
  <CharactersWithSpaces>2478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2021-09-07T10:05:00Z</dcterms:created>
  <dc:creator>Administrator</dc:creator>
  <cp:lastModifiedBy>木子李</cp:lastModifiedBy>
  <cp:lastPrinted>2026-09-09T02:23:00Z</cp:lastPrinted>
  <dcterms:modified xsi:type="dcterms:W3CDTF">2026-09-09T13:05:38Z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3504757AB10548FEAEB03DFD45E4A964</vt:lpwstr>
  </property>
  <property fmtid="{D5CDD505-2E9C-101B-9397-08002B2CF9AE}" pid="4" name="KSOTemplateDocerSaveRecord">
    <vt:lpwstr>eyJoZGlkIjoiY2NkNmY3NGE0Y2QyNmI2MzVlYTQ0YmE5NmU0YjExZTUiLCJ1c2VySWQiOiIzNTg3OTE5ODQifQ==</vt:lpwstr>
  </property>
</Properties>
</file>