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2025</w:t>
      </w:r>
      <w:r>
        <w:rPr>
          <w:rFonts w:hint="eastAsia" w:ascii="宋体" w:hAnsi="宋体"/>
          <w:b/>
          <w:sz w:val="36"/>
          <w:szCs w:val="36"/>
        </w:rPr>
        <w:t>年道县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柑子园镇人民政府</w:t>
      </w:r>
      <w:r>
        <w:rPr>
          <w:rFonts w:hint="eastAsia" w:ascii="宋体" w:hAnsi="宋体"/>
          <w:b/>
          <w:sz w:val="36"/>
          <w:szCs w:val="36"/>
        </w:rPr>
        <w:t>部门整体支出</w:t>
      </w:r>
    </w:p>
    <w:p>
      <w:pPr>
        <w:spacing w:line="58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绩效评价报告</w:t>
      </w:r>
    </w:p>
    <w:p>
      <w:pPr>
        <w:spacing w:line="580" w:lineRule="exact"/>
        <w:jc w:val="center"/>
        <w:rPr>
          <w:rFonts w:ascii="宋体" w:hAnsi="宋体"/>
          <w:b/>
          <w:sz w:val="36"/>
          <w:szCs w:val="36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一、基本情况</w:t>
      </w:r>
    </w:p>
    <w:p>
      <w:pPr>
        <w:adjustRightInd w:val="0"/>
        <w:snapToGrid w:val="0"/>
        <w:spacing w:line="580" w:lineRule="exact"/>
        <w:ind w:firstLine="643" w:firstLineChars="200"/>
        <w:rPr>
          <w:rFonts w:ascii="楷体_GB2312" w:hAnsi="楷体" w:eastAsia="楷体_GB2312"/>
          <w:b/>
          <w:bCs/>
          <w:sz w:val="32"/>
          <w:szCs w:val="32"/>
        </w:rPr>
      </w:pPr>
      <w:r>
        <w:rPr>
          <w:rFonts w:hint="eastAsia" w:ascii="楷体_GB2312" w:hAnsi="楷体" w:eastAsia="楷体_GB2312"/>
          <w:b/>
          <w:bCs/>
          <w:sz w:val="32"/>
          <w:szCs w:val="32"/>
        </w:rPr>
        <w:t>（一）部门（</w:t>
      </w:r>
      <w:r>
        <w:rPr>
          <w:rFonts w:hint="eastAsia" w:ascii="楷体_GB2312" w:hAnsi="楷体" w:eastAsia="楷体_GB2312" w:cs="宋体"/>
          <w:b/>
          <w:bCs/>
          <w:sz w:val="32"/>
          <w:szCs w:val="32"/>
        </w:rPr>
        <w:t>单</w:t>
      </w:r>
      <w:r>
        <w:rPr>
          <w:rFonts w:hint="eastAsia" w:ascii="楷体_GB2312" w:hAnsi="楷体" w:eastAsia="楷体_GB2312" w:cs="Yu Gothic Medium"/>
          <w:b/>
          <w:bCs/>
          <w:sz w:val="32"/>
          <w:szCs w:val="32"/>
        </w:rPr>
        <w:t>位）基本情况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柑子园镇人民政府</w:t>
      </w:r>
      <w:r>
        <w:rPr>
          <w:rFonts w:hint="eastAsia" w:ascii="仿宋_GB2312" w:hAnsi="仿宋" w:eastAsia="仿宋_GB2312"/>
          <w:sz w:val="32"/>
          <w:szCs w:val="32"/>
        </w:rPr>
        <w:t>为政府工作部门，正科级单位，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2025</w:t>
      </w:r>
      <w:r>
        <w:rPr>
          <w:rFonts w:hint="eastAsia" w:ascii="仿宋_GB2312" w:hAnsi="仿宋" w:eastAsia="仿宋_GB2312"/>
          <w:sz w:val="32"/>
          <w:szCs w:val="32"/>
        </w:rPr>
        <w:t>年底共有在职人员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63</w:t>
      </w:r>
      <w:r>
        <w:rPr>
          <w:rFonts w:hint="eastAsia" w:ascii="仿宋_GB2312" w:hAnsi="仿宋" w:eastAsia="仿宋_GB2312"/>
          <w:sz w:val="32"/>
          <w:szCs w:val="32"/>
        </w:rPr>
        <w:t>人，内设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党政</w:t>
      </w:r>
      <w:r>
        <w:rPr>
          <w:rFonts w:hint="eastAsia" w:ascii="仿宋_GB2312" w:hAnsi="仿宋" w:eastAsia="仿宋_GB2312"/>
          <w:sz w:val="32"/>
          <w:szCs w:val="32"/>
        </w:rPr>
        <w:t>办公室、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党建办</w:t>
      </w:r>
      <w:r>
        <w:rPr>
          <w:rFonts w:hint="eastAsia" w:ascii="仿宋_GB2312" w:hAnsi="仿宋" w:eastAsia="仿宋_GB2312"/>
          <w:sz w:val="32"/>
          <w:szCs w:val="32"/>
        </w:rPr>
        <w:t>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纪委办、农业农村办、综治办、财政所、政务中心和乡村振兴办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8个职能股室</w:t>
      </w:r>
      <w:r>
        <w:rPr>
          <w:rFonts w:hint="eastAsia" w:ascii="仿宋_GB2312" w:hAnsi="仿宋" w:eastAsia="仿宋_GB2312"/>
          <w:sz w:val="32"/>
          <w:szCs w:val="32"/>
        </w:rPr>
        <w:t>，主要工作职能及任务如下：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（1）执行本级人民代表大会的决议和上级国家行政机关的决定和命令，发布决定和命令。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（2）执行本行政区域内的经济和社会发展计划，加强公共设施的建设和管理，发展各项服务事业。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（3）依法管理本级财政、执行本级预算。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（4）保护国有资产和集体所有的财产，保护公民私人所有的合法财产、保障公民的人身权利、民主权利和其他权利，保护各种组织的合法权益。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（5）承办上级人民政府交办的其他事项。</w:t>
      </w:r>
    </w:p>
    <w:p>
      <w:pPr>
        <w:pStyle w:val="7"/>
        <w:spacing w:line="580" w:lineRule="exact"/>
        <w:rPr>
          <w:rFonts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（二）部门（单位）年度整体支出绩效目标</w:t>
      </w:r>
    </w:p>
    <w:p>
      <w:pPr>
        <w:pStyle w:val="7"/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为全面贯彻落实党的</w:t>
      </w:r>
      <w:r>
        <w:rPr>
          <w:rFonts w:hint="eastAsia" w:ascii="仿宋_GB2312" w:eastAsia="仿宋_GB2312"/>
          <w:sz w:val="32"/>
          <w:szCs w:val="32"/>
          <w:lang w:eastAsia="zh-CN"/>
        </w:rPr>
        <w:t>二十</w:t>
      </w:r>
      <w:r>
        <w:rPr>
          <w:rFonts w:hint="eastAsia" w:ascii="仿宋_GB2312" w:eastAsia="仿宋_GB2312"/>
          <w:sz w:val="32"/>
          <w:szCs w:val="32"/>
        </w:rPr>
        <w:t>大和</w:t>
      </w:r>
      <w:r>
        <w:rPr>
          <w:rFonts w:hint="eastAsia" w:ascii="仿宋_GB2312" w:eastAsia="仿宋_GB2312"/>
          <w:sz w:val="32"/>
          <w:szCs w:val="32"/>
          <w:lang w:eastAsia="zh-CN"/>
        </w:rPr>
        <w:t>二十</w:t>
      </w:r>
      <w:r>
        <w:rPr>
          <w:rFonts w:hint="eastAsia" w:ascii="仿宋_GB2312" w:eastAsia="仿宋_GB2312"/>
          <w:sz w:val="32"/>
          <w:szCs w:val="32"/>
        </w:rPr>
        <w:t>届历次全会精神、落实习近平总书记关于</w:t>
      </w:r>
      <w:r>
        <w:rPr>
          <w:rFonts w:hint="eastAsia" w:ascii="仿宋_GB2312" w:eastAsia="仿宋_GB2312"/>
          <w:sz w:val="32"/>
          <w:szCs w:val="32"/>
          <w:lang w:eastAsia="zh-CN"/>
        </w:rPr>
        <w:t>基层政府</w:t>
      </w:r>
      <w:r>
        <w:rPr>
          <w:rFonts w:hint="eastAsia" w:ascii="仿宋_GB2312" w:eastAsia="仿宋_GB2312"/>
          <w:sz w:val="32"/>
          <w:szCs w:val="32"/>
        </w:rPr>
        <w:t>工作的重要指示精神，围绕省市经济工作会议精神，落实县党代会、经济工作会议部署要求，紧扣道县“十</w:t>
      </w:r>
      <w:r>
        <w:rPr>
          <w:rFonts w:hint="eastAsia" w:ascii="仿宋_GB2312" w:eastAsia="仿宋_GB2312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五”规划发展目标任务，加大对</w:t>
      </w:r>
      <w:r>
        <w:rPr>
          <w:rFonts w:hint="eastAsia" w:ascii="仿宋_GB2312" w:eastAsia="仿宋_GB2312"/>
          <w:sz w:val="32"/>
          <w:szCs w:val="32"/>
          <w:lang w:eastAsia="zh-CN"/>
        </w:rPr>
        <w:t>本镇</w:t>
      </w:r>
      <w:r>
        <w:rPr>
          <w:rFonts w:hint="eastAsia" w:ascii="仿宋_GB2312" w:eastAsia="仿宋_GB2312"/>
          <w:sz w:val="32"/>
          <w:szCs w:val="32"/>
        </w:rPr>
        <w:t>经济社会发展战略、民生领域</w:t>
      </w:r>
      <w:r>
        <w:rPr>
          <w:rFonts w:hint="eastAsia" w:ascii="仿宋_GB2312" w:eastAsia="仿宋_GB2312"/>
          <w:sz w:val="32"/>
          <w:szCs w:val="32"/>
          <w:lang w:eastAsia="zh-CN"/>
        </w:rPr>
        <w:t>等项目的建设力度，让广大人民群众过上幸福满意的生活。</w:t>
      </w:r>
    </w:p>
    <w:p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二、一般公共预算支出情况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（一）基本支出情况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用于为保障我单位正常运转、完成日常工作任务而发生的支出，包括人员经费和公用经费。2025年一般公共预算拨款支出756.58万元，具体安排情况如下：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1、基本支出：613.94万元。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2、项目支出：142.64万元。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机关运行经费情况：办公费16.6万元，印刷费3万元，水费3万元，电费6万元，差旅费3万元，维修费3万元，会议费5万元，培训费5万元，劳务费8.08万元，工会经费15万元，公务用车运行维护费4.42万元，其他交通费用15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（二）项目支出情况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一般公共预算财政拨款项目支出142.64万元，具体使用情况如下: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1.死亡抚恤4.14万元。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2.村级公益事业奖补47万元。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3.村级办公经费70.5万元。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4.把截萝卜发展资金5万元。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5.彩票公益金16万元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（三）“三公经费”预算与实际支出减少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2025年度本单位“三公”经费总额为1.5万元，其中公务用车运行及维护费用4.42万元，公务接待费0万元。与预算相比减少了0.08万元。2025年公务用车购置数0台，车辆保有量1台，国内公务接待0批次，接待人数0人。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三、政府性基金预算支出情况</w:t>
      </w:r>
    </w:p>
    <w:p>
      <w:pPr>
        <w:spacing w:line="580" w:lineRule="exact"/>
        <w:ind w:right="11" w:firstLine="640" w:firstLineChars="200"/>
        <w:rPr>
          <w:rFonts w:ascii="仿宋_GB2312" w:hAnsi="仿宋_GB2312" w:eastAsia="仿宋_GB2312" w:cs="仿宋_GB2312"/>
          <w:b/>
          <w:bCs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道县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柑子园镇人民政府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年无政府性基金预算。</w:t>
      </w:r>
    </w:p>
    <w:p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四、</w:t>
      </w:r>
      <w:r>
        <w:rPr>
          <w:rFonts w:eastAsia="黑体"/>
          <w:sz w:val="32"/>
          <w:szCs w:val="32"/>
        </w:rPr>
        <w:t>国有资本经营预算支出情况</w:t>
      </w:r>
    </w:p>
    <w:p>
      <w:pPr>
        <w:spacing w:line="580" w:lineRule="exact"/>
        <w:ind w:right="11" w:firstLine="640" w:firstLineChars="200"/>
        <w:rPr>
          <w:rFonts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道县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柑子园镇人民政府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年无国有资本经营预算支出。</w:t>
      </w:r>
    </w:p>
    <w:p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五、</w:t>
      </w:r>
      <w:r>
        <w:rPr>
          <w:rFonts w:eastAsia="黑体"/>
          <w:sz w:val="32"/>
          <w:szCs w:val="32"/>
        </w:rPr>
        <w:t>社会保险基金预算支出情况</w:t>
      </w:r>
    </w:p>
    <w:p>
      <w:pPr>
        <w:spacing w:line="580" w:lineRule="exact"/>
        <w:ind w:right="11" w:firstLine="640" w:firstLineChars="200"/>
        <w:rPr>
          <w:rFonts w:ascii="仿宋_GB2312" w:hAnsi="仿宋_GB2312" w:eastAsia="仿宋_GB2312" w:cs="仿宋_GB2312"/>
          <w:bCs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</w:rPr>
        <w:t>道县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柑子园镇人民政府</w:t>
      </w: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</w:rPr>
        <w:t>年无社会保险基金预算支出。</w:t>
      </w:r>
    </w:p>
    <w:p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六、部门整体支出绩效情况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年，道县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柑子园镇人民政府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坚持“依法审计、服务大局、围绕中心、突出重点、求真务实”的工作方针，全面学习贯彻党的二十大精神，准确把握报告中提出的新目标新任务新要求，坚持和加强党对审计工作的集中统一领导，砥砺奋进、勇毅前行，以高质量审计推动高质量发展，奋力谱写新时代道县审计事业新的篇章。</w:t>
      </w:r>
    </w:p>
    <w:p>
      <w:pPr>
        <w:adjustRightInd w:val="0"/>
        <w:snapToGrid w:val="0"/>
        <w:spacing w:line="580" w:lineRule="exact"/>
        <w:ind w:firstLine="643" w:firstLineChars="200"/>
        <w:rPr>
          <w:rFonts w:ascii="楷体_GB2312" w:hAnsi="仿宋_GB2312" w:eastAsia="楷体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仿宋_GB2312" w:eastAsia="楷体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一、工作开展情况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一是始终强化党建引领。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坚持加强党员队伍建设，全年发展预备党员10名，培养入党积极分子50余人。关心关爱特殊党员群体，春节和"七一"期间慰问困难党员19人，发放慰问金7600元。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二是始终坚持正风肃纪。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紧盯乡村振兴资金、农村“三资”管理、惠农补贴发放等重点领域，累计开展明察暗访和专项监督检查9次，组织集体廉政谈话3次，覆盖党员干部120余人次。坚持严肃执纪问责，全年查办党员干部违纪违法案件12起，处理11人次，其中开除党籍2人，党内警告5人，警告4人，形成有力震慑。深化以案促改，组织全体镇村干部观看警示教育片2次，切实增强党员干部廉政意识和责任担当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三是深入一线解题。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真答好开门纳谏“必答题”,领导班子带队调研各村，结合基层治理、乡村振兴等解决问题20余个；通过设置意见箱、电话访谈、集中座谈等方式，向群众征集意见建议，累计解决“农田水利”、“修缮道路、路灯”等诉求8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----这一年，我们聚焦“乡村更快振兴”，强基础、兴产业，发展迈出“新步伐”。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一是脱贫攻坚成果有效衔接。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累计走访脱贫户、监测对象和一般农户共计1600余户（10类人员），排查解决问题86个，确保应纳尽纳。对无劳动能力对象强化兜底保障，资助特殊人群参保2393人748800元；对有劳动能力对象通过产业带动、就业安置等措施激发内生动力。对已消除风险的65户对象设立6个月观察期，定期跟踪收入变化与政策落实情况。目前，全镇累计消除返贫致贫风险65户225人，未发生规模性返贫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二是产业发展提质增效。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桑蚕产业：我镇成功引进湖南省瑶都国丝农业发展有限公司，项目首期流转土地2900余亩，种植桑树1000亩，建成智慧养蚕示范中心、小蚕共育室及配套冷库共6000平方米，于6月正式投产并实现全程机械化养殖。创新采用“公司+基地+村集体+合作社+供应链”模式，构建多方共赢格局：农户通过土地流转获得稳定租金；基地提供100余个就业岗位，帮助13户困难群众和15名残疾人士稳定就业，人均年增收3000元；同时为留守妇女、老人提供日均120元的轻体力岗位，有效带动群众增收。萝卜产业：善祥村“雪玉巴截萝卜”荣获2024年永州“十大畅销蔬菜”称号。今年在原有3300亩基础上新增种植1000亩，辐射带动周边5个村连片发展。通过成立合作社并引入湖南雁晟农业科技有限公司，投入300万元推进品牌化建设与深加工转型，建成初加工厂房1100平方米、深加工厂房2000平方米，开发出干萝卜、火烧萝卜、麻辣萝卜小零食等系列产品，附加值提升10倍以上。项目预计带动村集体增收8万元，新增就业40余人，促进300余农户增收致富。同时积极拓展电商渠道，产品远销粤港澳大湾区，种植户年均增收超20%，实现了从传统种植向全产业链发展的转型升级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三是粮食生产稳产供保。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坚决扛牢粮食安全政治责任，完成粮食播种面积31900亩，其中，水稻面积26000亩，旱粮面积5900亩;发放6229名农民耕地地力保护补贴2007384.75元。完成油菜种植面积6800亩，免费发放油菜种子3000斤，硼肥1260斤，极大地调动了农民生产积极性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----这一年，我们紧扣“环境更加优美”，补短板、固成效，生态增添“新颜值”。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一是深化人居环境整治。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环境整治办点示范6个，精心组织实施“四小园”建设，目前三海洞村“小公园”、善祥村“小花园”、燕石洞村“小菜园”、油湘川岩潭休闲文化广场4个示范片已全面建成。巩固扩大农村厕所革命成果，推进全镇农村问题厕所“清零攻坚行动”，共改户厕7户，村容村貌显著改善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二是推动乡风文明建设。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我镇创新推行“屋场会+”工作模式，建立镇、村、组三级联动责任体系，将移风易俗与环境整治深度融合。累计举办屋场会66场，建成三海洞村“小公园”、善祥村“小花园”、燕石洞村“小菜园”及油湘川岩潭休闲文化广场等4个示范片和6处美丽屋场。同时以修订村规民约为契机，倡仪简办红白喜事20场，降低高价彩礼10户，宣传覆盖群众1万余人。屋场会还成为倾听民声、化解矛盾、解决民忧的重要平台。我们建立民生诉求台账和矛盾纠纷现场调处机制，累计收集民生诉求30余条，其中已完成10条诉求的落实工作，其余诉求正在有序推进解决，调处矛盾纠纷16起，群众满意度显著提升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----这一年，我们致力“群众更为富足”，增福祉、惠民生，生活达到“新水平”。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一是社会保障更加有力。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强化兜底保障、创新工作方法，全年共计发放低保资金360959元、特困供养资金222076.4元、临时救助资金总计资金193860元，其中镇级临时救助人数123人，县级临时救助人数28人，为困难群众托起稳稳的幸福。成立专班对辖区特殊群体和困难群众进行跟进服务，累计服务各类群体3563人，其中残疾人543人，低保610户1318人，临时救助123人，事实无人抚养儿童29人，孤儿17人，90岁高龄107人，特困328人，80岁高龄544人。开展上门评残活动2次，完成残疾人评残11人，保障特殊群体利益。申请发放困难残疾人生活补贴318人，重度残疾人补贴225人，残疾人共发放生活补贴48870元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二是公益行动有声有色。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镇民政社工站通过多方协同链接爱心物质5000元，全年开展关爱老人、儿童、妇女等活动5次。开展个案2例，入户走访150余人，收到服务对象送来的感谢锦旗2面。打造“利剑护蕾 安全卫士—未成年人保护计划”品牌亮点一个。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三是教育事业蓬勃发展。</w:t>
      </w:r>
      <w:r>
        <w:rPr>
          <w:rFonts w:hint="eastAsia" w:ascii="仿宋" w:hAnsi="仿宋" w:eastAsia="仿宋" w:cs="仿宋"/>
          <w:sz w:val="32"/>
          <w:szCs w:val="32"/>
        </w:rPr>
        <w:t>我们与本地及外地的爱心企业家建立紧密联系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，动员了一批</w:t>
      </w:r>
      <w:r>
        <w:rPr>
          <w:rFonts w:hint="eastAsia" w:ascii="仿宋" w:hAnsi="仿宋" w:eastAsia="仿宋" w:cs="仿宋"/>
          <w:sz w:val="32"/>
          <w:szCs w:val="32"/>
        </w:rPr>
        <w:t>乡贤及爱心人士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慷慨解囊，捐资助学</w:t>
      </w:r>
      <w:r>
        <w:rPr>
          <w:rFonts w:hint="eastAsia" w:ascii="仿宋" w:hAnsi="仿宋" w:eastAsia="仿宋" w:cs="仿宋"/>
          <w:sz w:val="32"/>
          <w:szCs w:val="32"/>
        </w:rPr>
        <w:t>。柑子园镇乡贤联谊会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成立以来</w:t>
      </w:r>
      <w:r>
        <w:rPr>
          <w:rFonts w:hint="eastAsia" w:ascii="仿宋" w:hAnsi="仿宋" w:eastAsia="仿宋" w:cs="仿宋"/>
          <w:sz w:val="32"/>
          <w:szCs w:val="32"/>
        </w:rPr>
        <w:t>共筹资43万元，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设立了专项教育基金，用于奖励优秀学子、资助困难学生，确保了没有一个孩子因家庭经济困难而失学</w:t>
      </w:r>
      <w:r>
        <w:rPr>
          <w:rFonts w:hint="eastAsia" w:ascii="仿宋" w:hAnsi="仿宋" w:eastAsia="仿宋" w:cs="仿宋"/>
          <w:sz w:val="32"/>
          <w:szCs w:val="32"/>
        </w:rPr>
        <w:t>。我们先后投入</w:t>
      </w:r>
      <w:r>
        <w:rPr>
          <w:rFonts w:hint="default" w:ascii="仿宋" w:hAnsi="仿宋" w:eastAsia="仿宋" w:cs="仿宋"/>
          <w:sz w:val="32"/>
          <w:szCs w:val="32"/>
        </w:rPr>
        <w:t>30万元</w:t>
      </w:r>
      <w:r>
        <w:rPr>
          <w:rFonts w:hint="eastAsia" w:ascii="仿宋" w:hAnsi="仿宋" w:eastAsia="仿宋" w:cs="仿宋"/>
          <w:sz w:val="32"/>
          <w:szCs w:val="32"/>
        </w:rPr>
        <w:t>用于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柑子园</w:t>
      </w:r>
      <w:r>
        <w:rPr>
          <w:rFonts w:hint="eastAsia" w:ascii="仿宋" w:hAnsi="仿宋" w:eastAsia="仿宋" w:cs="仿宋"/>
          <w:sz w:val="32"/>
          <w:szCs w:val="32"/>
        </w:rPr>
        <w:t>镇中</w:t>
      </w:r>
      <w:r>
        <w:rPr>
          <w:rFonts w:hint="default" w:ascii="仿宋" w:hAnsi="仿宋" w:eastAsia="仿宋" w:cs="仿宋"/>
          <w:sz w:val="32"/>
          <w:szCs w:val="32"/>
        </w:rPr>
        <w:t>小学校</w:t>
      </w:r>
      <w:r>
        <w:rPr>
          <w:rFonts w:hint="eastAsia" w:ascii="仿宋" w:hAnsi="仿宋" w:eastAsia="仿宋" w:cs="仿宋"/>
          <w:sz w:val="32"/>
          <w:szCs w:val="32"/>
        </w:rPr>
        <w:t>的硬件设施改善。建设多</w:t>
      </w:r>
      <w:r>
        <w:rPr>
          <w:rFonts w:hint="default" w:ascii="仿宋" w:hAnsi="仿宋" w:eastAsia="仿宋" w:cs="仿宋"/>
          <w:sz w:val="32"/>
          <w:szCs w:val="32"/>
        </w:rPr>
        <w:t>功能</w:t>
      </w:r>
      <w:r>
        <w:rPr>
          <w:rFonts w:hint="eastAsia" w:ascii="仿宋" w:hAnsi="仿宋" w:eastAsia="仿宋" w:cs="仿宋"/>
          <w:sz w:val="32"/>
          <w:szCs w:val="32"/>
        </w:rPr>
        <w:t>教室，引入先进的教学</w:t>
      </w:r>
      <w:r>
        <w:rPr>
          <w:rFonts w:hint="default" w:ascii="仿宋" w:hAnsi="仿宋" w:eastAsia="仿宋" w:cs="仿宋"/>
          <w:sz w:val="32"/>
          <w:szCs w:val="32"/>
        </w:rPr>
        <w:t>仪器</w:t>
      </w:r>
      <w:r>
        <w:rPr>
          <w:rFonts w:hint="eastAsia" w:ascii="仿宋" w:hAnsi="仿宋" w:eastAsia="仿宋" w:cs="仿宋"/>
          <w:sz w:val="32"/>
          <w:szCs w:val="32"/>
        </w:rPr>
        <w:t>设备，让学生们能够接触到更丰富的教学资源；硬化操场，改造运动场地，建设标准化篮球场、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乒乓球</w:t>
      </w:r>
      <w:r>
        <w:rPr>
          <w:rFonts w:hint="default" w:ascii="仿宋" w:hAnsi="仿宋" w:eastAsia="仿宋" w:cs="仿宋"/>
          <w:sz w:val="32"/>
          <w:szCs w:val="32"/>
        </w:rPr>
        <w:t>台</w:t>
      </w:r>
      <w:r>
        <w:rPr>
          <w:rFonts w:hint="eastAsia" w:ascii="仿宋" w:hAnsi="仿宋" w:eastAsia="仿宋" w:cs="仿宋"/>
          <w:sz w:val="32"/>
          <w:szCs w:val="32"/>
        </w:rPr>
        <w:t>等，为学生们提供了良好的体育锻炼环境；同时，</w:t>
      </w:r>
      <w:r>
        <w:rPr>
          <w:rFonts w:hint="default" w:ascii="仿宋" w:hAnsi="仿宋" w:eastAsia="仿宋" w:cs="仿宋"/>
          <w:sz w:val="32"/>
          <w:szCs w:val="32"/>
        </w:rPr>
        <w:t>在柑子园中心小学修建沿河护栏，为学生上下学筑起安全屏障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2025年，我们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奖励优秀高考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生116名，奖励优秀中考生8名，奖励和资助金额达8.64万元。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-----这一年，我们瞄准“治理更加高效”，防风险、促和谐，创新激活“新模式”。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是平安建设稳中向好。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通过开门接访、包案下访、多元化解等措施，有效化解群体信访积案，实现重要节会期间重点人员“零赴省、零进京”。截至目前，全镇未发生命案、性侵案件及外流贩毒，社会大局保持稳定。全年共排查矛盾纠纷65件，成功化解54件，化解率达83%。深入开展法治宣传教育，组织防性侵、法治讲座及“政法五老”进校园等活动，发放宣传图册5000余份；联合司法所开展集市宣传9次，发放资料1万余份，群众法治意识显著提升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是安全生产常抓不懈。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保障辖区安全稳定，我镇组织召开安全生产工作会议26次，严格落实“每月至少1次”工作要求。联合市场监管、消防救援及应急管理部门开展联合督查8次，各站所独立巡查15次，累计出动检查人员80人次，全镇未发生安全生产事故。聚焦烟花爆竹、建筑施工、道路交通等重点领域，检查各类场所60家，排查整改安全隐患60项，整改率达100%。结合“安全生产月”“消防宣传月”等节点，开展主题宣传活动6场，覆盖群众7000人次，发放宣传手册1万余份，悬挂横幅60条，群众安全防范意识显著提升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三是应急防范能力提升。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应急技能培训2次，重点培训灭火器操作、应急疏散等实用技能，参训300人次，有效提升基层应急处置能力。组织企业、村（社区）开展应急演练3场，参与人员200人次，通过实战化演练检验预案、锻炼队伍，提升应急响应能力。</w:t>
      </w:r>
    </w:p>
    <w:p>
      <w:pPr>
        <w:pStyle w:val="4"/>
        <w:widowControl/>
        <w:spacing w:before="0" w:beforeAutospacing="0" w:after="0" w:afterAutospacing="0" w:line="580" w:lineRule="exact"/>
        <w:ind w:firstLine="640" w:firstLineChars="200"/>
        <w:rPr>
          <w:rFonts w:ascii="黑体" w:hAnsi="黑体" w:eastAsia="黑体" w:cs="黑体"/>
          <w:bCs/>
          <w:color w:val="010101"/>
          <w:sz w:val="32"/>
          <w:szCs w:val="32"/>
        </w:rPr>
      </w:pPr>
      <w:r>
        <w:rPr>
          <w:rFonts w:hint="eastAsia" w:ascii="黑体" w:hAnsi="黑体" w:eastAsia="黑体" w:cs="黑体"/>
          <w:bCs/>
          <w:color w:val="010101"/>
          <w:sz w:val="32"/>
          <w:szCs w:val="32"/>
        </w:rPr>
        <w:t>七、存在的问题及原因分析</w:t>
      </w:r>
    </w:p>
    <w:p>
      <w:pPr>
        <w:pStyle w:val="4"/>
        <w:widowControl/>
        <w:spacing w:before="0" w:beforeAutospacing="0" w:after="0" w:afterAutospacing="0" w:line="580" w:lineRule="exact"/>
        <w:ind w:right="11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1.预算执行能力较弱，年初预算与调整数、决算数差距较大。</w:t>
      </w:r>
    </w:p>
    <w:p>
      <w:pPr>
        <w:pStyle w:val="4"/>
        <w:widowControl/>
        <w:spacing w:before="0" w:beforeAutospacing="0" w:after="0" w:afterAutospacing="0" w:line="580" w:lineRule="exact"/>
        <w:ind w:right="11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2.应收账款、其他应收款等清理不及时，多年积压形成坏账。</w:t>
      </w:r>
    </w:p>
    <w:p>
      <w:pPr>
        <w:pStyle w:val="4"/>
        <w:widowControl/>
        <w:spacing w:before="0" w:beforeAutospacing="0" w:after="0" w:afterAutospacing="0" w:line="580" w:lineRule="exact"/>
        <w:ind w:right="11"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3.财务人员变动频繁，人员缺失，导致财务断档和历史问题难追溯。</w:t>
      </w:r>
    </w:p>
    <w:p>
      <w:pPr>
        <w:pStyle w:val="4"/>
        <w:widowControl/>
        <w:spacing w:before="0" w:beforeAutospacing="0" w:after="0" w:afterAutospacing="0" w:line="580" w:lineRule="exact"/>
        <w:ind w:right="11" w:firstLine="640" w:firstLineChars="200"/>
        <w:rPr>
          <w:rFonts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八、下一步改进措施</w:t>
      </w:r>
    </w:p>
    <w:p>
      <w:pPr>
        <w:pStyle w:val="4"/>
        <w:widowControl/>
        <w:spacing w:before="0" w:beforeAutospacing="0" w:after="0" w:afterAutospacing="0" w:line="580" w:lineRule="exact"/>
        <w:ind w:right="11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1.强化预算刚醒：细化预算编制到项，严格执行“先有预算后有支出”。</w:t>
      </w:r>
    </w:p>
    <w:p>
      <w:pPr>
        <w:pStyle w:val="4"/>
        <w:widowControl/>
        <w:spacing w:before="0" w:beforeAutospacing="0" w:after="0" w:afterAutospacing="0" w:line="580" w:lineRule="exact"/>
        <w:ind w:right="11"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2.每年组织一次全面债权债务清理，依法依规核销坏账，严禁新增长期挂账。</w:t>
      </w:r>
    </w:p>
    <w:p>
      <w:pPr>
        <w:pStyle w:val="4"/>
        <w:widowControl/>
        <w:spacing w:before="0" w:beforeAutospacing="0" w:after="0" w:afterAutospacing="0" w:line="580" w:lineRule="exact"/>
        <w:ind w:right="11" w:firstLine="640" w:firstLineChars="200"/>
        <w:rPr>
          <w:rFonts w:ascii="宋体" w:hAnsi="宋体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建立财务交接清单，定期组织乡镇财务人员专业培训。</w:t>
      </w:r>
    </w:p>
    <w:p>
      <w:pPr>
        <w:spacing w:before="156" w:beforeLines="50" w:line="580" w:lineRule="exact"/>
        <w:ind w:right="311"/>
        <w:jc w:val="center"/>
        <w:rPr>
          <w:rFonts w:ascii="宋体" w:hAnsi="宋体"/>
          <w:sz w:val="30"/>
          <w:szCs w:val="30"/>
        </w:rPr>
      </w:pPr>
    </w:p>
    <w:p>
      <w:pPr>
        <w:pStyle w:val="4"/>
        <w:widowControl/>
        <w:adjustRightInd w:val="0"/>
        <w:snapToGrid w:val="0"/>
        <w:spacing w:before="0" w:beforeAutospacing="0" w:after="0" w:afterAutospacing="0" w:line="580" w:lineRule="exact"/>
        <w:ind w:firstLine="640" w:firstLineChars="200"/>
        <w:jc w:val="right"/>
        <w:rPr>
          <w:rFonts w:ascii="仿宋_GB2312" w:hAnsi="宋体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道县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柑子园镇人民政府</w:t>
      </w:r>
    </w:p>
    <w:p>
      <w:pPr>
        <w:pStyle w:val="4"/>
        <w:widowControl/>
        <w:adjustRightInd w:val="0"/>
        <w:snapToGrid w:val="0"/>
        <w:spacing w:before="0" w:beforeAutospacing="0" w:after="0" w:afterAutospacing="0" w:line="580" w:lineRule="exact"/>
        <w:ind w:firstLine="5760" w:firstLineChars="1800"/>
        <w:jc w:val="right"/>
        <w:rPr>
          <w:rFonts w:ascii="仿宋_GB2312" w:hAnsi="宋体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宋体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宋体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宋体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ascii="仿宋_GB2312" w:hAnsi="宋体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宋体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Yu Gothic Medium">
    <w:altName w:val="Meiryo UI"/>
    <w:panose1 w:val="020B0500000000000000"/>
    <w:charset w:val="80"/>
    <w:family w:val="swiss"/>
    <w:pitch w:val="default"/>
    <w:sig w:usb0="00000000" w:usb1="00000000" w:usb2="00000016" w:usb3="00000000" w:csb0="2002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00D04F59"/>
    <w:rsid w:val="00232232"/>
    <w:rsid w:val="003C5E88"/>
    <w:rsid w:val="004034AA"/>
    <w:rsid w:val="004F7C3F"/>
    <w:rsid w:val="00765262"/>
    <w:rsid w:val="007728E6"/>
    <w:rsid w:val="00786889"/>
    <w:rsid w:val="007C1889"/>
    <w:rsid w:val="00807F41"/>
    <w:rsid w:val="008C7434"/>
    <w:rsid w:val="009E5DCB"/>
    <w:rsid w:val="00AF4761"/>
    <w:rsid w:val="00D04F59"/>
    <w:rsid w:val="00E33D9F"/>
    <w:rsid w:val="00EA6144"/>
    <w:rsid w:val="00EA708A"/>
    <w:rsid w:val="00EC446E"/>
    <w:rsid w:val="00FE1921"/>
    <w:rsid w:val="061B51E2"/>
    <w:rsid w:val="075D675E"/>
    <w:rsid w:val="0AE947A9"/>
    <w:rsid w:val="0EC503F2"/>
    <w:rsid w:val="263E44FA"/>
    <w:rsid w:val="2C1002C8"/>
    <w:rsid w:val="35EC4741"/>
    <w:rsid w:val="36195DA0"/>
    <w:rsid w:val="3DBC68E8"/>
    <w:rsid w:val="3FF6D0E8"/>
    <w:rsid w:val="446B29BA"/>
    <w:rsid w:val="477F46A0"/>
    <w:rsid w:val="47C07D21"/>
    <w:rsid w:val="484407FA"/>
    <w:rsid w:val="491431D4"/>
    <w:rsid w:val="541E4A29"/>
    <w:rsid w:val="5F2128ED"/>
    <w:rsid w:val="5FC2550C"/>
    <w:rsid w:val="66BE7486"/>
    <w:rsid w:val="68926067"/>
    <w:rsid w:val="6F10393B"/>
    <w:rsid w:val="71AD7C63"/>
    <w:rsid w:val="74090D44"/>
    <w:rsid w:val="772E4EC2"/>
    <w:rsid w:val="7C3A3189"/>
    <w:rsid w:val="FBA6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paragraph" w:customStyle="1" w:styleId="7">
    <w:name w:val="列出段落1"/>
    <w:qFormat/>
    <w:uiPriority w:val="0"/>
    <w:pPr>
      <w:widowControl w:val="0"/>
      <w:ind w:firstLine="420"/>
      <w:jc w:val="both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4282</Words>
  <Characters>4576</Characters>
  <Lines>47</Lines>
  <Paragraphs>13</Paragraphs>
  <TotalTime>959</TotalTime>
  <ScaleCrop>false</ScaleCrop>
  <LinksUpToDate>false</LinksUpToDate>
  <CharactersWithSpaces>4641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2021-06-20T19:01:00Z</dcterms:created>
  <dc:creator>Lenovo</dc:creator>
  <cp:lastModifiedBy>水蜜桃</cp:lastModifiedBy>
  <dcterms:modified xsi:type="dcterms:W3CDTF">2026-09-14T07:14:57Z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0EA44553880A42C39E8DC48E8DAEC39D_13</vt:lpwstr>
  </property>
  <property fmtid="{D5CDD505-2E9C-101B-9397-08002B2CF9AE}" pid="4" name="KSOTemplateDocerSaveRecord">
    <vt:lpwstr>eyJoZGlkIjoiMjJkODBmZjI5ZjllOGZlY2RlN2YzNzU2NzdhMzFkZDIiLCJ1c2VySWQiOiIxMjE2MDI3MjgzIn0=</vt:lpwstr>
  </property>
</Properties>
</file>