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1A1A21">
      <w:pPr>
        <w:jc w:val="center"/>
        <w:rPr>
          <w:rFonts w:hint="eastAsia"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2025年道县</w:t>
      </w:r>
      <w:r>
        <w:rPr>
          <w:rFonts w:hint="eastAsia" w:ascii="宋体" w:hAnsi="宋体"/>
          <w:b/>
          <w:sz w:val="44"/>
          <w:szCs w:val="44"/>
          <w:lang w:eastAsia="zh-CN"/>
        </w:rPr>
        <w:t>祥霖铺</w:t>
      </w:r>
      <w:r>
        <w:rPr>
          <w:rFonts w:hint="eastAsia" w:ascii="宋体" w:hAnsi="宋体"/>
          <w:b/>
          <w:sz w:val="44"/>
          <w:szCs w:val="44"/>
        </w:rPr>
        <w:t>镇人民政府</w:t>
      </w:r>
    </w:p>
    <w:p w14:paraId="4E6949E4">
      <w:pPr>
        <w:jc w:val="center"/>
        <w:rPr>
          <w:rFonts w:hint="eastAsia"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部门整体支出绩效评价报告</w:t>
      </w:r>
    </w:p>
    <w:p w14:paraId="38448ADE">
      <w:pPr>
        <w:spacing w:line="360" w:lineRule="exact"/>
        <w:jc w:val="center"/>
        <w:rPr>
          <w:rFonts w:hint="eastAsia" w:ascii="宋体" w:hAnsi="宋体"/>
          <w:b/>
          <w:sz w:val="44"/>
          <w:szCs w:val="44"/>
        </w:rPr>
      </w:pPr>
    </w:p>
    <w:p w14:paraId="389034B9">
      <w:pPr>
        <w:ind w:right="11" w:firstLine="803" w:firstLineChars="200"/>
        <w:rPr>
          <w:rFonts w:hint="eastAsia" w:ascii="宋体" w:hAnsi="宋体"/>
          <w:b/>
          <w:sz w:val="40"/>
          <w:szCs w:val="40"/>
        </w:rPr>
      </w:pPr>
      <w:r>
        <w:rPr>
          <w:rFonts w:hint="eastAsia" w:ascii="宋体" w:hAnsi="宋体"/>
          <w:b/>
          <w:sz w:val="40"/>
          <w:szCs w:val="40"/>
        </w:rPr>
        <w:t>一、</w:t>
      </w:r>
      <w:r>
        <w:rPr>
          <w:rFonts w:hint="eastAsia" w:ascii="宋体" w:hAnsi="宋体"/>
          <w:b/>
          <w:sz w:val="30"/>
          <w:szCs w:val="30"/>
        </w:rPr>
        <w:t>部门概况</w:t>
      </w:r>
    </w:p>
    <w:p w14:paraId="0F438164">
      <w:pPr>
        <w:ind w:left="142" w:right="11" w:firstLine="560" w:firstLineChars="200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（一）部门基本情况：</w:t>
      </w:r>
    </w:p>
    <w:p w14:paraId="2BC78730">
      <w:pPr>
        <w:ind w:right="11" w:firstLine="600" w:firstLineChars="200"/>
        <w:rPr>
          <w:rFonts w:hint="eastAsia"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1．主要职能。</w:t>
      </w:r>
    </w:p>
    <w:p w14:paraId="2099F636">
      <w:pPr>
        <w:ind w:firstLine="600" w:firstLineChars="200"/>
        <w:rPr>
          <w:rFonts w:hint="eastAsia"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（1）执行本级人民代表大会的决议和上级国家行政机关的决定和命令，发布决定和命令。</w:t>
      </w:r>
    </w:p>
    <w:p w14:paraId="4D872AD1">
      <w:pPr>
        <w:ind w:firstLine="600" w:firstLineChars="200"/>
        <w:rPr>
          <w:rFonts w:hint="eastAsia"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（2）执行本行政区域内的经济和社会发展计划，加强公共设施的建设和管理，发展各项服务事业。</w:t>
      </w:r>
    </w:p>
    <w:p w14:paraId="55826C6A">
      <w:pPr>
        <w:ind w:firstLine="600" w:firstLineChars="200"/>
        <w:rPr>
          <w:rFonts w:hint="eastAsia"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（3）依法管理本级财政、执行本级预算。</w:t>
      </w:r>
    </w:p>
    <w:p w14:paraId="07860C35">
      <w:pPr>
        <w:ind w:firstLine="600" w:firstLineChars="200"/>
        <w:rPr>
          <w:rFonts w:hint="eastAsia"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（4）为农民提供有效的科技、教育、文化、信息、卫生、体育、医疗、人才开发、劳动就业、安全生产等方面的服务。</w:t>
      </w:r>
    </w:p>
    <w:p w14:paraId="3C8EFDBC">
      <w:pPr>
        <w:ind w:firstLine="600" w:firstLineChars="200"/>
        <w:rPr>
          <w:rFonts w:hint="eastAsia"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（5）保护国有资产和集体所有的财产，保护公民私人所有的合法财产、保障公民的人身权利、民主权利和其他权利，保护各种组织的合法权益。</w:t>
      </w:r>
    </w:p>
    <w:p w14:paraId="54A8DCC7">
      <w:pPr>
        <w:ind w:firstLine="600" w:firstLineChars="200"/>
        <w:rPr>
          <w:rFonts w:hint="eastAsia"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（6）开展社会主义民主与法制教育，加强社会治安综合治理，调解民事纠纷，维护社会秩序。</w:t>
      </w:r>
    </w:p>
    <w:p w14:paraId="6D2AA312">
      <w:pPr>
        <w:ind w:firstLine="600" w:firstLineChars="200"/>
        <w:rPr>
          <w:rFonts w:hint="eastAsia"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（7）推行乡村振兴，推进新农村建设与美丽乡村建设。</w:t>
      </w:r>
    </w:p>
    <w:p w14:paraId="17BECF25">
      <w:pPr>
        <w:ind w:firstLine="600" w:firstLineChars="200"/>
        <w:rPr>
          <w:rFonts w:hint="eastAsia"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（8）负责民政工作，发展社会福利事业，做好社会保障工作，办理兵役事项。</w:t>
      </w:r>
    </w:p>
    <w:p w14:paraId="0E1D7D9C">
      <w:pPr>
        <w:ind w:firstLine="600" w:firstLineChars="200"/>
        <w:rPr>
          <w:rFonts w:hint="eastAsia"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（9）承办上级人民政府交办的其他事项。</w:t>
      </w:r>
    </w:p>
    <w:p w14:paraId="1C6881DF">
      <w:pPr>
        <w:ind w:right="11" w:firstLine="450" w:firstLineChars="150"/>
        <w:rPr>
          <w:rFonts w:hint="eastAsia"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2．机构情况，包括当年变动情况及原因。</w:t>
      </w:r>
    </w:p>
    <w:p w14:paraId="704B0454">
      <w:pPr>
        <w:ind w:firstLine="600" w:firstLineChars="200"/>
        <w:rPr>
          <w:rFonts w:hint="eastAsia"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道县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祥霖铺</w:t>
      </w:r>
      <w:r>
        <w:rPr>
          <w:rFonts w:hint="eastAsia" w:ascii="宋体" w:hAnsi="宋体"/>
          <w:color w:val="010101"/>
          <w:sz w:val="30"/>
          <w:szCs w:val="30"/>
        </w:rPr>
        <w:t>镇人民政府单位</w:t>
      </w:r>
      <w:r>
        <w:rPr>
          <w:rFonts w:ascii="宋体" w:hAnsi="宋体"/>
          <w:color w:val="010101"/>
          <w:sz w:val="30"/>
          <w:szCs w:val="30"/>
        </w:rPr>
        <w:t>内设机构包括：</w:t>
      </w:r>
      <w:r>
        <w:rPr>
          <w:rFonts w:hint="eastAsia" w:ascii="宋体" w:hAnsi="宋体"/>
          <w:color w:val="010101"/>
          <w:sz w:val="30"/>
          <w:szCs w:val="30"/>
        </w:rPr>
        <w:t>党政综合办公室、社会治安和应急管理办公室、经济发展办公室、基层党建办公室、自然资源和生态环境办公室、财政所、退役军人服务站、综合行政执法大队、农业综合服务中心、政务（便民）服务中心。</w:t>
      </w:r>
    </w:p>
    <w:p w14:paraId="08F1ECD3">
      <w:pPr>
        <w:ind w:right="11" w:firstLine="450" w:firstLineChars="150"/>
        <w:rPr>
          <w:rFonts w:hint="eastAsia"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3．人员情况，包括当年变动情况及原因。</w:t>
      </w:r>
    </w:p>
    <w:p w14:paraId="44171A1E">
      <w:pPr>
        <w:ind w:firstLine="750" w:firstLineChars="250"/>
        <w:rPr>
          <w:rFonts w:ascii="仿宋_GB2312"/>
          <w:sz w:val="30"/>
          <w:szCs w:val="30"/>
        </w:rPr>
      </w:pPr>
      <w:r>
        <w:rPr>
          <w:rFonts w:hint="eastAsia" w:ascii="仿宋_GB2312"/>
          <w:sz w:val="30"/>
          <w:szCs w:val="30"/>
        </w:rPr>
        <w:t>2025年行政编制</w:t>
      </w:r>
      <w:r>
        <w:rPr>
          <w:rFonts w:hint="eastAsia" w:ascii="仿宋_GB2312"/>
          <w:sz w:val="30"/>
          <w:szCs w:val="30"/>
          <w:lang w:val="en-US" w:eastAsia="zh-CN"/>
        </w:rPr>
        <w:t>46</w:t>
      </w:r>
      <w:r>
        <w:rPr>
          <w:rFonts w:hint="eastAsia" w:ascii="仿宋_GB2312"/>
          <w:sz w:val="30"/>
          <w:szCs w:val="30"/>
        </w:rPr>
        <w:t>人，事业编制</w:t>
      </w:r>
      <w:r>
        <w:rPr>
          <w:rFonts w:hint="eastAsia" w:ascii="仿宋_GB2312"/>
          <w:sz w:val="30"/>
          <w:szCs w:val="30"/>
          <w:lang w:val="en-US" w:eastAsia="zh-CN"/>
        </w:rPr>
        <w:t>71</w:t>
      </w:r>
      <w:r>
        <w:rPr>
          <w:rFonts w:hint="eastAsia" w:ascii="仿宋_GB2312"/>
          <w:sz w:val="30"/>
          <w:szCs w:val="30"/>
        </w:rPr>
        <w:t>人,配有小车一辆。</w:t>
      </w:r>
    </w:p>
    <w:p w14:paraId="4551C4F8">
      <w:pPr>
        <w:ind w:right="11" w:firstLine="450" w:firstLineChars="150"/>
        <w:rPr>
          <w:rFonts w:hint="eastAsia"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（二）部门整体支出规模、使用方向和主要内容</w:t>
      </w:r>
    </w:p>
    <w:p w14:paraId="6CFE304A">
      <w:pPr>
        <w:ind w:firstLine="600" w:firstLineChars="200"/>
        <w:rPr>
          <w:rFonts w:hint="default" w:ascii="宋体" w:hAnsi="宋体" w:eastAsia="宋体"/>
          <w:color w:val="010101"/>
          <w:sz w:val="30"/>
          <w:szCs w:val="30"/>
          <w:lang w:val="en-US" w:eastAsia="zh-CN"/>
        </w:rPr>
      </w:pPr>
      <w:r>
        <w:rPr>
          <w:rFonts w:hint="eastAsia" w:ascii="宋体" w:hAnsi="宋体"/>
          <w:color w:val="010101"/>
          <w:sz w:val="30"/>
          <w:szCs w:val="30"/>
        </w:rPr>
        <w:t>2025年本部门收到财政拨款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2994.98</w:t>
      </w:r>
      <w:r>
        <w:rPr>
          <w:rFonts w:hint="eastAsia" w:ascii="宋体" w:hAnsi="宋体"/>
          <w:color w:val="010101"/>
          <w:sz w:val="30"/>
          <w:szCs w:val="30"/>
        </w:rPr>
        <w:t>万元，其中：一般公共服务支出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1896.32</w:t>
      </w:r>
      <w:r>
        <w:rPr>
          <w:rFonts w:hint="eastAsia" w:ascii="宋体" w:hAnsi="宋体"/>
          <w:color w:val="010101"/>
          <w:sz w:val="30"/>
          <w:szCs w:val="30"/>
        </w:rPr>
        <w:t>万元，社会保障和就业支出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197.14</w:t>
      </w:r>
      <w:r>
        <w:rPr>
          <w:rFonts w:hint="eastAsia" w:ascii="宋体" w:hAnsi="宋体"/>
          <w:color w:val="010101"/>
          <w:sz w:val="30"/>
          <w:szCs w:val="30"/>
        </w:rPr>
        <w:t>万元，卫生健康支出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72.59</w:t>
      </w:r>
      <w:r>
        <w:rPr>
          <w:rFonts w:hint="eastAsia" w:ascii="宋体" w:hAnsi="宋体"/>
          <w:color w:val="010101"/>
          <w:sz w:val="30"/>
          <w:szCs w:val="30"/>
        </w:rPr>
        <w:t>万元，农林水支出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738.57</w:t>
      </w:r>
      <w:r>
        <w:rPr>
          <w:rFonts w:hint="eastAsia" w:ascii="宋体" w:hAnsi="宋体"/>
          <w:color w:val="010101"/>
          <w:sz w:val="30"/>
          <w:szCs w:val="30"/>
        </w:rPr>
        <w:t>万元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，住房保障支出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85.36万，灾害防治及应急管理支出5万，</w:t>
      </w:r>
    </w:p>
    <w:p w14:paraId="6E8F6AAF">
      <w:pPr>
        <w:numPr>
          <w:ilvl w:val="0"/>
          <w:numId w:val="1"/>
        </w:numPr>
        <w:ind w:right="11"/>
        <w:rPr>
          <w:rFonts w:hint="eastAsia" w:ascii="宋体" w:hAnsi="宋体"/>
          <w:b/>
          <w:sz w:val="30"/>
          <w:szCs w:val="30"/>
        </w:rPr>
      </w:pPr>
      <w:r>
        <w:rPr>
          <w:rFonts w:hint="eastAsia" w:ascii="宋体" w:hAnsi="宋体"/>
          <w:b/>
          <w:sz w:val="30"/>
          <w:szCs w:val="30"/>
        </w:rPr>
        <w:t>一般公共预算支出情况</w:t>
      </w:r>
    </w:p>
    <w:p w14:paraId="0EFCB9AF">
      <w:pPr>
        <w:numPr>
          <w:ilvl w:val="0"/>
          <w:numId w:val="2"/>
        </w:numPr>
        <w:ind w:left="901" w:right="11"/>
        <w:rPr>
          <w:rFonts w:hint="eastAsia"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基本支出情况</w:t>
      </w:r>
    </w:p>
    <w:p w14:paraId="106C16AA">
      <w:pPr>
        <w:ind w:firstLine="600" w:firstLineChars="200"/>
        <w:rPr>
          <w:rFonts w:hint="eastAsia"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用于为保障我单位正常运转、完成日常工作任务而发生的支出，包括人员经费和公用经费。2025年一般公共预算拨款支出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2994.97</w:t>
      </w:r>
      <w:r>
        <w:rPr>
          <w:rFonts w:hint="eastAsia" w:ascii="宋体" w:hAnsi="宋体"/>
          <w:color w:val="010101"/>
          <w:sz w:val="30"/>
          <w:szCs w:val="30"/>
        </w:rPr>
        <w:t>万元，具体安排情况如下：</w:t>
      </w:r>
    </w:p>
    <w:p w14:paraId="1DAE320E">
      <w:pPr>
        <w:adjustRightInd w:val="0"/>
        <w:snapToGrid w:val="0"/>
        <w:spacing w:line="600" w:lineRule="exact"/>
        <w:ind w:firstLine="600" w:firstLineChars="200"/>
        <w:rPr>
          <w:rFonts w:hint="eastAsia"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1、基本支出：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2870.98</w:t>
      </w:r>
      <w:r>
        <w:rPr>
          <w:rFonts w:hint="eastAsia" w:ascii="宋体" w:hAnsi="宋体"/>
          <w:color w:val="010101"/>
          <w:sz w:val="30"/>
          <w:szCs w:val="30"/>
        </w:rPr>
        <w:t>万元。</w:t>
      </w:r>
    </w:p>
    <w:p w14:paraId="3EC302B3">
      <w:pPr>
        <w:ind w:firstLine="600" w:firstLineChars="200"/>
        <w:rPr>
          <w:rFonts w:hint="eastAsia"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工资福利支出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1642.04</w:t>
      </w:r>
      <w:r>
        <w:rPr>
          <w:rFonts w:hint="eastAsia" w:ascii="宋体" w:hAnsi="宋体"/>
          <w:color w:val="010101"/>
          <w:sz w:val="30"/>
          <w:szCs w:val="30"/>
        </w:rPr>
        <w:t>万元，其中：基本工资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738.17</w:t>
      </w:r>
      <w:r>
        <w:rPr>
          <w:rFonts w:hint="eastAsia" w:ascii="宋体" w:hAnsi="宋体"/>
          <w:color w:val="010101"/>
          <w:sz w:val="30"/>
          <w:szCs w:val="30"/>
        </w:rPr>
        <w:t>万元，津贴补贴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74.38</w:t>
      </w:r>
      <w:r>
        <w:rPr>
          <w:rFonts w:hint="eastAsia" w:ascii="宋体" w:hAnsi="宋体"/>
          <w:color w:val="010101"/>
          <w:sz w:val="30"/>
          <w:szCs w:val="30"/>
        </w:rPr>
        <w:t>万元，奖金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270.22</w:t>
      </w:r>
      <w:r>
        <w:rPr>
          <w:rFonts w:hint="eastAsia" w:ascii="宋体" w:hAnsi="宋体"/>
          <w:color w:val="010101"/>
          <w:sz w:val="30"/>
          <w:szCs w:val="30"/>
        </w:rPr>
        <w:t>万元，绩效工资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222.17</w:t>
      </w:r>
      <w:r>
        <w:rPr>
          <w:rFonts w:hint="eastAsia" w:ascii="宋体" w:hAnsi="宋体"/>
          <w:color w:val="010101"/>
          <w:sz w:val="30"/>
          <w:szCs w:val="30"/>
        </w:rPr>
        <w:t>万元，  伙食补助费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7.54万，</w:t>
      </w:r>
      <w:r>
        <w:rPr>
          <w:rFonts w:hint="eastAsia" w:ascii="宋体" w:hAnsi="宋体"/>
          <w:color w:val="010101"/>
          <w:sz w:val="30"/>
          <w:szCs w:val="30"/>
        </w:rPr>
        <w:t>社会保障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329.57</w:t>
      </w:r>
      <w:r>
        <w:rPr>
          <w:rFonts w:hint="eastAsia" w:ascii="宋体" w:hAnsi="宋体"/>
          <w:color w:val="010101"/>
          <w:sz w:val="30"/>
          <w:szCs w:val="30"/>
        </w:rPr>
        <w:t>万元。</w:t>
      </w:r>
    </w:p>
    <w:p w14:paraId="5A4B6F08">
      <w:pPr>
        <w:ind w:firstLine="600" w:firstLineChars="200"/>
        <w:rPr>
          <w:rFonts w:hint="eastAsia"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机关运行经费支出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631.43</w:t>
      </w:r>
      <w:r>
        <w:rPr>
          <w:rFonts w:hint="eastAsia" w:ascii="宋体" w:hAnsi="宋体"/>
          <w:color w:val="010101"/>
          <w:sz w:val="30"/>
          <w:szCs w:val="30"/>
        </w:rPr>
        <w:t>万元，其中：办公费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217.56</w:t>
      </w:r>
      <w:r>
        <w:rPr>
          <w:rFonts w:hint="eastAsia" w:ascii="宋体" w:hAnsi="宋体"/>
          <w:color w:val="010101"/>
          <w:sz w:val="30"/>
          <w:szCs w:val="30"/>
        </w:rPr>
        <w:t>万元，印刷费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18.26</w:t>
      </w:r>
      <w:r>
        <w:rPr>
          <w:rFonts w:hint="eastAsia" w:ascii="宋体" w:hAnsi="宋体"/>
          <w:color w:val="010101"/>
          <w:sz w:val="30"/>
          <w:szCs w:val="30"/>
        </w:rPr>
        <w:t>万元，电费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23.5</w:t>
      </w:r>
      <w:r>
        <w:rPr>
          <w:rFonts w:hint="eastAsia" w:ascii="宋体" w:hAnsi="宋体"/>
          <w:color w:val="010101"/>
          <w:sz w:val="30"/>
          <w:szCs w:val="30"/>
        </w:rPr>
        <w:t>万元，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水费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4</w:t>
      </w:r>
      <w:r>
        <w:rPr>
          <w:rFonts w:hint="eastAsia" w:ascii="宋体" w:hAnsi="宋体"/>
          <w:color w:val="010101"/>
          <w:sz w:val="30"/>
          <w:szCs w:val="30"/>
        </w:rPr>
        <w:t>万元，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邮电费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1.8万，</w:t>
      </w:r>
      <w:r>
        <w:rPr>
          <w:rFonts w:hint="eastAsia" w:ascii="宋体" w:hAnsi="宋体"/>
          <w:color w:val="010101"/>
          <w:sz w:val="30"/>
          <w:szCs w:val="30"/>
        </w:rPr>
        <w:t>差旅费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10.16</w:t>
      </w:r>
      <w:r>
        <w:rPr>
          <w:rFonts w:hint="eastAsia" w:ascii="宋体" w:hAnsi="宋体"/>
          <w:color w:val="010101"/>
          <w:sz w:val="30"/>
          <w:szCs w:val="30"/>
        </w:rPr>
        <w:t>万元，维修费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126.2</w:t>
      </w:r>
      <w:r>
        <w:rPr>
          <w:rFonts w:hint="eastAsia" w:ascii="宋体" w:hAnsi="宋体"/>
          <w:color w:val="010101"/>
          <w:sz w:val="30"/>
          <w:szCs w:val="30"/>
        </w:rPr>
        <w:t>万元，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租赁费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5.11万，会议费8.95万，</w:t>
      </w:r>
      <w:r>
        <w:rPr>
          <w:rFonts w:hint="eastAsia" w:ascii="宋体" w:hAnsi="宋体"/>
          <w:color w:val="010101"/>
          <w:sz w:val="30"/>
          <w:szCs w:val="30"/>
        </w:rPr>
        <w:t>培训费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9.66</w:t>
      </w:r>
      <w:r>
        <w:rPr>
          <w:rFonts w:hint="eastAsia" w:ascii="宋体" w:hAnsi="宋体"/>
          <w:color w:val="010101"/>
          <w:sz w:val="30"/>
          <w:szCs w:val="30"/>
        </w:rPr>
        <w:t>万元，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劳务费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46.5万，</w:t>
      </w:r>
      <w:r>
        <w:rPr>
          <w:rFonts w:hint="eastAsia" w:ascii="宋体" w:hAnsi="宋体"/>
          <w:color w:val="010101"/>
          <w:sz w:val="30"/>
          <w:szCs w:val="30"/>
        </w:rPr>
        <w:t>工会经费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47</w:t>
      </w:r>
      <w:r>
        <w:rPr>
          <w:rFonts w:hint="eastAsia" w:ascii="宋体" w:hAnsi="宋体"/>
          <w:color w:val="010101"/>
          <w:sz w:val="30"/>
          <w:szCs w:val="30"/>
        </w:rPr>
        <w:t>万元，福利费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15.14</w:t>
      </w:r>
      <w:r>
        <w:rPr>
          <w:rFonts w:hint="eastAsia" w:ascii="宋体" w:hAnsi="宋体"/>
          <w:color w:val="010101"/>
          <w:sz w:val="30"/>
          <w:szCs w:val="30"/>
        </w:rPr>
        <w:t>万元，公务用车运行维护费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4.17</w:t>
      </w:r>
      <w:r>
        <w:rPr>
          <w:rFonts w:hint="eastAsia" w:ascii="宋体" w:hAnsi="宋体"/>
          <w:color w:val="010101"/>
          <w:sz w:val="30"/>
          <w:szCs w:val="30"/>
        </w:rPr>
        <w:t>万元，其他交通费用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25.77</w:t>
      </w:r>
      <w:r>
        <w:rPr>
          <w:rFonts w:hint="eastAsia" w:ascii="宋体" w:hAnsi="宋体"/>
          <w:color w:val="010101"/>
          <w:sz w:val="30"/>
          <w:szCs w:val="30"/>
        </w:rPr>
        <w:t>万元，其他商品和服务支出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67.67</w:t>
      </w:r>
      <w:bookmarkStart w:id="0" w:name="_GoBack"/>
      <w:bookmarkEnd w:id="0"/>
      <w:r>
        <w:rPr>
          <w:rFonts w:hint="eastAsia" w:ascii="宋体" w:hAnsi="宋体"/>
          <w:color w:val="010101"/>
          <w:sz w:val="30"/>
          <w:szCs w:val="30"/>
        </w:rPr>
        <w:t>万元。</w:t>
      </w:r>
    </w:p>
    <w:p w14:paraId="1AEF763A">
      <w:pPr>
        <w:ind w:right="11" w:firstLine="600" w:firstLineChars="200"/>
        <w:rPr>
          <w:rFonts w:hint="eastAsia"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（二）项目支出情况</w:t>
      </w:r>
    </w:p>
    <w:p w14:paraId="6F974D42">
      <w:pPr>
        <w:ind w:right="11" w:firstLine="600" w:firstLineChars="200"/>
        <w:rPr>
          <w:rFonts w:hint="eastAsia"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一般公共预算财政拨款项目支出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124</w:t>
      </w:r>
      <w:r>
        <w:rPr>
          <w:rFonts w:hint="eastAsia" w:ascii="宋体" w:hAnsi="宋体"/>
          <w:sz w:val="30"/>
          <w:szCs w:val="30"/>
        </w:rPr>
        <w:t>万元，具体使用情况如下:</w:t>
      </w:r>
    </w:p>
    <w:p w14:paraId="7036AEA6">
      <w:pPr>
        <w:numPr>
          <w:ilvl w:val="0"/>
          <w:numId w:val="3"/>
        </w:numPr>
        <w:ind w:right="11" w:firstLine="600" w:firstLineChars="200"/>
        <w:rPr>
          <w:rFonts w:hint="eastAsia" w:ascii="宋体" w:hAnsi="宋体"/>
          <w:sz w:val="30"/>
          <w:szCs w:val="30"/>
          <w:lang w:val="en-US" w:eastAsia="zh-CN"/>
        </w:rPr>
      </w:pPr>
      <w:r>
        <w:rPr>
          <w:rFonts w:hint="eastAsia" w:ascii="宋体" w:hAnsi="宋体"/>
          <w:sz w:val="30"/>
          <w:szCs w:val="30"/>
        </w:rPr>
        <w:t>农林水支出</w:t>
      </w:r>
      <w:r>
        <w:rPr>
          <w:rFonts w:hint="eastAsia" w:ascii="宋体" w:hAnsi="宋体"/>
          <w:sz w:val="30"/>
          <w:szCs w:val="30"/>
          <w:lang w:val="en-US" w:eastAsia="zh-CN"/>
        </w:rPr>
        <w:t>124</w:t>
      </w:r>
      <w:r>
        <w:rPr>
          <w:rFonts w:hint="eastAsia" w:ascii="宋体" w:hAnsi="宋体"/>
          <w:sz w:val="30"/>
          <w:szCs w:val="30"/>
        </w:rPr>
        <w:t>万元，其中：</w:t>
      </w:r>
      <w:r>
        <w:rPr>
          <w:rFonts w:hint="eastAsia" w:ascii="宋体" w:hAnsi="宋体"/>
          <w:sz w:val="30"/>
          <w:szCs w:val="30"/>
          <w:lang w:val="en-US" w:eastAsia="zh-CN"/>
        </w:rPr>
        <w:t>农村公益事业奖补86万元，彩票公益金38万。</w:t>
      </w:r>
    </w:p>
    <w:p w14:paraId="61A15551">
      <w:pPr>
        <w:ind w:right="11" w:firstLine="600" w:firstLineChars="200"/>
        <w:rPr>
          <w:rFonts w:hint="eastAsia"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（三）“三公经费”预算与实际支出减少</w:t>
      </w:r>
    </w:p>
    <w:p w14:paraId="0552FBA4">
      <w:pPr>
        <w:ind w:right="11" w:firstLine="600" w:firstLineChars="200"/>
        <w:rPr>
          <w:rFonts w:hint="eastAsia"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2025年度本单位“三公”经费总额为</w:t>
      </w:r>
      <w:r>
        <w:rPr>
          <w:rFonts w:hint="eastAsia" w:ascii="宋体" w:hAnsi="宋体"/>
          <w:sz w:val="30"/>
          <w:szCs w:val="30"/>
          <w:lang w:val="en-US" w:eastAsia="zh-CN"/>
        </w:rPr>
        <w:t>4.17</w:t>
      </w:r>
      <w:r>
        <w:rPr>
          <w:rFonts w:hint="eastAsia" w:ascii="宋体" w:hAnsi="宋体"/>
          <w:sz w:val="30"/>
          <w:szCs w:val="30"/>
        </w:rPr>
        <w:t>万元，其中公务用车运行及维护费用</w:t>
      </w:r>
      <w:r>
        <w:rPr>
          <w:rFonts w:hint="eastAsia" w:ascii="宋体" w:hAnsi="宋体"/>
          <w:sz w:val="30"/>
          <w:szCs w:val="30"/>
          <w:lang w:val="en-US" w:eastAsia="zh-CN"/>
        </w:rPr>
        <w:t>4.17</w:t>
      </w:r>
      <w:r>
        <w:rPr>
          <w:rFonts w:hint="eastAsia" w:ascii="宋体" w:hAnsi="宋体"/>
          <w:sz w:val="30"/>
          <w:szCs w:val="30"/>
        </w:rPr>
        <w:t>万元，</w:t>
      </w:r>
      <w:r>
        <w:rPr>
          <w:rFonts w:hint="eastAsia" w:ascii="宋体" w:hAnsi="宋体"/>
          <w:sz w:val="30"/>
          <w:szCs w:val="30"/>
          <w:lang w:eastAsia="zh-CN"/>
        </w:rPr>
        <w:t>比</w:t>
      </w:r>
      <w:r>
        <w:rPr>
          <w:rFonts w:hint="eastAsia" w:ascii="宋体" w:hAnsi="宋体"/>
          <w:sz w:val="30"/>
          <w:szCs w:val="30"/>
        </w:rPr>
        <w:t>预算</w:t>
      </w:r>
      <w:r>
        <w:rPr>
          <w:rFonts w:hint="eastAsia" w:ascii="宋体" w:hAnsi="宋体"/>
          <w:sz w:val="30"/>
          <w:szCs w:val="30"/>
          <w:lang w:eastAsia="zh-CN"/>
        </w:rPr>
        <w:t>减少</w:t>
      </w:r>
      <w:r>
        <w:rPr>
          <w:rFonts w:hint="eastAsia" w:ascii="宋体" w:hAnsi="宋体"/>
          <w:sz w:val="30"/>
          <w:szCs w:val="30"/>
          <w:lang w:val="en-US" w:eastAsia="zh-CN"/>
        </w:rPr>
        <w:t>0.83万元</w:t>
      </w:r>
      <w:r>
        <w:rPr>
          <w:rFonts w:hint="eastAsia" w:ascii="宋体" w:hAnsi="宋体"/>
          <w:sz w:val="30"/>
          <w:szCs w:val="30"/>
        </w:rPr>
        <w:t>。2025年公务用车购置数0台，车辆保有量1台。</w:t>
      </w:r>
    </w:p>
    <w:p w14:paraId="5B8C75AE">
      <w:pPr>
        <w:pStyle w:val="5"/>
        <w:widowControl/>
        <w:spacing w:before="0" w:beforeAutospacing="0" w:after="0" w:afterAutospacing="0"/>
        <w:ind w:right="11" w:firstLine="602" w:firstLineChars="200"/>
        <w:rPr>
          <w:rFonts w:hint="eastAsia" w:ascii="宋体" w:hAnsi="宋体"/>
          <w:b/>
          <w:bCs/>
          <w:color w:val="010101"/>
          <w:sz w:val="30"/>
          <w:szCs w:val="30"/>
        </w:rPr>
      </w:pPr>
      <w:r>
        <w:rPr>
          <w:rFonts w:hint="eastAsia" w:ascii="宋体" w:hAnsi="宋体"/>
          <w:b/>
          <w:bCs/>
          <w:color w:val="010101"/>
          <w:sz w:val="30"/>
          <w:szCs w:val="30"/>
        </w:rPr>
        <w:t>三、政府性基金预算支出情况</w:t>
      </w:r>
    </w:p>
    <w:p w14:paraId="368B6968">
      <w:pPr>
        <w:ind w:right="11" w:firstLine="600" w:firstLineChars="200"/>
        <w:rPr>
          <w:rFonts w:hint="eastAsia"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道县</w:t>
      </w:r>
      <w:r>
        <w:rPr>
          <w:rFonts w:hint="eastAsia" w:ascii="宋体" w:hAnsi="宋体"/>
          <w:sz w:val="30"/>
          <w:szCs w:val="30"/>
          <w:lang w:eastAsia="zh-CN"/>
        </w:rPr>
        <w:t>祥霖铺</w:t>
      </w:r>
      <w:r>
        <w:rPr>
          <w:rFonts w:hint="eastAsia" w:ascii="宋体" w:hAnsi="宋体"/>
          <w:sz w:val="30"/>
          <w:szCs w:val="30"/>
        </w:rPr>
        <w:t>镇人民政府2025年</w:t>
      </w:r>
      <w:r>
        <w:rPr>
          <w:rFonts w:hint="eastAsia" w:ascii="宋体" w:hAnsi="宋体"/>
          <w:sz w:val="30"/>
          <w:szCs w:val="30"/>
          <w:lang w:eastAsia="zh-CN"/>
        </w:rPr>
        <w:t>无</w:t>
      </w:r>
      <w:r>
        <w:rPr>
          <w:rFonts w:hint="eastAsia" w:ascii="宋体" w:hAnsi="宋体"/>
          <w:sz w:val="30"/>
          <w:szCs w:val="30"/>
        </w:rPr>
        <w:t>政府性基金预算支出。</w:t>
      </w:r>
    </w:p>
    <w:p w14:paraId="1D57826A">
      <w:pPr>
        <w:ind w:right="11" w:firstLine="602" w:firstLineChars="200"/>
        <w:rPr>
          <w:rFonts w:hint="eastAsia" w:ascii="宋体" w:hAnsi="宋体"/>
          <w:b/>
          <w:bCs/>
          <w:color w:val="010101"/>
          <w:sz w:val="30"/>
          <w:szCs w:val="30"/>
        </w:rPr>
      </w:pPr>
      <w:r>
        <w:rPr>
          <w:rFonts w:hint="eastAsia" w:ascii="宋体" w:hAnsi="宋体"/>
          <w:b/>
          <w:bCs/>
          <w:color w:val="010101"/>
          <w:sz w:val="30"/>
          <w:szCs w:val="30"/>
        </w:rPr>
        <w:t>四、</w:t>
      </w:r>
      <w:r>
        <w:rPr>
          <w:rFonts w:ascii="宋体" w:hAnsi="宋体"/>
          <w:b/>
          <w:bCs/>
          <w:color w:val="010101"/>
          <w:sz w:val="30"/>
          <w:szCs w:val="30"/>
        </w:rPr>
        <w:t>国有资本经营预算支出情况</w:t>
      </w:r>
    </w:p>
    <w:p w14:paraId="4132E8DC">
      <w:pPr>
        <w:ind w:left="901" w:right="11"/>
        <w:rPr>
          <w:rFonts w:hint="eastAsia" w:ascii="宋体" w:hAnsi="宋体"/>
          <w:color w:val="010101"/>
          <w:sz w:val="28"/>
          <w:szCs w:val="28"/>
        </w:rPr>
      </w:pPr>
      <w:r>
        <w:rPr>
          <w:rFonts w:hint="eastAsia" w:ascii="宋体" w:hAnsi="宋体"/>
          <w:color w:val="010101"/>
          <w:sz w:val="28"/>
          <w:szCs w:val="28"/>
        </w:rPr>
        <w:t>道县</w:t>
      </w:r>
      <w:r>
        <w:rPr>
          <w:rFonts w:hint="eastAsia" w:ascii="宋体" w:hAnsi="宋体"/>
          <w:color w:val="010101"/>
          <w:sz w:val="28"/>
          <w:szCs w:val="28"/>
          <w:lang w:eastAsia="zh-CN"/>
        </w:rPr>
        <w:t>祥霖铺</w:t>
      </w:r>
      <w:r>
        <w:rPr>
          <w:rFonts w:hint="eastAsia" w:ascii="宋体" w:hAnsi="宋体"/>
          <w:color w:val="010101"/>
          <w:sz w:val="28"/>
          <w:szCs w:val="28"/>
        </w:rPr>
        <w:t>镇人民政府2025年无国有资本经营预算支出。</w:t>
      </w:r>
    </w:p>
    <w:p w14:paraId="591C1D48">
      <w:pPr>
        <w:ind w:right="11" w:firstLine="602" w:firstLineChars="200"/>
        <w:rPr>
          <w:rFonts w:hint="eastAsia" w:ascii="宋体" w:hAnsi="宋体"/>
          <w:b/>
          <w:color w:val="010101"/>
          <w:sz w:val="30"/>
          <w:szCs w:val="30"/>
        </w:rPr>
      </w:pPr>
      <w:r>
        <w:rPr>
          <w:rFonts w:hint="eastAsia" w:ascii="宋体" w:hAnsi="宋体"/>
          <w:b/>
          <w:bCs/>
          <w:color w:val="010101"/>
          <w:sz w:val="30"/>
          <w:szCs w:val="30"/>
        </w:rPr>
        <w:t>五</w:t>
      </w:r>
      <w:r>
        <w:rPr>
          <w:rFonts w:hint="eastAsia" w:ascii="宋体" w:hAnsi="宋体"/>
          <w:bCs/>
          <w:color w:val="010101"/>
          <w:sz w:val="30"/>
          <w:szCs w:val="30"/>
        </w:rPr>
        <w:t>、</w:t>
      </w:r>
      <w:r>
        <w:rPr>
          <w:rFonts w:ascii="宋体" w:hAnsi="宋体"/>
          <w:b/>
          <w:color w:val="010101"/>
          <w:sz w:val="30"/>
          <w:szCs w:val="30"/>
        </w:rPr>
        <w:t>社会保险基金预算支出情况</w:t>
      </w:r>
    </w:p>
    <w:p w14:paraId="269C396F">
      <w:pPr>
        <w:ind w:left="901" w:right="11"/>
        <w:rPr>
          <w:rFonts w:hint="eastAsia" w:ascii="宋体" w:hAnsi="宋体"/>
          <w:bCs/>
          <w:color w:val="010101"/>
          <w:sz w:val="28"/>
          <w:szCs w:val="28"/>
        </w:rPr>
      </w:pPr>
      <w:r>
        <w:rPr>
          <w:rFonts w:ascii="宋体" w:hAnsi="宋体"/>
          <w:bCs/>
          <w:color w:val="010101"/>
          <w:sz w:val="28"/>
          <w:szCs w:val="28"/>
        </w:rPr>
        <w:t>道县</w:t>
      </w:r>
      <w:r>
        <w:rPr>
          <w:rFonts w:hint="eastAsia" w:ascii="宋体" w:hAnsi="宋体"/>
          <w:bCs/>
          <w:color w:val="010101"/>
          <w:sz w:val="28"/>
          <w:szCs w:val="28"/>
          <w:lang w:eastAsia="zh-CN"/>
        </w:rPr>
        <w:t>祥霖铺</w:t>
      </w:r>
      <w:r>
        <w:rPr>
          <w:rFonts w:hint="eastAsia" w:ascii="宋体" w:hAnsi="宋体"/>
          <w:bCs/>
          <w:color w:val="010101"/>
          <w:sz w:val="28"/>
          <w:szCs w:val="28"/>
        </w:rPr>
        <w:t>镇</w:t>
      </w:r>
      <w:r>
        <w:rPr>
          <w:rFonts w:ascii="宋体" w:hAnsi="宋体"/>
          <w:bCs/>
          <w:color w:val="010101"/>
          <w:sz w:val="28"/>
          <w:szCs w:val="28"/>
        </w:rPr>
        <w:t>人民政府</w:t>
      </w:r>
      <w:r>
        <w:rPr>
          <w:rFonts w:hint="eastAsia" w:ascii="宋体" w:hAnsi="宋体"/>
          <w:bCs/>
          <w:color w:val="010101"/>
          <w:sz w:val="28"/>
          <w:szCs w:val="28"/>
        </w:rPr>
        <w:t>2025</w:t>
      </w:r>
      <w:r>
        <w:rPr>
          <w:rFonts w:ascii="宋体" w:hAnsi="宋体"/>
          <w:bCs/>
          <w:color w:val="010101"/>
          <w:sz w:val="28"/>
          <w:szCs w:val="28"/>
        </w:rPr>
        <w:t>年无社会保险基金预算支出。</w:t>
      </w:r>
    </w:p>
    <w:p w14:paraId="52542ED7">
      <w:pPr>
        <w:ind w:right="11" w:firstLine="602" w:firstLineChars="200"/>
        <w:rPr>
          <w:rFonts w:hint="eastAsia" w:ascii="宋体" w:hAnsi="宋体"/>
          <w:b/>
          <w:color w:val="010101"/>
          <w:sz w:val="30"/>
          <w:szCs w:val="30"/>
        </w:rPr>
      </w:pPr>
      <w:r>
        <w:rPr>
          <w:rFonts w:hint="eastAsia" w:ascii="宋体" w:hAnsi="宋体"/>
          <w:b/>
          <w:color w:val="010101"/>
          <w:sz w:val="30"/>
          <w:szCs w:val="30"/>
        </w:rPr>
        <w:t>六、部门整体支出绩效情况</w:t>
      </w:r>
    </w:p>
    <w:p w14:paraId="0295CDF1">
      <w:pPr>
        <w:ind w:firstLine="600" w:firstLineChars="200"/>
        <w:rPr>
          <w:rFonts w:hint="eastAsia"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1、确保了干部职工工资正常发放和机关的正常运转，有利于社会稳定。</w:t>
      </w:r>
    </w:p>
    <w:p w14:paraId="480A563D">
      <w:pPr>
        <w:ind w:firstLine="600" w:firstLineChars="200"/>
        <w:rPr>
          <w:rFonts w:hint="eastAsia" w:ascii="宋体" w:hAnsi="宋体"/>
          <w:color w:val="010101"/>
          <w:sz w:val="30"/>
          <w:szCs w:val="30"/>
          <w:lang w:eastAsia="zh-CN"/>
        </w:rPr>
      </w:pPr>
      <w:r>
        <w:rPr>
          <w:rFonts w:hint="eastAsia" w:ascii="宋体" w:hAnsi="宋体"/>
          <w:color w:val="010101"/>
          <w:sz w:val="30"/>
          <w:szCs w:val="30"/>
        </w:rPr>
        <w:t>2、投入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农林水项目建设共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124</w:t>
      </w:r>
      <w:r>
        <w:rPr>
          <w:rFonts w:hint="eastAsia" w:ascii="宋体" w:hAnsi="宋体"/>
          <w:color w:val="010101"/>
          <w:sz w:val="30"/>
          <w:szCs w:val="30"/>
        </w:rPr>
        <w:t>万元，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这些资金的投入极大地改善了我镇的农村基础设施建设，不仅方便村民出行交通，更是为开展各项农业工作提供保障。</w:t>
      </w:r>
    </w:p>
    <w:p w14:paraId="619338B4">
      <w:pPr>
        <w:ind w:firstLine="600" w:firstLineChars="200"/>
        <w:rPr>
          <w:rFonts w:hint="eastAsia" w:ascii="宋体" w:hAnsi="宋体"/>
          <w:color w:val="010101"/>
          <w:sz w:val="30"/>
          <w:szCs w:val="30"/>
          <w:lang w:val="en-US" w:eastAsia="zh-CN"/>
        </w:rPr>
      </w:pP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3、人居环境整治全域提升。深入开展村庄清洁行动，实现37个村规划编制全覆盖，配备保洁员153人，生活垃圾集中收运率100%。累计拆除违章建筑100余处，下达整改通知300余份；开展畜禽散养整治，畜禽粪污综合利用率90%以上，规范养殖排污行为。创建美丽庭院示范户1000余户，秀水洞村有序推进省级美丽乡村建设，八家村、胡家村成为环境整治示范村，乡村面貌焕然一新。</w:t>
      </w:r>
    </w:p>
    <w:p w14:paraId="142493AF">
      <w:pPr>
        <w:ind w:firstLine="600" w:firstLineChars="200"/>
        <w:rPr>
          <w:rFonts w:hint="eastAsia" w:ascii="宋体" w:hAnsi="宋体"/>
          <w:color w:val="010101"/>
          <w:sz w:val="30"/>
          <w:szCs w:val="30"/>
          <w:lang w:val="en-US" w:eastAsia="zh-CN"/>
        </w:rPr>
      </w:pPr>
      <w:r>
        <w:rPr>
          <w:rFonts w:hint="eastAsia" w:ascii="宋体" w:hAnsi="宋体"/>
          <w:color w:val="010101"/>
          <w:sz w:val="30"/>
          <w:szCs w:val="30"/>
        </w:rPr>
        <w:t>4、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民生保障精准有力。五年来共发放城乡低保、特困供养和残疾人两补等民政资金4600万元，保障困难群众基本生活；落实养老保险和医疗保险征缴，免费开展“两癌”筛查；践行春风行动，解决农村剩余劳动力就业9000余人次；耕地地力保护补贴和稻谷目标价格补贴及时发放到位，农民负担持续减轻。坚持教育优先，持续开展奖学助学活动。五年来，募集教育帮扶资金100余万元，累计奖励优秀学生和帮助困难学生564名，发放奖学助学资金78.64万元；表彰和慰问优秀教育工作者、优秀班主任和优秀教师133名，桐溪尾村何雅同学2025年以优异成绩考入清华大学。</w:t>
      </w:r>
    </w:p>
    <w:p w14:paraId="3D04AF16">
      <w:pPr>
        <w:ind w:firstLine="600" w:firstLineChars="200"/>
        <w:rPr>
          <w:rFonts w:hint="eastAsia"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5、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扎实办好民生实事。涔天河干渠支渠投入3亿元，解决祥霖铺和周边乡镇12.5万亩农田灌溉；集镇污水处理厂、污水管网投入2000万元，基本实现生活污水集中处理；争取300余万元新建横板大桥，解决群众出行难题；祥审公路8公里全线通车；G207国道沿线和道州南高速出口安装路灯176盏；道路提质改造12公里，交通路网全面优化。</w:t>
      </w:r>
    </w:p>
    <w:p w14:paraId="77BDACFD">
      <w:pPr>
        <w:ind w:firstLine="643" w:firstLineChars="200"/>
        <w:rPr>
          <w:rFonts w:hint="eastAsia"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七、部门整体支出管理情况</w:t>
      </w:r>
    </w:p>
    <w:p w14:paraId="42A2697C">
      <w:pPr>
        <w:ind w:left="623"/>
        <w:rPr>
          <w:rFonts w:hint="eastAsia" w:ascii="宋体" w:hAnsi="宋体" w:cs="宋体"/>
          <w:b/>
          <w:sz w:val="32"/>
          <w:szCs w:val="32"/>
        </w:rPr>
      </w:pPr>
      <w:r>
        <w:rPr>
          <w:rFonts w:hint="eastAsia" w:ascii="宋体" w:hAnsi="宋体" w:cs="宋体"/>
          <w:b/>
          <w:sz w:val="32"/>
          <w:szCs w:val="32"/>
        </w:rPr>
        <w:t>（一）建章建制，制度建立完善。</w:t>
      </w:r>
    </w:p>
    <w:p w14:paraId="6BB59263">
      <w:pPr>
        <w:ind w:firstLine="600" w:firstLineChars="200"/>
        <w:rPr>
          <w:rFonts w:hint="eastAsia"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根据《会计法》、《预算法》、《行政单位会计制度》等法律和财政部及省财政厅有关财务规章的规定，镇政府先后制订了《财务管理制度》、《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道县祥霖铺</w:t>
      </w:r>
      <w:r>
        <w:rPr>
          <w:rFonts w:hint="eastAsia" w:ascii="宋体" w:hAnsi="宋体"/>
          <w:color w:val="010101"/>
          <w:sz w:val="30"/>
          <w:szCs w:val="30"/>
        </w:rPr>
        <w:t>镇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人民</w:t>
      </w:r>
      <w:r>
        <w:rPr>
          <w:rFonts w:hint="eastAsia" w:ascii="宋体" w:hAnsi="宋体"/>
          <w:color w:val="010101"/>
          <w:sz w:val="30"/>
          <w:szCs w:val="30"/>
        </w:rPr>
        <w:t>政府会议费管理办法》、《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道县祥霖铺</w:t>
      </w:r>
      <w:r>
        <w:rPr>
          <w:rFonts w:hint="eastAsia" w:ascii="宋体" w:hAnsi="宋体"/>
          <w:color w:val="010101"/>
          <w:sz w:val="30"/>
          <w:szCs w:val="30"/>
        </w:rPr>
        <w:t>镇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人民</w:t>
      </w:r>
      <w:r>
        <w:rPr>
          <w:rFonts w:hint="eastAsia" w:ascii="宋体" w:hAnsi="宋体"/>
          <w:color w:val="010101"/>
          <w:sz w:val="30"/>
          <w:szCs w:val="30"/>
        </w:rPr>
        <w:t>政府差旅费管理办法》等制度，制度明确了经费审批权限及程序，经费预算、核算管理、资产购置与处置、财务监督等，针对“三公”经费建立公用经费标准定额体系，开展公用经费使用监督和绩效评估，领导重视，员工参与，制度建立完善。</w:t>
      </w:r>
    </w:p>
    <w:p w14:paraId="2FBDBFB9">
      <w:pPr>
        <w:ind w:left="623"/>
        <w:rPr>
          <w:rFonts w:hint="eastAsia" w:ascii="宋体" w:hAnsi="宋体" w:cs="宋体"/>
          <w:b/>
          <w:sz w:val="32"/>
          <w:szCs w:val="32"/>
        </w:rPr>
      </w:pPr>
      <w:r>
        <w:rPr>
          <w:rFonts w:hint="eastAsia" w:ascii="宋体" w:hAnsi="宋体" w:cs="宋体"/>
          <w:b/>
          <w:sz w:val="32"/>
          <w:szCs w:val="32"/>
        </w:rPr>
        <w:t>（二）</w:t>
      </w:r>
      <w:r>
        <w:rPr>
          <w:rFonts w:hint="eastAsia" w:ascii="宋体" w:hAnsi="宋体"/>
          <w:b/>
          <w:sz w:val="32"/>
          <w:szCs w:val="32"/>
        </w:rPr>
        <w:t>制度执行比较到位，提高了资金使用效益。</w:t>
      </w:r>
    </w:p>
    <w:p w14:paraId="1D70FB71">
      <w:pPr>
        <w:ind w:firstLine="600" w:firstLineChars="200"/>
        <w:rPr>
          <w:rFonts w:hint="eastAsia"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2025年度加强了财务管理，落实厉行节约的各项规定，“三公”经费实现了有效压缩。</w:t>
      </w:r>
    </w:p>
    <w:p w14:paraId="126AF2B9">
      <w:pPr>
        <w:ind w:firstLine="600" w:firstLineChars="200"/>
        <w:rPr>
          <w:rFonts w:hint="eastAsia"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2025年度的“三公”经费中，无因公出国（境）费用、公务接待费、公务用车购置费，公务用车运行维护费实际支出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4.17</w:t>
      </w:r>
      <w:r>
        <w:rPr>
          <w:rFonts w:hint="eastAsia" w:ascii="宋体" w:hAnsi="宋体"/>
          <w:color w:val="010101"/>
          <w:sz w:val="30"/>
          <w:szCs w:val="30"/>
        </w:rPr>
        <w:t>万元。</w:t>
      </w:r>
    </w:p>
    <w:p w14:paraId="2BEE606D">
      <w:pPr>
        <w:adjustRightInd w:val="0"/>
        <w:snapToGrid w:val="0"/>
        <w:spacing w:line="600" w:lineRule="exact"/>
        <w:ind w:firstLine="643" w:firstLineChars="200"/>
        <w:rPr>
          <w:rFonts w:hint="eastAsia"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八、存在的主要问题</w:t>
      </w:r>
    </w:p>
    <w:p w14:paraId="4D619753">
      <w:pPr>
        <w:tabs>
          <w:tab w:val="left" w:pos="720"/>
        </w:tabs>
        <w:ind w:firstLine="600" w:firstLineChars="200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1、</w:t>
      </w:r>
      <w:r>
        <w:rPr>
          <w:rFonts w:ascii="宋体" w:hAnsi="宋体"/>
          <w:color w:val="010101"/>
          <w:sz w:val="30"/>
          <w:szCs w:val="30"/>
        </w:rPr>
        <w:t>预算执行精细化管理有待加强。部分支出科目在执行过程中存在调剂使用或执行进度不均衡的情况，预算编制与实际支出之间的衔接不够紧密，影响了资金使用效率。</w:t>
      </w:r>
    </w:p>
    <w:p w14:paraId="25BA04D0">
      <w:pPr>
        <w:tabs>
          <w:tab w:val="left" w:pos="720"/>
        </w:tabs>
        <w:ind w:firstLine="600" w:firstLineChars="200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2、</w:t>
      </w:r>
      <w:r>
        <w:rPr>
          <w:rFonts w:ascii="宋体" w:hAnsi="宋体"/>
          <w:color w:val="010101"/>
          <w:sz w:val="30"/>
          <w:szCs w:val="30"/>
        </w:rPr>
        <w:t>绩效管理意识仍需提升。部分项目支出未充分开展事前绩效评估和事中绩效监控，绩效目标设置较为宽泛，绩效评价结果与预算安排、政策调整的挂钩机制尚未完全建立。</w:t>
      </w:r>
    </w:p>
    <w:p w14:paraId="6C577547">
      <w:pPr>
        <w:tabs>
          <w:tab w:val="left" w:pos="720"/>
        </w:tabs>
        <w:ind w:firstLine="600" w:firstLineChars="200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3、</w:t>
      </w:r>
      <w:r>
        <w:rPr>
          <w:rFonts w:ascii="宋体" w:hAnsi="宋体"/>
          <w:color w:val="010101"/>
          <w:sz w:val="30"/>
          <w:szCs w:val="30"/>
        </w:rPr>
        <w:t>财务管理规范性存在短板。个别支出凭证附件不完整，部分经济业务未严格履行相关审批或合同签订程序，财务审核把关不够严谨，存在一定管理风险。</w:t>
      </w:r>
    </w:p>
    <w:p w14:paraId="723B1D33">
      <w:pPr>
        <w:tabs>
          <w:tab w:val="left" w:pos="720"/>
        </w:tabs>
        <w:ind w:firstLine="600" w:firstLineChars="200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4、</w:t>
      </w:r>
      <w:r>
        <w:rPr>
          <w:rFonts w:ascii="宋体" w:hAnsi="宋体"/>
          <w:color w:val="010101"/>
          <w:sz w:val="30"/>
          <w:szCs w:val="30"/>
        </w:rPr>
        <w:t>项目资金监管有待强化。部分农村基础设施及民生项目在实施过程中，存在进度滞后、资金拨付与工程进度不匹配等现象，项目后续管护责任落实不到位，影响长期效益发挥。</w:t>
      </w:r>
    </w:p>
    <w:p w14:paraId="1CD11CBF">
      <w:pPr>
        <w:adjustRightInd w:val="0"/>
        <w:snapToGrid w:val="0"/>
        <w:spacing w:line="600" w:lineRule="exact"/>
        <w:ind w:firstLine="643" w:firstLineChars="200"/>
        <w:rPr>
          <w:rFonts w:hint="eastAsia"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九、下一步改进措施和有关建议</w:t>
      </w:r>
    </w:p>
    <w:p w14:paraId="488505C7">
      <w:pPr>
        <w:tabs>
          <w:tab w:val="left" w:pos="720"/>
        </w:tabs>
        <w:ind w:firstLine="600" w:firstLineChars="200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1、</w:t>
      </w:r>
      <w:r>
        <w:rPr>
          <w:rFonts w:ascii="宋体" w:hAnsi="宋体"/>
          <w:color w:val="010101"/>
          <w:sz w:val="30"/>
          <w:szCs w:val="30"/>
        </w:rPr>
        <w:t>强化预算刚性约束，提升执行精准度。严格按照预算批复和支出标准执行，减少预算调整频次。加强国库集中支付与预算指标的动态对账，确保支出合规、及时、均衡，切实提高财政资金使用效益。</w:t>
      </w:r>
    </w:p>
    <w:p w14:paraId="1D51AEE3">
      <w:pPr>
        <w:tabs>
          <w:tab w:val="left" w:pos="720"/>
        </w:tabs>
        <w:ind w:firstLine="600" w:firstLineChars="200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2、</w:t>
      </w:r>
      <w:r>
        <w:rPr>
          <w:rFonts w:ascii="宋体" w:hAnsi="宋体"/>
          <w:color w:val="010101"/>
          <w:sz w:val="30"/>
          <w:szCs w:val="30"/>
        </w:rPr>
        <w:t>全面深化绩效管理，完善结果应用机制。围绕部门职责和年度重点任务，科学设置绩效目标，全面开展绩效自评和重点评价。将绩效评价结果作为下一年度预算安排和政策调整的重要依据，推动“花钱必问效、无效必问责”落到实处。</w:t>
      </w:r>
    </w:p>
    <w:p w14:paraId="61AF0D09">
      <w:pPr>
        <w:tabs>
          <w:tab w:val="left" w:pos="720"/>
        </w:tabs>
        <w:ind w:firstLine="600" w:firstLineChars="200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3、</w:t>
      </w:r>
      <w:r>
        <w:rPr>
          <w:rFonts w:ascii="宋体" w:hAnsi="宋体"/>
          <w:color w:val="010101"/>
          <w:sz w:val="30"/>
          <w:szCs w:val="30"/>
        </w:rPr>
        <w:t>规范财务基础工作，堵塞管理漏洞。完善并严格执行内部控制制度，重点加强报销审核、合同管理、政府采购等环节管控。定期开展财务自查和业务培训，提升财务人员专业素养，确保支出凭证真实、完整、合规。</w:t>
      </w:r>
    </w:p>
    <w:p w14:paraId="1393F28E">
      <w:pPr>
        <w:tabs>
          <w:tab w:val="left" w:pos="720"/>
        </w:tabs>
        <w:ind w:firstLine="600" w:firstLineChars="200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4、</w:t>
      </w:r>
      <w:r>
        <w:rPr>
          <w:rFonts w:ascii="宋体" w:hAnsi="宋体"/>
          <w:color w:val="010101"/>
          <w:sz w:val="30"/>
          <w:szCs w:val="30"/>
        </w:rPr>
        <w:t>加强项目全过程监管，落实后续管护责任。对各类项目建设及资金使用实行全流程跟踪监督，严格按合同和工程进度拨付资金。项目建成后及时明确管护主体和经费来源，建立长效运行机制，确保项目持续发挥效益。</w:t>
      </w:r>
    </w:p>
    <w:p w14:paraId="2DCCF4B9">
      <w:pPr>
        <w:tabs>
          <w:tab w:val="left" w:pos="720"/>
        </w:tabs>
        <w:ind w:firstLine="600" w:firstLineChars="200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5、</w:t>
      </w:r>
      <w:r>
        <w:rPr>
          <w:rFonts w:ascii="宋体" w:hAnsi="宋体"/>
          <w:color w:val="010101"/>
          <w:sz w:val="30"/>
          <w:szCs w:val="30"/>
        </w:rPr>
        <w:t>自觉接受各方监督，持续改进管理。主动配合审计、财政监督及社会监督，对发现的问题建立整改台账，明确责任人和完成时限，做到立行立改、举一反三，不断提升部门整体支出管理水平。</w:t>
      </w:r>
    </w:p>
    <w:p w14:paraId="2B7EE43C">
      <w:pPr>
        <w:ind w:firstLine="600" w:firstLineChars="200"/>
        <w:jc w:val="right"/>
        <w:rPr>
          <w:rFonts w:hint="eastAsia" w:ascii="宋体" w:hAnsi="宋体"/>
          <w:color w:val="010101"/>
          <w:sz w:val="30"/>
          <w:szCs w:val="30"/>
        </w:rPr>
      </w:pPr>
    </w:p>
    <w:p w14:paraId="3E06AB69">
      <w:pPr>
        <w:ind w:firstLine="600" w:firstLineChars="200"/>
        <w:jc w:val="right"/>
        <w:rPr>
          <w:rFonts w:hint="eastAsia"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道县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祥霖铺</w:t>
      </w:r>
      <w:r>
        <w:rPr>
          <w:rFonts w:hint="eastAsia" w:ascii="宋体" w:hAnsi="宋体"/>
          <w:color w:val="010101"/>
          <w:sz w:val="30"/>
          <w:szCs w:val="30"/>
        </w:rPr>
        <w:t>镇人民政府</w:t>
      </w:r>
    </w:p>
    <w:p w14:paraId="20EABE47">
      <w:pPr>
        <w:ind w:firstLine="600" w:firstLineChars="200"/>
        <w:jc w:val="right"/>
      </w:pPr>
      <w:r>
        <w:rPr>
          <w:rFonts w:hint="eastAsia" w:ascii="宋体" w:hAnsi="宋体"/>
          <w:color w:val="010101"/>
          <w:sz w:val="30"/>
          <w:szCs w:val="30"/>
        </w:rPr>
        <w:t>2026年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9</w:t>
      </w:r>
      <w:r>
        <w:rPr>
          <w:rFonts w:hint="eastAsia" w:ascii="宋体" w:hAnsi="宋体"/>
          <w:color w:val="010101"/>
          <w:sz w:val="30"/>
          <w:szCs w:val="30"/>
        </w:rPr>
        <w:t>月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10</w:t>
      </w:r>
      <w:r>
        <w:rPr>
          <w:rFonts w:hint="eastAsia" w:ascii="宋体" w:hAnsi="宋体"/>
          <w:color w:val="010101"/>
          <w:sz w:val="30"/>
          <w:szCs w:val="30"/>
        </w:rPr>
        <w:t>日</w:t>
      </w:r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9918311"/>
    </w:sdtPr>
    <w:sdtContent>
      <w:p w14:paraId="37251345">
        <w:pPr>
          <w:pStyle w:val="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4</w:t>
        </w:r>
        <w:r>
          <w:rPr>
            <w:lang w:val="zh-CN"/>
          </w:rPr>
          <w:fldChar w:fldCharType="end"/>
        </w:r>
      </w:p>
    </w:sdtContent>
  </w:sdt>
  <w:p w14:paraId="24610BB2">
    <w:pPr>
      <w:pStyle w:val="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350432E"/>
    <w:multiLevelType w:val="singleLevel"/>
    <w:tmpl w:val="4350432E"/>
    <w:lvl w:ilvl="0" w:tentative="0">
      <w:start w:val="2"/>
      <w:numFmt w:val="chineseCounting"/>
      <w:suff w:val="nothing"/>
      <w:lvlText w:val="%1、"/>
      <w:lvlJc w:val="left"/>
      <w:pPr>
        <w:ind w:left="901" w:firstLine="0"/>
      </w:pPr>
      <w:rPr>
        <w:rFonts w:hint="eastAsia"/>
      </w:rPr>
    </w:lvl>
  </w:abstractNum>
  <w:abstractNum w:abstractNumId="1">
    <w:nsid w:val="5E94AC96"/>
    <w:multiLevelType w:val="singleLevel"/>
    <w:tmpl w:val="5E94AC96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787A94F0"/>
    <w:multiLevelType w:val="singleLevel"/>
    <w:tmpl w:val="787A94F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ExYThkMTA4NjkxZWJhMmU0NTg2YTQ4MjAyNWFjODkifQ=="/>
  </w:docVars>
  <w:rsids>
    <w:rsidRoot w:val="706D39CB"/>
    <w:rsid w:val="00003F53"/>
    <w:rsid w:val="0062236D"/>
    <w:rsid w:val="00787F5E"/>
    <w:rsid w:val="00950F93"/>
    <w:rsid w:val="00D44C97"/>
    <w:rsid w:val="01741B24"/>
    <w:rsid w:val="02915E86"/>
    <w:rsid w:val="02C62933"/>
    <w:rsid w:val="04321AC4"/>
    <w:rsid w:val="0437442B"/>
    <w:rsid w:val="044C6F76"/>
    <w:rsid w:val="04785EAF"/>
    <w:rsid w:val="070215A3"/>
    <w:rsid w:val="08B514C2"/>
    <w:rsid w:val="09E132EB"/>
    <w:rsid w:val="09EF09C1"/>
    <w:rsid w:val="0D314E4D"/>
    <w:rsid w:val="0D7C256C"/>
    <w:rsid w:val="0E056F7D"/>
    <w:rsid w:val="0E6A6868"/>
    <w:rsid w:val="0EA7033E"/>
    <w:rsid w:val="0EC705E9"/>
    <w:rsid w:val="126C68AC"/>
    <w:rsid w:val="13070B2A"/>
    <w:rsid w:val="149F3622"/>
    <w:rsid w:val="16774218"/>
    <w:rsid w:val="174C51CF"/>
    <w:rsid w:val="18E10B7E"/>
    <w:rsid w:val="19F21FB7"/>
    <w:rsid w:val="1ACD0C5E"/>
    <w:rsid w:val="1AD27C6F"/>
    <w:rsid w:val="1D901D5D"/>
    <w:rsid w:val="1E122A78"/>
    <w:rsid w:val="1EA41923"/>
    <w:rsid w:val="1F5570C1"/>
    <w:rsid w:val="217648FE"/>
    <w:rsid w:val="21E12E8E"/>
    <w:rsid w:val="2208666C"/>
    <w:rsid w:val="230A1F70"/>
    <w:rsid w:val="241D0769"/>
    <w:rsid w:val="24E8169B"/>
    <w:rsid w:val="263C68E5"/>
    <w:rsid w:val="290114EF"/>
    <w:rsid w:val="2A355B25"/>
    <w:rsid w:val="2A383867"/>
    <w:rsid w:val="2B69634C"/>
    <w:rsid w:val="2E41718E"/>
    <w:rsid w:val="31327262"/>
    <w:rsid w:val="31A6555A"/>
    <w:rsid w:val="32BD63AE"/>
    <w:rsid w:val="33777353"/>
    <w:rsid w:val="33BC5835"/>
    <w:rsid w:val="343432F1"/>
    <w:rsid w:val="34651BAB"/>
    <w:rsid w:val="356419B4"/>
    <w:rsid w:val="35EB3E83"/>
    <w:rsid w:val="363D0E07"/>
    <w:rsid w:val="376E3DCC"/>
    <w:rsid w:val="37C8447C"/>
    <w:rsid w:val="38F90665"/>
    <w:rsid w:val="3C2F020A"/>
    <w:rsid w:val="406D05E8"/>
    <w:rsid w:val="40C3670E"/>
    <w:rsid w:val="43864B27"/>
    <w:rsid w:val="43A52DA8"/>
    <w:rsid w:val="445E3723"/>
    <w:rsid w:val="45120AE5"/>
    <w:rsid w:val="45B6258A"/>
    <w:rsid w:val="45D3296A"/>
    <w:rsid w:val="4710453E"/>
    <w:rsid w:val="484A67E7"/>
    <w:rsid w:val="48D569F9"/>
    <w:rsid w:val="4A585C53"/>
    <w:rsid w:val="4C1B0BC7"/>
    <w:rsid w:val="4D0B0340"/>
    <w:rsid w:val="4F65295B"/>
    <w:rsid w:val="4FCC6343"/>
    <w:rsid w:val="522654B8"/>
    <w:rsid w:val="52E50844"/>
    <w:rsid w:val="539E64EB"/>
    <w:rsid w:val="541A0126"/>
    <w:rsid w:val="542E6BE4"/>
    <w:rsid w:val="56A73064"/>
    <w:rsid w:val="5C29540A"/>
    <w:rsid w:val="5C34503D"/>
    <w:rsid w:val="5CA70254"/>
    <w:rsid w:val="5E134288"/>
    <w:rsid w:val="5F1D65AC"/>
    <w:rsid w:val="5F3F29C6"/>
    <w:rsid w:val="612B4FB0"/>
    <w:rsid w:val="62443A91"/>
    <w:rsid w:val="627D0960"/>
    <w:rsid w:val="63BC3E12"/>
    <w:rsid w:val="640E3B36"/>
    <w:rsid w:val="64E35B79"/>
    <w:rsid w:val="64F25DE5"/>
    <w:rsid w:val="64F46001"/>
    <w:rsid w:val="65E63B9C"/>
    <w:rsid w:val="660D1128"/>
    <w:rsid w:val="67D3465B"/>
    <w:rsid w:val="6B547589"/>
    <w:rsid w:val="6BF14769"/>
    <w:rsid w:val="6D910891"/>
    <w:rsid w:val="6EEE74C1"/>
    <w:rsid w:val="6FA00392"/>
    <w:rsid w:val="706D39CB"/>
    <w:rsid w:val="73263829"/>
    <w:rsid w:val="74A83F37"/>
    <w:rsid w:val="777D3C34"/>
    <w:rsid w:val="796B25A5"/>
    <w:rsid w:val="7D2D2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after="160" w:line="278" w:lineRule="auto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99"/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0"/>
    <w:pPr>
      <w:spacing w:before="100" w:beforeAutospacing="1" w:after="100" w:afterAutospacing="1"/>
      <w:jc w:val="left"/>
    </w:pPr>
    <w:rPr>
      <w:rFonts w:ascii="Calibri" w:hAnsi="Calibri"/>
      <w:kern w:val="0"/>
      <w:sz w:val="24"/>
      <w:szCs w:val="24"/>
    </w:rPr>
  </w:style>
  <w:style w:type="character" w:customStyle="1" w:styleId="8">
    <w:name w:val="页眉 字符"/>
    <w:basedOn w:val="7"/>
    <w:link w:val="4"/>
    <w:qFormat/>
    <w:uiPriority w:val="0"/>
    <w:rPr>
      <w:kern w:val="2"/>
      <w:sz w:val="18"/>
      <w:szCs w:val="18"/>
    </w:rPr>
  </w:style>
  <w:style w:type="paragraph" w:styleId="9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1802</Words>
  <Characters>1984</Characters>
  <Lines>90</Lines>
  <Paragraphs>77</Paragraphs>
  <TotalTime>5</TotalTime>
  <ScaleCrop>false</ScaleCrop>
  <LinksUpToDate>false</LinksUpToDate>
  <CharactersWithSpaces>3709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2022-05-31T06:36:00Z</dcterms:created>
  <dc:creator>Administrator</dc:creator>
  <cp:lastModifiedBy>lenovo</cp:lastModifiedBy>
  <dcterms:modified xsi:type="dcterms:W3CDTF">2026-09-10T03:00:50Z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83B1E12E57664224BBC7EFBC297D8542_13</vt:lpwstr>
  </property>
  <property fmtid="{D5CDD505-2E9C-101B-9397-08002B2CF9AE}" pid="4" name="KSOTemplateDocerSaveRecord">
    <vt:lpwstr>eyJoZGlkIjoiNGNiNmU4ZjhlMzYzOGJlNDkwZTJiMDE1MWU3NDZiZDcifQ==</vt:lpwstr>
  </property>
</Properties>
</file>