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r>
        <w:rPr>
          <w:rFonts w:hint="eastAsia" w:ascii="黑体" w:hAnsi="黑体" w:eastAsia="黑体" w:cs="黑体"/>
          <w:sz w:val="32"/>
          <w:szCs w:val="32"/>
        </w:rPr>
        <w:t>附件3</w:t>
      </w:r>
    </w:p>
    <w:p>
      <w:pPr>
        <w:spacing w:line="600" w:lineRule="exact"/>
        <w:rPr>
          <w:rFonts w:eastAsia="黑体"/>
          <w:sz w:val="32"/>
          <w:szCs w:val="32"/>
        </w:rPr>
      </w:pPr>
    </w:p>
    <w:p>
      <w:pPr>
        <w:jc w:val="center"/>
        <w:rPr>
          <w:rFonts w:hint="eastAsia" w:ascii="方正小标宋简体" w:eastAsia="方正小标宋简体"/>
          <w:sz w:val="52"/>
          <w:szCs w:val="52"/>
        </w:rPr>
      </w:pPr>
      <w:r>
        <w:rPr>
          <w:rFonts w:hint="eastAsia" w:ascii="方正小标宋简体" w:eastAsia="方正小标宋简体"/>
          <w:sz w:val="52"/>
          <w:szCs w:val="52"/>
        </w:rPr>
        <w:t>2025年度</w:t>
      </w:r>
      <w:r>
        <w:rPr>
          <w:rFonts w:hint="eastAsia" w:ascii="方正小标宋简体" w:eastAsia="方正小标宋简体"/>
          <w:sz w:val="52"/>
          <w:szCs w:val="52"/>
          <w:lang w:val="en-US" w:eastAsia="zh-CN"/>
        </w:rPr>
        <w:t>道县商务局</w:t>
      </w:r>
      <w:r>
        <w:rPr>
          <w:rFonts w:hint="eastAsia" w:ascii="方正小标宋简体" w:eastAsia="方正小标宋简体"/>
          <w:sz w:val="52"/>
          <w:szCs w:val="52"/>
        </w:rPr>
        <w:t>整体支出绩效自评报告</w:t>
      </w:r>
    </w:p>
    <w:p>
      <w:pPr>
        <w:jc w:val="center"/>
        <w:rPr>
          <w:rFonts w:eastAsia="方正小标宋_GBK"/>
          <w:b/>
          <w:sz w:val="52"/>
          <w:szCs w:val="52"/>
        </w:rPr>
      </w:pPr>
    </w:p>
    <w:p>
      <w:pPr>
        <w:jc w:val="center"/>
        <w:rPr>
          <w:rFonts w:eastAsia="楷体_GB2312"/>
          <w:b/>
          <w:sz w:val="32"/>
          <w:szCs w:val="32"/>
        </w:rPr>
      </w:pPr>
    </w:p>
    <w:p>
      <w:pPr>
        <w:rPr>
          <w:rFonts w:eastAsia="楷体_GB2312"/>
          <w:b/>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spacing w:line="600" w:lineRule="exact"/>
        <w:ind w:firstLine="1920" w:firstLineChars="600"/>
        <w:rPr>
          <w:rFonts w:eastAsia="仿宋_GB2312"/>
          <w:sz w:val="32"/>
          <w:szCs w:val="32"/>
          <w:u w:val="single"/>
        </w:rPr>
      </w:pPr>
      <w:r>
        <w:rPr>
          <w:rFonts w:eastAsia="仿宋_GB2312"/>
          <w:sz w:val="32"/>
          <w:szCs w:val="32"/>
        </w:rPr>
        <w:t>单位名称：</w:t>
      </w:r>
      <w:r>
        <w:rPr>
          <w:rFonts w:eastAsia="仿宋_GB2312"/>
          <w:sz w:val="32"/>
          <w:szCs w:val="32"/>
          <w:u w:val="single"/>
        </w:rPr>
        <w:t xml:space="preserve">（盖章）        </w:t>
      </w:r>
    </w:p>
    <w:p>
      <w:pPr>
        <w:spacing w:line="600" w:lineRule="exact"/>
        <w:ind w:firstLine="3200" w:firstLineChars="1000"/>
        <w:rPr>
          <w:rFonts w:eastAsia="楷体_GB2312"/>
          <w:sz w:val="32"/>
          <w:szCs w:val="32"/>
        </w:rPr>
      </w:pPr>
      <w:r>
        <w:rPr>
          <w:rFonts w:eastAsia="楷体_GB2312"/>
          <w:sz w:val="32"/>
          <w:szCs w:val="32"/>
        </w:rPr>
        <w:t>年  月  日</w:t>
      </w:r>
    </w:p>
    <w:p>
      <w:pPr>
        <w:jc w:val="center"/>
        <w:rPr>
          <w:rFonts w:eastAsia="黑体"/>
          <w:sz w:val="32"/>
          <w:szCs w:val="32"/>
        </w:rPr>
      </w:pPr>
    </w:p>
    <w:p>
      <w:pPr>
        <w:jc w:val="center"/>
        <w:rPr>
          <w:rFonts w:eastAsia="仿宋_GB2312"/>
          <w:sz w:val="32"/>
          <w:szCs w:val="32"/>
        </w:rPr>
      </w:pPr>
      <w:r>
        <w:rPr>
          <w:rFonts w:eastAsia="仿宋_GB2312"/>
          <w:sz w:val="32"/>
          <w:szCs w:val="32"/>
        </w:rPr>
        <w:t>（此页为封面）</w:t>
      </w:r>
    </w:p>
    <w:p>
      <w:pPr>
        <w:spacing w:line="570" w:lineRule="exact"/>
        <w:ind w:firstLine="640" w:firstLineChars="200"/>
        <w:rPr>
          <w:rFonts w:eastAsia="黑体"/>
          <w:sz w:val="32"/>
          <w:szCs w:val="32"/>
        </w:rPr>
      </w:pPr>
      <w:r>
        <w:rPr>
          <w:rFonts w:eastAsia="仿宋_GB2312"/>
          <w:sz w:val="32"/>
          <w:szCs w:val="32"/>
        </w:rPr>
        <w:br w:type="page"/>
      </w:r>
      <w:r>
        <w:rPr>
          <w:rFonts w:hint="eastAsia" w:ascii="黑体" w:hAnsi="黑体" w:eastAsia="黑体" w:cs="黑体"/>
          <w:sz w:val="32"/>
          <w:szCs w:val="32"/>
        </w:rPr>
        <w:t>一、</w:t>
      </w:r>
      <w:r>
        <w:rPr>
          <w:rFonts w:eastAsia="黑体"/>
          <w:sz w:val="32"/>
          <w:szCs w:val="32"/>
        </w:rPr>
        <w:t>基本情况</w:t>
      </w:r>
    </w:p>
    <w:p>
      <w:pPr>
        <w:shd w:val="clear" w:color="auto" w:fill="FFFFFF"/>
        <w:spacing w:line="570" w:lineRule="exact"/>
        <w:ind w:firstLine="320" w:firstLineChars="100"/>
        <w:rPr>
          <w:rFonts w:hint="eastAsia" w:ascii="仿宋" w:hAnsi="仿宋" w:eastAsia="仿宋" w:cs="仿宋"/>
          <w:b/>
          <w:bCs/>
          <w:sz w:val="32"/>
          <w:szCs w:val="32"/>
          <w:lang w:val="en-US" w:eastAsia="zh-CN"/>
        </w:rPr>
      </w:pPr>
      <w:r>
        <w:rPr>
          <w:rFonts w:hint="eastAsia" w:ascii="仿宋_GB2312" w:eastAsia="仿宋_GB2312"/>
          <w:sz w:val="32"/>
          <w:szCs w:val="32"/>
        </w:rPr>
        <w:t>（一）</w:t>
      </w:r>
      <w:r>
        <w:rPr>
          <w:rFonts w:hint="eastAsia" w:ascii="仿宋" w:hAnsi="仿宋" w:eastAsia="仿宋" w:cs="仿宋"/>
          <w:b/>
          <w:bCs/>
          <w:sz w:val="32"/>
          <w:szCs w:val="32"/>
          <w:lang w:val="en-US" w:eastAsia="zh-CN"/>
        </w:rPr>
        <w:t>主要工作职能职责</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1、贯彻执行国家、省有关国内外贸易、国际经济合作和区域经济合作的发展战略、政策，拟订全县国内外贸易、招商引资、承接产业转移、对外援助、对外投资和对外经济合作的规范性交件。</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2、负责推进流通产业结构调整，指导流通企业改革，促进商贸服务业和社区商业发展，推动流通标准化和连锁经营、商业特许经营、物流配送、电子商务等现代流通方式的发展。</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3、促进城乡市场发展，指导大宗产品批发市场规划和城市商业网点规划、商业体系建设工作，推进农村市场体系建设，组织实施农村现代流通网络工程。</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贯彻执行国家进出口商品、加工贸易管理规定和进出口管理商品、技术目录，组织实施全县重要工业品、原材料和重要农产品进出口总量计划，会同有关部门协调大宗进出口商品工作，指导贸易促进活动和外贸促进体系建设。</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5、贯彻执行国家对外技术贸易、出口管制以及鼓励技术和成套设备进出口的贸易政策，推进进出口贸易标准化工作，依法监督技术引进、设备进口、国家限制出口技术工作。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牵头拟订服务贸易发展规划，推动服务外包平台建设，依法管理和监督对外承包工程、对外劳务合作等，负责牵头外派劳务和境外就业人员的权益保护工作，依法核准市内企业对外投资开办企业（金融企业除外）。</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贯彻执行我国多边双边（含区域、自由贸易区）经贸合作战略和政策，推进我市与其他国家（地区）的经贸往来与投资贸易合作；牵头承担全县商务领域涉及世界贸易组织事务的相关工作，负责对外经济贸易协调工作。组织实施招商引资和承接产业转移，依法核准外商投资企业的设立及变更事项，依法核准重大外商投资项目的合同章程及法律特别规定的重大变更事项，依法监督检查外商投资企业执行有关法律法规规章、合同章程的情况并协调解决有关问题，指导投资促进及全县外商投资企业审批工作，规范招商引资活动，协调港、澳、台商投资管理工作，指导市域内省级经济技术开发区的有关工作。</w:t>
      </w:r>
    </w:p>
    <w:p>
      <w:pPr>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8、贯彻执行国家对外援助政策和方案，协调管理全县承担的对外援助项目，协调管理多边双边对我市的无偿援助和赠款（不含财政合作项下外国政府及国际金融组织的赠款）等发展合作业务。</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9、做好异地永州商会的联络、服务工作，承担市直招商小分队商务协调领导小组的日常工作。</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10、负责管理和协调处理本县口岸工作，指导电子口岸通关信息平台建设，协调外经贸企业的出口退税、出口信用保险工作督促检查口岸检查检验单位，按各自的职责和规定，对出入境人员、交通工具、货物和行李物品进行监督管理以及检查、检验、检疫等工作，负责协调处理口岸各单位之间的矛盾，具有仲裁职能。负责督促本县口岸、互市点的规划建设、技术改造配套工作的组织实施，并促使其同步进行</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11、提供信息咨询服务，指导全县流通领域信息网络和电子商务建设。</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12、按机构改革的总体要求，负责对下属单位机构设置、职能配置和人员编制配备等提出调整完善意见，报机构编制部门明确。</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13、承办县委、县人民政府交办的其他事项。</w:t>
      </w:r>
    </w:p>
    <w:p>
      <w:pPr>
        <w:ind w:firstLine="640" w:firstLineChars="200"/>
        <w:rPr>
          <w:rFonts w:hint="default"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道县商务局</w:t>
      </w:r>
      <w:r>
        <w:rPr>
          <w:rFonts w:hint="eastAsia" w:ascii="仿宋" w:hAnsi="仿宋" w:eastAsia="仿宋" w:cs="仿宋"/>
          <w:sz w:val="32"/>
          <w:szCs w:val="32"/>
          <w:lang w:val="en-US" w:eastAsia="zh-CN"/>
        </w:rPr>
        <w:t>内设股室5个</w:t>
      </w:r>
      <w:r>
        <w:rPr>
          <w:rFonts w:hint="eastAsia" w:ascii="仿宋_GB2312" w:hAnsi="仿宋" w:eastAsia="仿宋_GB2312" w:cstheme="minorBidi"/>
          <w:kern w:val="2"/>
          <w:sz w:val="32"/>
          <w:szCs w:val="32"/>
          <w:lang w:val="en-US" w:eastAsia="zh-CN" w:bidi="ar-SA"/>
        </w:rPr>
        <w:t>：</w:t>
      </w:r>
    </w:p>
    <w:p>
      <w:pPr>
        <w:ind w:firstLine="640" w:firstLineChars="200"/>
        <w:rPr>
          <w:rFonts w:hint="eastAsia" w:ascii="仿宋" w:hAnsi="仿宋" w:eastAsia="仿宋" w:cs="仿宋"/>
          <w:sz w:val="32"/>
          <w:szCs w:val="32"/>
          <w:lang w:val="en-US" w:eastAsia="zh-CN"/>
        </w:rPr>
      </w:pPr>
      <w:r>
        <w:rPr>
          <w:rFonts w:hint="eastAsia" w:ascii="仿宋_GB2312" w:hAnsi="仿宋" w:eastAsia="仿宋_GB2312" w:cstheme="minorBidi"/>
          <w:kern w:val="2"/>
          <w:sz w:val="32"/>
          <w:szCs w:val="32"/>
          <w:lang w:val="en-US" w:eastAsia="zh-CN" w:bidi="ar-SA"/>
        </w:rPr>
        <w:t>分别为：</w:t>
      </w:r>
      <w:r>
        <w:rPr>
          <w:rFonts w:hint="eastAsia" w:ascii="仿宋" w:hAnsi="仿宋" w:eastAsia="仿宋" w:cs="仿宋"/>
          <w:sz w:val="32"/>
          <w:szCs w:val="32"/>
          <w:lang w:val="en-US" w:eastAsia="zh-CN"/>
        </w:rPr>
        <w:t>综合股、市场运行消费促进股、市场体系建设和流通业发展股、对外经贸合作股、投资管理股；</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内设事业单位2个:电子商务服务中心、口岸管理服务中心；</w:t>
      </w:r>
    </w:p>
    <w:p>
      <w:pPr>
        <w:ind w:firstLine="640" w:firstLineChars="200"/>
        <w:rPr>
          <w:rFonts w:hint="default"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人员编制</w:t>
      </w:r>
      <w:r>
        <w:rPr>
          <w:rFonts w:hint="default" w:ascii="仿宋_GB2312" w:hAnsi="仿宋" w:eastAsia="仿宋_GB2312" w:cstheme="minorBidi"/>
          <w:kern w:val="2"/>
          <w:sz w:val="32"/>
          <w:szCs w:val="32"/>
          <w:lang w:val="en-US" w:eastAsia="zh-CN" w:bidi="ar-SA"/>
        </w:rPr>
        <w:t>:</w:t>
      </w:r>
      <w:r>
        <w:rPr>
          <w:rFonts w:hint="eastAsia" w:ascii="仿宋_GB2312" w:hAnsi="仿宋" w:eastAsia="仿宋_GB2312" w:cstheme="minorBidi"/>
          <w:kern w:val="2"/>
          <w:sz w:val="32"/>
          <w:szCs w:val="32"/>
          <w:lang w:val="en-US" w:eastAsia="zh-CN" w:bidi="ar-SA"/>
        </w:rPr>
        <w:t>道县商务局机关行政编制9名，其中：书记</w:t>
      </w:r>
      <w:r>
        <w:rPr>
          <w:rFonts w:hint="default" w:ascii="仿宋_GB2312" w:hAnsi="仿宋" w:eastAsia="仿宋_GB2312" w:cstheme="minorBidi"/>
          <w:kern w:val="2"/>
          <w:sz w:val="32"/>
          <w:szCs w:val="32"/>
          <w:lang w:val="en-US" w:eastAsia="zh-CN" w:bidi="ar-SA"/>
        </w:rPr>
        <w:t>1</w:t>
      </w:r>
      <w:r>
        <w:rPr>
          <w:rFonts w:hint="eastAsia" w:ascii="仿宋_GB2312" w:hAnsi="仿宋" w:eastAsia="仿宋_GB2312" w:cstheme="minorBidi"/>
          <w:kern w:val="2"/>
          <w:sz w:val="32"/>
          <w:szCs w:val="32"/>
          <w:lang w:val="en-US" w:eastAsia="zh-CN" w:bidi="ar-SA"/>
        </w:rPr>
        <w:t>名、局长</w:t>
      </w:r>
      <w:r>
        <w:rPr>
          <w:rFonts w:hint="default" w:ascii="仿宋_GB2312" w:hAnsi="仿宋" w:eastAsia="仿宋_GB2312" w:cstheme="minorBidi"/>
          <w:kern w:val="2"/>
          <w:sz w:val="32"/>
          <w:szCs w:val="32"/>
          <w:lang w:val="en-US" w:eastAsia="zh-CN" w:bidi="ar-SA"/>
        </w:rPr>
        <w:t>1</w:t>
      </w:r>
      <w:r>
        <w:rPr>
          <w:rFonts w:hint="eastAsia" w:ascii="仿宋_GB2312" w:hAnsi="仿宋" w:eastAsia="仿宋_GB2312" w:cstheme="minorBidi"/>
          <w:kern w:val="2"/>
          <w:sz w:val="32"/>
          <w:szCs w:val="32"/>
          <w:lang w:val="en-US" w:eastAsia="zh-CN" w:bidi="ar-SA"/>
        </w:rPr>
        <w:t>名，副局长</w:t>
      </w:r>
      <w:r>
        <w:rPr>
          <w:rFonts w:hint="default" w:ascii="仿宋_GB2312" w:hAnsi="仿宋" w:eastAsia="仿宋_GB2312" w:cstheme="minorBidi"/>
          <w:kern w:val="2"/>
          <w:sz w:val="32"/>
          <w:szCs w:val="32"/>
          <w:lang w:val="en-US" w:eastAsia="zh-CN" w:bidi="ar-SA"/>
        </w:rPr>
        <w:t>2</w:t>
      </w:r>
      <w:r>
        <w:rPr>
          <w:rFonts w:hint="eastAsia" w:ascii="仿宋_GB2312" w:hAnsi="仿宋" w:eastAsia="仿宋_GB2312" w:cstheme="minorBidi"/>
          <w:kern w:val="2"/>
          <w:sz w:val="32"/>
          <w:szCs w:val="32"/>
          <w:lang w:val="en-US" w:eastAsia="zh-CN" w:bidi="ar-SA"/>
        </w:rPr>
        <w:t>名，正股级领导职数5名；事业编制22个，机关党组织、纪检（监察）机构和群团组织负责人职数按有关规定及章程核定。在职人员28人。</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eastAsia="仿宋_GB2312"/>
          <w:sz w:val="32"/>
          <w:szCs w:val="32"/>
        </w:rPr>
        <w:t>（二）</w:t>
      </w:r>
      <w:r>
        <w:rPr>
          <w:rFonts w:hint="eastAsia" w:ascii="仿宋_GB2312" w:hAnsi="仿宋" w:eastAsia="仿宋_GB2312" w:cstheme="minorBidi"/>
          <w:kern w:val="2"/>
          <w:sz w:val="32"/>
          <w:szCs w:val="32"/>
          <w:lang w:val="en-US" w:eastAsia="zh-CN" w:bidi="ar-SA"/>
        </w:rPr>
        <w:t>2025年我局整体支出</w:t>
      </w:r>
      <w:r>
        <w:rPr>
          <w:rFonts w:ascii="仿宋" w:hAnsi="仿宋" w:eastAsia="仿宋" w:cs="仿宋"/>
          <w:spacing w:val="6"/>
          <w:sz w:val="29"/>
          <w:szCs w:val="29"/>
        </w:rPr>
        <w:t>12</w:t>
      </w:r>
      <w:r>
        <w:rPr>
          <w:rFonts w:hint="eastAsia" w:ascii="仿宋" w:hAnsi="仿宋" w:eastAsia="仿宋" w:cs="仿宋"/>
          <w:spacing w:val="6"/>
          <w:sz w:val="29"/>
          <w:szCs w:val="29"/>
          <w:lang w:val="en-US" w:eastAsia="zh-CN"/>
        </w:rPr>
        <w:t>71</w:t>
      </w:r>
      <w:bookmarkStart w:id="0" w:name="_GoBack"/>
      <w:bookmarkEnd w:id="0"/>
      <w:r>
        <w:rPr>
          <w:rFonts w:ascii="仿宋" w:hAnsi="仿宋" w:eastAsia="仿宋" w:cs="仿宋"/>
          <w:spacing w:val="6"/>
          <w:sz w:val="29"/>
          <w:szCs w:val="29"/>
        </w:rPr>
        <w:t>.</w:t>
      </w:r>
      <w:r>
        <w:rPr>
          <w:rFonts w:hint="eastAsia" w:ascii="仿宋" w:hAnsi="仿宋" w:eastAsia="仿宋" w:cs="仿宋"/>
          <w:spacing w:val="6"/>
          <w:sz w:val="29"/>
          <w:szCs w:val="29"/>
          <w:lang w:val="en-US" w:eastAsia="zh-CN"/>
        </w:rPr>
        <w:t>2</w:t>
      </w:r>
      <w:r>
        <w:rPr>
          <w:rFonts w:hint="eastAsia" w:ascii="仿宋_GB2312" w:hAnsi="仿宋" w:eastAsia="仿宋_GB2312" w:cstheme="minorBidi"/>
          <w:kern w:val="2"/>
          <w:sz w:val="32"/>
          <w:szCs w:val="32"/>
          <w:lang w:val="en-US" w:eastAsia="zh-CN" w:bidi="ar-SA"/>
        </w:rPr>
        <w:t>万元。</w:t>
      </w:r>
    </w:p>
    <w:p>
      <w:pPr>
        <w:pStyle w:val="4"/>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4"/>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pPr>
        <w:spacing w:before="120" w:beforeLines="50" w:line="396" w:lineRule="auto"/>
        <w:ind w:left="15" w:leftChars="7" w:right="11" w:firstLine="640" w:firstLineChars="200"/>
        <w:rPr>
          <w:rFonts w:ascii="仿宋" w:hAnsi="仿宋" w:eastAsia="仿宋" w:cs="仿宋"/>
          <w:spacing w:val="6"/>
          <w:sz w:val="29"/>
          <w:szCs w:val="29"/>
        </w:rPr>
      </w:pPr>
      <w:r>
        <w:rPr>
          <w:rFonts w:hint="eastAsia" w:ascii="仿宋_GB2312" w:hAnsi="仿宋" w:eastAsia="仿宋_GB2312" w:cstheme="minorBidi"/>
          <w:kern w:val="2"/>
          <w:sz w:val="32"/>
          <w:szCs w:val="32"/>
          <w:lang w:val="en-US" w:eastAsia="zh-CN" w:bidi="ar-SA"/>
        </w:rPr>
        <w:t>基本支出  ：</w:t>
      </w:r>
      <w:r>
        <w:rPr>
          <w:rFonts w:hint="eastAsia" w:ascii="仿宋" w:hAnsi="仿宋" w:eastAsia="仿宋" w:cs="仿宋"/>
          <w:spacing w:val="6"/>
          <w:sz w:val="29"/>
          <w:szCs w:val="29"/>
          <w:lang w:val="en-US" w:eastAsia="zh-CN"/>
        </w:rPr>
        <w:t>300.35</w:t>
      </w:r>
      <w:r>
        <w:rPr>
          <w:rFonts w:hint="eastAsia" w:ascii="仿宋_GB2312" w:hAnsi="仿宋" w:eastAsia="仿宋_GB2312" w:cstheme="minorBidi"/>
          <w:kern w:val="2"/>
          <w:sz w:val="32"/>
          <w:szCs w:val="32"/>
          <w:lang w:val="en-US" w:eastAsia="zh-CN" w:bidi="ar-SA"/>
        </w:rPr>
        <w:t>万元。其中：</w:t>
      </w:r>
      <w:r>
        <w:rPr>
          <w:rFonts w:ascii="仿宋" w:hAnsi="仿宋" w:eastAsia="仿宋" w:cs="仿宋"/>
          <w:spacing w:val="6"/>
          <w:sz w:val="29"/>
          <w:szCs w:val="29"/>
        </w:rPr>
        <w:t>1.</w:t>
      </w:r>
      <w:r>
        <w:rPr>
          <w:rFonts w:ascii="Arial Unicode MS" w:hAnsi="Arial Unicode MS" w:eastAsia="Arial Unicode MS" w:cs="Arial Unicode MS"/>
          <w:spacing w:val="6"/>
          <w:sz w:val="29"/>
          <w:szCs w:val="29"/>
        </w:rPr>
        <w:t> </w:t>
      </w:r>
      <w:r>
        <w:rPr>
          <w:rFonts w:ascii="仿宋" w:hAnsi="仿宋" w:eastAsia="仿宋" w:cs="仿宋"/>
          <w:spacing w:val="6"/>
          <w:sz w:val="29"/>
          <w:szCs w:val="29"/>
        </w:rPr>
        <w:t>工资福利支出。全年工资福利预算支出共计</w:t>
      </w:r>
      <w:r>
        <w:rPr>
          <w:rFonts w:hint="eastAsia" w:ascii="仿宋" w:hAnsi="仿宋" w:eastAsia="仿宋" w:cs="仿宋"/>
          <w:spacing w:val="6"/>
          <w:sz w:val="29"/>
          <w:szCs w:val="29"/>
          <w:lang w:val="en-US" w:eastAsia="zh-CN"/>
        </w:rPr>
        <w:t>260.45</w:t>
      </w:r>
      <w:r>
        <w:rPr>
          <w:rFonts w:ascii="仿宋" w:hAnsi="仿宋" w:eastAsia="仿宋" w:cs="仿宋"/>
          <w:spacing w:val="6"/>
          <w:sz w:val="29"/>
          <w:szCs w:val="29"/>
        </w:rPr>
        <w:t>万元，其中：基本工资</w:t>
      </w:r>
      <w:r>
        <w:rPr>
          <w:rFonts w:hint="eastAsia" w:ascii="仿宋" w:hAnsi="仿宋" w:eastAsia="仿宋" w:cs="仿宋"/>
          <w:spacing w:val="6"/>
          <w:sz w:val="29"/>
          <w:szCs w:val="29"/>
          <w:lang w:val="en-US" w:eastAsia="zh-CN"/>
        </w:rPr>
        <w:t>75.78</w:t>
      </w:r>
      <w:r>
        <w:rPr>
          <w:rFonts w:ascii="仿宋" w:hAnsi="仿宋" w:eastAsia="仿宋" w:cs="仿宋"/>
          <w:spacing w:val="6"/>
          <w:sz w:val="29"/>
          <w:szCs w:val="29"/>
        </w:rPr>
        <w:t>万元，津贴补贴4</w:t>
      </w:r>
      <w:r>
        <w:rPr>
          <w:rFonts w:hint="eastAsia" w:ascii="仿宋" w:hAnsi="仿宋" w:eastAsia="仿宋" w:cs="仿宋"/>
          <w:spacing w:val="6"/>
          <w:sz w:val="29"/>
          <w:szCs w:val="29"/>
          <w:lang w:val="en-US" w:eastAsia="zh-CN"/>
        </w:rPr>
        <w:t>7</w:t>
      </w:r>
      <w:r>
        <w:rPr>
          <w:rFonts w:ascii="仿宋" w:hAnsi="仿宋" w:eastAsia="仿宋" w:cs="仿宋"/>
          <w:spacing w:val="6"/>
          <w:sz w:val="29"/>
          <w:szCs w:val="29"/>
        </w:rPr>
        <w:t>.</w:t>
      </w:r>
      <w:r>
        <w:rPr>
          <w:rFonts w:hint="eastAsia" w:ascii="仿宋" w:hAnsi="仿宋" w:eastAsia="仿宋" w:cs="仿宋"/>
          <w:spacing w:val="6"/>
          <w:sz w:val="29"/>
          <w:szCs w:val="29"/>
          <w:lang w:val="en-US" w:eastAsia="zh-CN"/>
        </w:rPr>
        <w:t>94</w:t>
      </w:r>
      <w:r>
        <w:rPr>
          <w:rFonts w:ascii="仿宋" w:hAnsi="仿宋" w:eastAsia="仿宋" w:cs="仿宋"/>
          <w:spacing w:val="6"/>
          <w:sz w:val="29"/>
          <w:szCs w:val="29"/>
        </w:rPr>
        <w:t>万元，奖金</w:t>
      </w:r>
      <w:r>
        <w:rPr>
          <w:rFonts w:hint="eastAsia" w:ascii="仿宋" w:hAnsi="仿宋" w:eastAsia="仿宋" w:cs="仿宋"/>
          <w:spacing w:val="6"/>
          <w:sz w:val="29"/>
          <w:szCs w:val="29"/>
          <w:lang w:val="en-US" w:eastAsia="zh-CN"/>
        </w:rPr>
        <w:t>47</w:t>
      </w:r>
      <w:r>
        <w:rPr>
          <w:rFonts w:ascii="仿宋" w:hAnsi="仿宋" w:eastAsia="仿宋" w:cs="仿宋"/>
          <w:spacing w:val="6"/>
          <w:sz w:val="29"/>
          <w:szCs w:val="29"/>
        </w:rPr>
        <w:t>.58万元，绩效工资2</w:t>
      </w:r>
      <w:r>
        <w:rPr>
          <w:rFonts w:hint="eastAsia" w:ascii="仿宋" w:hAnsi="仿宋" w:eastAsia="仿宋" w:cs="仿宋"/>
          <w:spacing w:val="6"/>
          <w:sz w:val="29"/>
          <w:szCs w:val="29"/>
          <w:lang w:val="en-US" w:eastAsia="zh-CN"/>
        </w:rPr>
        <w:t>5</w:t>
      </w:r>
      <w:r>
        <w:rPr>
          <w:rFonts w:ascii="仿宋" w:hAnsi="仿宋" w:eastAsia="仿宋" w:cs="仿宋"/>
          <w:spacing w:val="6"/>
          <w:sz w:val="29"/>
          <w:szCs w:val="29"/>
        </w:rPr>
        <w:t>.</w:t>
      </w:r>
      <w:r>
        <w:rPr>
          <w:rFonts w:hint="eastAsia" w:ascii="仿宋" w:hAnsi="仿宋" w:eastAsia="仿宋" w:cs="仿宋"/>
          <w:spacing w:val="6"/>
          <w:sz w:val="29"/>
          <w:szCs w:val="29"/>
          <w:lang w:val="en-US" w:eastAsia="zh-CN"/>
        </w:rPr>
        <w:t>86</w:t>
      </w:r>
      <w:r>
        <w:rPr>
          <w:rFonts w:ascii="仿宋" w:hAnsi="仿宋" w:eastAsia="仿宋" w:cs="仿宋"/>
          <w:spacing w:val="6"/>
          <w:sz w:val="29"/>
          <w:szCs w:val="29"/>
        </w:rPr>
        <w:t>，基本养老保险缴费43.14万元，基本医疗缴费20.</w:t>
      </w:r>
      <w:r>
        <w:rPr>
          <w:rFonts w:hint="eastAsia" w:ascii="仿宋" w:hAnsi="仿宋" w:eastAsia="仿宋" w:cs="仿宋"/>
          <w:spacing w:val="6"/>
          <w:sz w:val="29"/>
          <w:szCs w:val="29"/>
          <w:lang w:val="en-US" w:eastAsia="zh-CN"/>
        </w:rPr>
        <w:t>1</w:t>
      </w:r>
      <w:r>
        <w:rPr>
          <w:rFonts w:ascii="仿宋" w:hAnsi="仿宋" w:eastAsia="仿宋" w:cs="仿宋"/>
          <w:spacing w:val="6"/>
          <w:sz w:val="29"/>
          <w:szCs w:val="29"/>
        </w:rPr>
        <w:t>6万元。2. 商品和服务支出</w:t>
      </w:r>
      <w:r>
        <w:rPr>
          <w:rFonts w:hint="eastAsia" w:ascii="仿宋" w:hAnsi="仿宋" w:eastAsia="仿宋" w:cs="仿宋"/>
          <w:spacing w:val="6"/>
          <w:sz w:val="29"/>
          <w:szCs w:val="29"/>
          <w:lang w:val="en-US" w:eastAsia="zh-CN"/>
        </w:rPr>
        <w:t>39.9</w:t>
      </w:r>
      <w:r>
        <w:rPr>
          <w:rFonts w:ascii="仿宋" w:hAnsi="仿宋" w:eastAsia="仿宋" w:cs="仿宋"/>
          <w:spacing w:val="6"/>
          <w:sz w:val="29"/>
          <w:szCs w:val="29"/>
        </w:rPr>
        <w:t>万元。</w:t>
      </w:r>
    </w:p>
    <w:p>
      <w:pPr>
        <w:pStyle w:val="4"/>
        <w:numPr>
          <w:ilvl w:val="0"/>
          <w:numId w:val="0"/>
        </w:numPr>
        <w:spacing w:line="570" w:lineRule="exact"/>
        <w:ind w:left="0" w:leftChars="0" w:firstLine="640" w:firstLineChars="200"/>
        <w:rPr>
          <w:rFonts w:ascii="Times New Roman" w:hAnsi="Times New Roman" w:eastAsia="仿宋_GB2312"/>
          <w:sz w:val="32"/>
          <w:szCs w:val="32"/>
        </w:rPr>
      </w:pPr>
      <w:r>
        <w:rPr>
          <w:rFonts w:hint="eastAsia" w:ascii="Times New Roman" w:hAnsi="Times New Roman" w:eastAsia="仿宋_GB2312" w:cs="Times New Roman"/>
          <w:kern w:val="0"/>
          <w:sz w:val="32"/>
          <w:szCs w:val="32"/>
          <w:lang w:val="en-US" w:eastAsia="zh-CN" w:bidi="ar-SA"/>
        </w:rPr>
        <w:t>（二）</w:t>
      </w:r>
      <w:r>
        <w:rPr>
          <w:rFonts w:ascii="Times New Roman" w:hAnsi="Times New Roman" w:eastAsia="仿宋_GB2312"/>
          <w:sz w:val="32"/>
          <w:szCs w:val="32"/>
        </w:rPr>
        <w:t>项目支出情况</w:t>
      </w:r>
    </w:p>
    <w:p>
      <w:pPr>
        <w:ind w:firstLine="640" w:firstLineChars="200"/>
        <w:rPr>
          <w:rFonts w:ascii="Times New Roman" w:hAnsi="Times New Roman" w:eastAsia="仿宋_GB2312"/>
          <w:sz w:val="32"/>
          <w:szCs w:val="32"/>
        </w:rPr>
      </w:pPr>
      <w:r>
        <w:rPr>
          <w:rFonts w:hint="eastAsia" w:ascii="仿宋_GB2312" w:hAnsi="仿宋" w:eastAsia="仿宋_GB2312" w:cstheme="minorBidi"/>
          <w:kern w:val="2"/>
          <w:sz w:val="32"/>
          <w:szCs w:val="32"/>
          <w:lang w:val="en-US" w:eastAsia="zh-CN" w:bidi="ar-SA"/>
        </w:rPr>
        <w:t>项目资金支出：970.85万元。（其中：招商引资61万元、其他商贸事务支出125.11万元、死亡抚恤21.16万元、其他国有土地使用权出让收入安排的支出10.86万元、制造业42.37万元、其他商业流通事务支出14.37万元、其他涉外发展服务支出35.04万元、其他支出660.94万元）</w:t>
      </w:r>
    </w:p>
    <w:p>
      <w:pPr>
        <w:pStyle w:val="4"/>
        <w:numPr>
          <w:ilvl w:val="0"/>
          <w:numId w:val="0"/>
        </w:num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cs="Times New Roman"/>
          <w:kern w:val="0"/>
          <w:sz w:val="32"/>
          <w:szCs w:val="32"/>
          <w:lang w:val="en-US" w:eastAsia="zh-CN" w:bidi="ar-SA"/>
        </w:rPr>
        <w:t>三、</w:t>
      </w: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4"/>
        <w:numPr>
          <w:ilvl w:val="0"/>
          <w:numId w:val="0"/>
        </w:numPr>
        <w:spacing w:line="570" w:lineRule="exact"/>
        <w:ind w:firstLine="640" w:firstLineChars="20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我单位政府性基金预算支出</w:t>
      </w:r>
      <w:r>
        <w:rPr>
          <w:rFonts w:hint="eastAsia" w:ascii="Times New Roman" w:hAnsi="Times New Roman" w:eastAsia="仿宋_GB2312"/>
          <w:color w:val="000000"/>
          <w:sz w:val="32"/>
          <w:szCs w:val="32"/>
          <w:lang w:val="en-US" w:eastAsia="zh-CN"/>
        </w:rPr>
        <w:t>53.23万元</w:t>
      </w:r>
      <w:r>
        <w:rPr>
          <w:rFonts w:hint="eastAsia" w:ascii="Times New Roman" w:hAnsi="Times New Roman" w:eastAsia="仿宋_GB2312"/>
          <w:color w:val="000000"/>
          <w:sz w:val="32"/>
          <w:szCs w:val="32"/>
          <w:lang w:eastAsia="zh-CN"/>
        </w:rPr>
        <w:t>。</w:t>
      </w:r>
    </w:p>
    <w:p>
      <w:pPr>
        <w:pStyle w:val="4"/>
        <w:numPr>
          <w:ilvl w:val="0"/>
          <w:numId w:val="0"/>
        </w:num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cs="Times New Roman"/>
          <w:kern w:val="0"/>
          <w:sz w:val="32"/>
          <w:szCs w:val="32"/>
          <w:lang w:val="en-US" w:eastAsia="zh-CN" w:bidi="ar-SA"/>
        </w:rPr>
        <w:t>四、</w:t>
      </w: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4"/>
        <w:numPr>
          <w:ilvl w:val="0"/>
          <w:numId w:val="0"/>
        </w:numPr>
        <w:spacing w:line="57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pPr>
        <w:pStyle w:val="4"/>
        <w:numPr>
          <w:ilvl w:val="0"/>
          <w:numId w:val="0"/>
        </w:numPr>
        <w:spacing w:line="570" w:lineRule="exact"/>
        <w:ind w:firstLine="640" w:firstLineChars="200"/>
        <w:rPr>
          <w:rFonts w:hint="eastAsia" w:ascii="Times New Roman" w:hAnsi="Times New Roman" w:eastAsia="黑体"/>
          <w:sz w:val="32"/>
          <w:szCs w:val="32"/>
        </w:rPr>
      </w:pPr>
      <w:r>
        <w:rPr>
          <w:rFonts w:hint="eastAsia" w:ascii="Times New Roman" w:hAnsi="Times New Roman" w:eastAsia="黑体" w:cs="Times New Roman"/>
          <w:kern w:val="0"/>
          <w:sz w:val="32"/>
          <w:szCs w:val="32"/>
          <w:lang w:val="en-US" w:eastAsia="zh-CN" w:bidi="ar-SA"/>
        </w:rPr>
        <w:t>五、</w:t>
      </w: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4"/>
        <w:numPr>
          <w:ilvl w:val="0"/>
          <w:numId w:val="0"/>
        </w:numPr>
        <w:spacing w:line="57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六、</w:t>
      </w:r>
      <w:r>
        <w:rPr>
          <w:rFonts w:eastAsia="黑体"/>
          <w:sz w:val="32"/>
          <w:szCs w:val="32"/>
        </w:rPr>
        <w:t>部门整体支出绩效情况</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今年以来，</w:t>
      </w:r>
      <w:r>
        <w:rPr>
          <w:rFonts w:hint="eastAsia" w:ascii="仿宋" w:hAnsi="仿宋" w:eastAsia="仿宋" w:cs="仿宋"/>
          <w:sz w:val="32"/>
          <w:szCs w:val="32"/>
        </w:rPr>
        <w:t>在</w:t>
      </w:r>
      <w:r>
        <w:rPr>
          <w:rFonts w:hint="eastAsia" w:ascii="仿宋" w:hAnsi="仿宋" w:eastAsia="仿宋" w:cs="仿宋"/>
          <w:sz w:val="32"/>
          <w:szCs w:val="32"/>
          <w:lang w:val="en-US" w:eastAsia="zh-CN"/>
        </w:rPr>
        <w:t>县委、县政府的坚强领导</w:t>
      </w:r>
      <w:r>
        <w:rPr>
          <w:rFonts w:hint="eastAsia" w:ascii="仿宋" w:hAnsi="仿宋" w:eastAsia="仿宋" w:cs="仿宋"/>
          <w:sz w:val="32"/>
          <w:szCs w:val="32"/>
        </w:rPr>
        <w:t>下，道县商务局深入贯彻落实省、市关于商务和开放型经济工作的决策部署，锚定商务高质量发展核心目标，聚焦消费提振、外贸提质、招商提效、电商助农等重点任务真抓实干、主动作为，全面推进各项工作落地见效，全县商务和开放型经济工作取得阶段性成效。</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firstLine="643" w:firstLineChars="200"/>
        <w:jc w:val="left"/>
        <w:textAlignment w:val="auto"/>
        <w:outlineLvl w:val="9"/>
        <w:rPr>
          <w:rFonts w:hint="eastAsia" w:ascii="仿宋" w:hAnsi="仿宋" w:eastAsia="仿宋" w:cs="仿宋"/>
          <w:sz w:val="32"/>
          <w:szCs w:val="32"/>
        </w:rPr>
      </w:pPr>
      <w:r>
        <w:rPr>
          <w:rFonts w:hint="eastAsia" w:ascii="楷体" w:hAnsi="楷体" w:eastAsia="楷体" w:cs="楷体"/>
          <w:b/>
          <w:bCs/>
          <w:sz w:val="32"/>
          <w:szCs w:val="32"/>
        </w:rPr>
        <w:t>消费市场稳步</w:t>
      </w:r>
      <w:r>
        <w:rPr>
          <w:rFonts w:hint="eastAsia" w:ascii="楷体" w:hAnsi="楷体" w:eastAsia="楷体" w:cs="楷体"/>
          <w:b/>
          <w:bCs/>
          <w:sz w:val="32"/>
          <w:szCs w:val="32"/>
          <w:lang w:val="en-US" w:eastAsia="zh-CN"/>
        </w:rPr>
        <w:t>提振</w:t>
      </w:r>
      <w:r>
        <w:rPr>
          <w:rFonts w:hint="eastAsia" w:ascii="楷体" w:hAnsi="楷体" w:eastAsia="楷体" w:cs="楷体"/>
          <w:b/>
          <w:bCs/>
          <w:sz w:val="32"/>
          <w:szCs w:val="32"/>
        </w:rPr>
        <w:t>。</w:t>
      </w:r>
      <w:r>
        <w:rPr>
          <w:rFonts w:hint="eastAsia" w:ascii="仿宋" w:hAnsi="仿宋" w:eastAsia="仿宋" w:cs="仿宋"/>
          <w:sz w:val="32"/>
          <w:szCs w:val="32"/>
        </w:rPr>
        <w:t>打造道州脐橙、道县灰鹅等网销农特产品矩阵，累计上线单品80余种，开发"道州脐橙"专属销售小程序，线上销售额占比提升至35%</w:t>
      </w:r>
      <w:r>
        <w:rPr>
          <w:rFonts w:hint="eastAsia" w:ascii="仿宋" w:hAnsi="仿宋" w:eastAsia="仿宋" w:cs="仿宋"/>
          <w:sz w:val="32"/>
          <w:szCs w:val="32"/>
          <w:lang w:eastAsia="zh-CN"/>
        </w:rPr>
        <w:t>。</w:t>
      </w:r>
      <w:r>
        <w:rPr>
          <w:rFonts w:hint="eastAsia" w:ascii="仿宋" w:hAnsi="仿宋" w:eastAsia="仿宋" w:cs="仿宋"/>
          <w:sz w:val="32"/>
          <w:szCs w:val="32"/>
        </w:rPr>
        <w:t>深入落实《湖南省提振消费专项行动方案》要求，深化汽车、家电等大宗消费以旧换新，联动134家企业叠加优惠，发放宣传资料超2.5万份。1-1</w:t>
      </w:r>
      <w:r>
        <w:rPr>
          <w:rFonts w:hint="eastAsia" w:ascii="仿宋" w:hAnsi="仿宋" w:eastAsia="仿宋" w:cs="仿宋"/>
          <w:sz w:val="32"/>
          <w:szCs w:val="32"/>
          <w:lang w:val="en-US" w:eastAsia="zh-CN"/>
        </w:rPr>
        <w:t>2</w:t>
      </w:r>
      <w:r>
        <w:rPr>
          <w:rFonts w:hint="eastAsia" w:ascii="仿宋" w:hAnsi="仿宋" w:eastAsia="仿宋" w:cs="仿宋"/>
          <w:sz w:val="32"/>
          <w:szCs w:val="32"/>
        </w:rPr>
        <w:t>月，</w:t>
      </w:r>
      <w:r>
        <w:rPr>
          <w:rFonts w:hint="eastAsia" w:ascii="仿宋" w:hAnsi="仿宋" w:eastAsia="仿宋" w:cs="仿宋"/>
          <w:sz w:val="32"/>
          <w:szCs w:val="32"/>
          <w:lang w:eastAsia="zh-CN"/>
        </w:rPr>
        <w:t>预计</w:t>
      </w:r>
      <w:r>
        <w:rPr>
          <w:rFonts w:hint="eastAsia" w:ascii="仿宋" w:hAnsi="仿宋" w:eastAsia="仿宋" w:cs="仿宋"/>
          <w:sz w:val="32"/>
          <w:szCs w:val="32"/>
        </w:rPr>
        <w:t>全县社会消费品零售总额达9</w:t>
      </w:r>
      <w:r>
        <w:rPr>
          <w:rFonts w:hint="eastAsia" w:ascii="仿宋" w:hAnsi="仿宋" w:eastAsia="仿宋" w:cs="仿宋"/>
          <w:sz w:val="32"/>
          <w:szCs w:val="32"/>
          <w:lang w:val="en-US" w:eastAsia="zh-CN"/>
        </w:rPr>
        <w:t>8</w:t>
      </w:r>
      <w:r>
        <w:rPr>
          <w:rFonts w:hint="eastAsia" w:ascii="仿宋" w:hAnsi="仿宋" w:eastAsia="仿宋" w:cs="仿宋"/>
          <w:sz w:val="32"/>
          <w:szCs w:val="32"/>
        </w:rPr>
        <w:t>.48亿元，同比增长5.1%，顺利完成阶段性增长目标；以旧换新政策带动消费超1.6亿元，有效激活大宗消费潜力。</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left"/>
        <w:textAlignment w:val="auto"/>
        <w:outlineLvl w:val="9"/>
        <w:rPr>
          <w:rFonts w:hint="eastAsia" w:ascii="仿宋" w:hAnsi="仿宋" w:eastAsia="仿宋" w:cs="仿宋"/>
          <w:sz w:val="32"/>
          <w:szCs w:val="32"/>
        </w:rPr>
      </w:pPr>
      <w:r>
        <w:rPr>
          <w:rFonts w:hint="eastAsia" w:ascii="楷体" w:hAnsi="楷体" w:eastAsia="楷体" w:cs="楷体"/>
          <w:b/>
          <w:bCs/>
          <w:sz w:val="32"/>
          <w:szCs w:val="32"/>
        </w:rPr>
        <w:t>2. 招商引资成效显著。</w:t>
      </w:r>
      <w:r>
        <w:rPr>
          <w:rFonts w:hint="eastAsia" w:ascii="仿宋" w:hAnsi="仿宋" w:eastAsia="仿宋" w:cs="仿宋"/>
          <w:sz w:val="32"/>
          <w:szCs w:val="32"/>
        </w:rPr>
        <w:t>1-12月，全县签约项目27个，合同引进资金107.24亿元，其中5000万元以上项目24个，圆满完成市级下达任务；湘商回归新注册企业</w:t>
      </w:r>
      <w:r>
        <w:rPr>
          <w:rFonts w:hint="eastAsia" w:ascii="仿宋" w:hAnsi="仿宋" w:eastAsia="仿宋" w:cs="仿宋"/>
          <w:sz w:val="32"/>
          <w:szCs w:val="32"/>
          <w:lang w:val="en-US" w:eastAsia="zh-CN"/>
        </w:rPr>
        <w:t>14</w:t>
      </w:r>
      <w:r>
        <w:rPr>
          <w:rFonts w:hint="eastAsia" w:ascii="仿宋" w:hAnsi="仿宋" w:eastAsia="仿宋" w:cs="仿宋"/>
          <w:sz w:val="32"/>
          <w:szCs w:val="32"/>
        </w:rPr>
        <w:t>家，到位资金2</w:t>
      </w:r>
      <w:r>
        <w:rPr>
          <w:rFonts w:hint="eastAsia" w:ascii="仿宋" w:hAnsi="仿宋" w:eastAsia="仿宋" w:cs="仿宋"/>
          <w:sz w:val="32"/>
          <w:szCs w:val="32"/>
          <w:lang w:val="en-US" w:eastAsia="zh-CN"/>
        </w:rPr>
        <w:t>4</w:t>
      </w:r>
      <w:r>
        <w:rPr>
          <w:rFonts w:hint="eastAsia" w:ascii="仿宋" w:hAnsi="仿宋" w:eastAsia="仿宋" w:cs="仿宋"/>
          <w:sz w:val="32"/>
          <w:szCs w:val="32"/>
        </w:rPr>
        <w:t>.92亿元，成功引进10亿元以上重大项目1个，24个5000万元以上签约项目全部履约开工，12个项目顺利投产达效，项目落地转化率位居全市前列。</w:t>
      </w:r>
    </w:p>
    <w:p>
      <w:pPr>
        <w:keepNext w:val="0"/>
        <w:keepLines w:val="0"/>
        <w:pageBreakBefore w:val="0"/>
        <w:widowControl w:val="0"/>
        <w:kinsoku/>
        <w:wordWrap/>
        <w:overflowPunct/>
        <w:topLinePunct w:val="0"/>
        <w:autoSpaceDE/>
        <w:autoSpaceDN/>
        <w:bidi w:val="0"/>
        <w:adjustRightInd/>
        <w:snapToGrid/>
        <w:spacing w:line="580" w:lineRule="exact"/>
        <w:ind w:left="0" w:firstLine="643" w:firstLineChars="200"/>
        <w:jc w:val="left"/>
        <w:textAlignment w:val="auto"/>
        <w:outlineLvl w:val="9"/>
        <w:rPr>
          <w:rFonts w:hint="eastAsia" w:ascii="仿宋" w:hAnsi="仿宋" w:eastAsia="仿宋" w:cs="仿宋"/>
          <w:sz w:val="32"/>
          <w:szCs w:val="32"/>
        </w:rPr>
      </w:pPr>
      <w:r>
        <w:rPr>
          <w:rFonts w:hint="eastAsia" w:ascii="楷体" w:hAnsi="楷体" w:eastAsia="楷体" w:cs="楷体"/>
          <w:b/>
          <w:bCs/>
          <w:sz w:val="32"/>
          <w:szCs w:val="32"/>
        </w:rPr>
        <w:t>3. 外资外贸稳步提升。</w:t>
      </w:r>
      <w:r>
        <w:rPr>
          <w:rFonts w:hint="eastAsia" w:ascii="仿宋" w:hAnsi="仿宋" w:eastAsia="仿宋" w:cs="仿宋"/>
          <w:sz w:val="32"/>
          <w:szCs w:val="32"/>
        </w:rPr>
        <w:t>新增外贸企业3家，重点培育跨境电商企业2家；成功引进香港亚荣鞋业及配套企业腾硕鞋业，完善制鞋全产业链，截至12月底，实际使用外资20.3万美元。</w:t>
      </w:r>
    </w:p>
    <w:p>
      <w:pPr>
        <w:pStyle w:val="4"/>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因部门整体支出的资金安排和使用上具有不可预见性，在科学设置预算绩效指标上还需进一步加强。由于行政经费少，年初编制的预算不够精确，编制范围不太全面，预算执行情况还有待进一步加强,相关管理制度还有待进一步完善。</w:t>
      </w: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八、</w:t>
      </w:r>
      <w:r>
        <w:rPr>
          <w:rFonts w:eastAsia="黑体"/>
          <w:sz w:val="32"/>
          <w:szCs w:val="32"/>
        </w:rPr>
        <w:t>下一步改进措施</w:t>
      </w:r>
    </w:p>
    <w:p>
      <w:pPr>
        <w:ind w:firstLine="643" w:firstLineChars="200"/>
        <w:rPr>
          <w:rFonts w:hint="eastAsia" w:ascii="仿宋_GB2312" w:hAnsi="仿宋" w:eastAsia="仿宋_GB2312" w:cstheme="minorBidi"/>
          <w:b/>
          <w:bCs/>
          <w:kern w:val="2"/>
          <w:sz w:val="32"/>
          <w:szCs w:val="32"/>
          <w:lang w:val="en-US" w:eastAsia="zh-CN" w:bidi="ar-SA"/>
        </w:rPr>
      </w:pPr>
      <w:r>
        <w:rPr>
          <w:rFonts w:hint="eastAsia" w:ascii="仿宋_GB2312" w:hAnsi="仿宋" w:eastAsia="仿宋_GB2312" w:cstheme="minorBidi"/>
          <w:b/>
          <w:bCs/>
          <w:kern w:val="2"/>
          <w:sz w:val="32"/>
          <w:szCs w:val="32"/>
          <w:lang w:val="en-US" w:eastAsia="zh-CN" w:bidi="ar-SA"/>
        </w:rPr>
        <w:t>(一)改进措施</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针对存在的问题，提出以下改进措施</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1、加强政策学习，提高思想认识。认真学习《预算法》等相关法规、制度，提高单位领导对全面预算管理及财务工作的重视程度，增强财务人员的预算意识。</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2、规范账务处理，提高财务信息质量。严格按照《会计法》等规定执行财务核算，并结合实际情况，完整、准确地披露相关信息，尽可能地做到决算与预算相衔接。</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3、落实管理制度，进一步加强接待管理。</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按照《道县党政机关公务接待管理实施细则》的加强接待管理工作，对被接待单位人员要及时索取接待函对存在的问题。</w:t>
      </w:r>
    </w:p>
    <w:p>
      <w:pPr>
        <w:ind w:firstLine="643" w:firstLineChars="200"/>
        <w:rPr>
          <w:rFonts w:hint="eastAsia" w:ascii="仿宋_GB2312" w:hAnsi="仿宋" w:eastAsia="仿宋_GB2312" w:cstheme="minorBidi"/>
          <w:b/>
          <w:bCs/>
          <w:kern w:val="2"/>
          <w:sz w:val="32"/>
          <w:szCs w:val="32"/>
          <w:lang w:val="en-US" w:eastAsia="zh-CN" w:bidi="ar-SA"/>
        </w:rPr>
      </w:pPr>
      <w:r>
        <w:rPr>
          <w:rFonts w:hint="eastAsia" w:ascii="仿宋_GB2312" w:hAnsi="仿宋" w:eastAsia="仿宋_GB2312" w:cstheme="minorBidi"/>
          <w:b/>
          <w:bCs/>
          <w:kern w:val="2"/>
          <w:sz w:val="32"/>
          <w:szCs w:val="32"/>
          <w:lang w:val="en-US" w:eastAsia="zh-CN" w:bidi="ar-SA"/>
        </w:rPr>
        <w:t>(二)建议</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1、希望财政部门按进度拨付各项资金，保障各项工作顺利开展。</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2、希望财政部门开展相关的业务工作培训，提高财务人员业务水平。</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3、加强队伍建设，抓好绩效评价管理部门的队伍建设和业务指导，培养部门的绩效管理队伍，建立绩效评价的长期机制。</w:t>
      </w:r>
    </w:p>
    <w:p>
      <w:pPr>
        <w:numPr>
          <w:ilvl w:val="0"/>
          <w:numId w:val="0"/>
        </w:numPr>
        <w:spacing w:line="570" w:lineRule="exact"/>
        <w:rPr>
          <w:rFonts w:eastAsia="黑体"/>
          <w:sz w:val="32"/>
          <w:szCs w:val="32"/>
        </w:rPr>
      </w:pP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九、</w:t>
      </w:r>
      <w:r>
        <w:rPr>
          <w:rFonts w:eastAsia="黑体"/>
          <w:sz w:val="32"/>
          <w:szCs w:val="32"/>
        </w:rPr>
        <w:t>部门整体支出绩效自评结果拟应用和公开情况</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根据财政部门要求及时在门户网站公开预决算及整体支出绩效自评报告。</w:t>
      </w:r>
    </w:p>
    <w:p>
      <w:pPr>
        <w:numPr>
          <w:ilvl w:val="0"/>
          <w:numId w:val="0"/>
        </w:numPr>
        <w:spacing w:line="570" w:lineRule="exact"/>
        <w:rPr>
          <w:rFonts w:eastAsia="黑体"/>
          <w:sz w:val="32"/>
          <w:szCs w:val="32"/>
        </w:rPr>
      </w:pPr>
    </w:p>
    <w:p>
      <w:pPr>
        <w:numPr>
          <w:ilvl w:val="0"/>
          <w:numId w:val="0"/>
        </w:numPr>
        <w:spacing w:line="570" w:lineRule="exact"/>
        <w:ind w:firstLine="640" w:firstLineChars="200"/>
        <w:rPr>
          <w:rFonts w:eastAsia="黑体"/>
          <w:sz w:val="32"/>
          <w:szCs w:val="32"/>
        </w:rPr>
      </w:pPr>
      <w:r>
        <w:rPr>
          <w:rFonts w:hint="eastAsia" w:ascii="Times New Roman" w:hAnsi="Times New Roman" w:eastAsia="黑体" w:cs="Times New Roman"/>
          <w:kern w:val="2"/>
          <w:sz w:val="32"/>
          <w:szCs w:val="32"/>
          <w:lang w:val="en-US" w:eastAsia="zh-CN" w:bidi="ar-SA"/>
        </w:rPr>
        <w:t>十、</w:t>
      </w:r>
      <w:r>
        <w:rPr>
          <w:rFonts w:eastAsia="黑体"/>
          <w:sz w:val="32"/>
          <w:szCs w:val="32"/>
        </w:rPr>
        <w:t>其他需要说明的情况</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无其他需要说明的情况。</w:t>
      </w:r>
    </w:p>
    <w:p>
      <w:pPr>
        <w:numPr>
          <w:ilvl w:val="0"/>
          <w:numId w:val="0"/>
        </w:numPr>
        <w:spacing w:line="570" w:lineRule="exact"/>
        <w:rPr>
          <w:rFonts w:eastAsia="黑体"/>
          <w:sz w:val="32"/>
          <w:szCs w:val="32"/>
        </w:rPr>
      </w:pPr>
    </w:p>
    <w:p>
      <w:pPr>
        <w:spacing w:after="120" w:afterLines="50" w:line="600" w:lineRule="exact"/>
        <w:rPr>
          <w:rFonts w:eastAsia="黑体"/>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8D3732-3C3C-41BE-B341-9C3E099311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D8553B7-B165-4BF4-89C0-A884C5E75D0B}"/>
  </w:font>
  <w:font w:name="方正小标宋简体">
    <w:panose1 w:val="02000000000000000000"/>
    <w:charset w:val="86"/>
    <w:family w:val="script"/>
    <w:pitch w:val="default"/>
    <w:sig w:usb0="00000000" w:usb1="00000000" w:usb2="00000000" w:usb3="00000000" w:csb0="00000000" w:csb1="00000000"/>
    <w:embedRegular r:id="rId3" w:fontKey="{2791143C-E746-460E-B8DB-CD6DB3A92513}"/>
  </w:font>
  <w:font w:name="方正小标宋_GBK">
    <w:altName w:val="微软雅黑"/>
    <w:panose1 w:val="02000000000000000000"/>
    <w:charset w:val="86"/>
    <w:family w:val="script"/>
    <w:pitch w:val="default"/>
    <w:sig w:usb0="00000000" w:usb1="00000000" w:usb2="00000000" w:usb3="00000000" w:csb0="00040000" w:csb1="00000000"/>
    <w:embedRegular r:id="rId4" w:fontKey="{45000F46-F690-4736-9D53-3F5BDBE01DA6}"/>
  </w:font>
  <w:font w:name="楷体_GB2312">
    <w:altName w:val="楷体"/>
    <w:panose1 w:val="02010609030101010101"/>
    <w:charset w:val="86"/>
    <w:family w:val="modern"/>
    <w:pitch w:val="default"/>
    <w:sig w:usb0="00000000" w:usb1="00000000" w:usb2="00000010" w:usb3="00000000" w:csb0="00040000" w:csb1="00000000"/>
    <w:embedRegular r:id="rId5" w:fontKey="{9E1F7518-39FE-42B5-A042-48E432EF1BC3}"/>
  </w:font>
  <w:font w:name="仿宋_GB2312">
    <w:altName w:val="仿宋"/>
    <w:panose1 w:val="02010609030101010101"/>
    <w:charset w:val="86"/>
    <w:family w:val="modern"/>
    <w:pitch w:val="default"/>
    <w:sig w:usb0="00000000" w:usb1="00000000" w:usb2="00000000" w:usb3="00000000" w:csb0="00040000" w:csb1="00000000"/>
    <w:embedRegular r:id="rId6" w:fontKey="{072C0804-BC99-42FF-A7D8-667001E8B77B}"/>
  </w:font>
  <w:font w:name="仿宋">
    <w:panose1 w:val="02010609060101010101"/>
    <w:charset w:val="86"/>
    <w:family w:val="auto"/>
    <w:pitch w:val="default"/>
    <w:sig w:usb0="800002BF" w:usb1="38CF7CFA" w:usb2="00000016" w:usb3="00000000" w:csb0="00040001" w:csb1="00000000"/>
    <w:embedRegular r:id="rId7" w:fontKey="{B5DE845B-33AD-40B6-8596-808E95F6F413}"/>
  </w:font>
  <w:font w:name="Arial Unicode MS">
    <w:altName w:val="Arial"/>
    <w:panose1 w:val="00000000000000000000"/>
    <w:charset w:val="00"/>
    <w:family w:val="auto"/>
    <w:pitch w:val="default"/>
    <w:sig w:usb0="00000000" w:usb1="00000000" w:usb2="00000000" w:usb3="00000000" w:csb0="00000000" w:csb1="00000000"/>
    <w:embedRegular r:id="rId8" w:fontKey="{F9CE1BA8-2770-43CB-BC32-ED9D52AECA64}"/>
  </w:font>
  <w:font w:name="楷体">
    <w:panose1 w:val="02010609060101010101"/>
    <w:charset w:val="86"/>
    <w:family w:val="auto"/>
    <w:pitch w:val="default"/>
    <w:sig w:usb0="800002BF" w:usb1="38CF7CFA" w:usb2="00000016" w:usb3="00000000" w:csb0="00040001" w:csb1="00000000"/>
    <w:embedRegular r:id="rId9" w:fontKey="{674F9AA5-582E-437D-BC23-6E089AE5962D}"/>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FF1BA"/>
    <w:multiLevelType w:val="singleLevel"/>
    <w:tmpl w:val="37DFF1B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A4CDC"/>
    <w:rsid w:val="04F63AF9"/>
    <w:rsid w:val="153C5596"/>
    <w:rsid w:val="1CFB5491"/>
    <w:rsid w:val="1DAF5CEC"/>
    <w:rsid w:val="1E6F74C3"/>
    <w:rsid w:val="24634F21"/>
    <w:rsid w:val="39533FCE"/>
    <w:rsid w:val="477A456A"/>
    <w:rsid w:val="5CCF7938"/>
    <w:rsid w:val="658D4500"/>
    <w:rsid w:val="676A4720"/>
    <w:rsid w:val="67B92737"/>
    <w:rsid w:val="6B6A7E61"/>
    <w:rsid w:val="6ECA1D0E"/>
    <w:rsid w:val="781F1003"/>
    <w:rsid w:val="782A04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99"/>
    <w:pPr>
      <w:ind w:firstLine="420" w:firstLineChars="200"/>
    </w:pPr>
    <w:rPr>
      <w:rFonts w:ascii="Calibri" w:hAnsi="Calibri"/>
      <w:kern w:val="0"/>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1923</Words>
  <Characters>1932</Characters>
  <Lines>0</Lines>
  <Paragraphs>0</Paragraphs>
  <TotalTime>8</TotalTime>
  <ScaleCrop>false</ScaleCrop>
  <LinksUpToDate>false</LinksUpToDate>
  <CharactersWithSpaces>1964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2026-03-13T07:17:00Z</dcterms:created>
  <dc:creator>29448</dc:creator>
  <cp:lastModifiedBy>1</cp:lastModifiedBy>
  <dcterms:modified xsi:type="dcterms:W3CDTF">2026-06-26T08:47:26Z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TemplateDocerSaveRecord">
    <vt:lpwstr>eyJoZGlkIjoiNTJhZmI3NWU3MjI4ZDkyYjE3ZDdlZDJlMTI4ZTFjNzkiLCJ1c2VySWQiOiI3MTA2NDI4OTQifQ==</vt:lpwstr>
  </property>
  <property fmtid="{D5CDD505-2E9C-101B-9397-08002B2CF9AE}" pid="4" name="ICV">
    <vt:lpwstr>93821CB3BAF3462B8067F76E3716B430_12</vt:lpwstr>
  </property>
</Properties>
</file>