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道县祥霖铺镇人民政府</w:t>
      </w: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lang w:eastAsia="zh-CN"/>
        </w:rPr>
        <w:t>道县祥霖铺镇人民政府</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道县祥霖铺镇人民政府</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（一）</w:t>
      </w:r>
      <w:r>
        <w:rPr>
          <w:rFonts w:hint="eastAsia" w:ascii="仿宋" w:hAnsi="仿宋" w:eastAsia="仿宋" w:cs="仿宋"/>
          <w:color w:val="010101"/>
          <w:sz w:val="32"/>
          <w:szCs w:val="32"/>
          <w:lang w:bidi="ar"/>
        </w:rPr>
        <w:t>执行本级人民代表大会的决议和上级国家行政机关的决定和命令，发布决定和命令。</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（二）</w:t>
      </w:r>
      <w:r>
        <w:rPr>
          <w:rFonts w:hint="eastAsia" w:ascii="仿宋" w:hAnsi="仿宋" w:eastAsia="仿宋" w:cs="仿宋"/>
          <w:color w:val="010101"/>
          <w:sz w:val="32"/>
          <w:szCs w:val="32"/>
          <w:lang w:bidi="ar"/>
        </w:rPr>
        <w:t>执行本行政区域内的经济和社会发展计划，加强公共设施的建设和管理，发展各项服务事业。</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（三）</w:t>
      </w:r>
      <w:r>
        <w:rPr>
          <w:rFonts w:hint="eastAsia" w:ascii="仿宋" w:hAnsi="仿宋" w:eastAsia="仿宋" w:cs="仿宋"/>
          <w:color w:val="010101"/>
          <w:sz w:val="32"/>
          <w:szCs w:val="32"/>
          <w:lang w:bidi="ar"/>
        </w:rPr>
        <w:t>依法管理本级财政、执行本级预算。</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（四）</w:t>
      </w:r>
      <w:r>
        <w:rPr>
          <w:rFonts w:hint="eastAsia" w:ascii="仿宋" w:hAnsi="仿宋" w:eastAsia="仿宋" w:cs="仿宋"/>
          <w:color w:val="010101"/>
          <w:sz w:val="32"/>
          <w:szCs w:val="32"/>
          <w:lang w:bidi="ar"/>
        </w:rPr>
        <w:t>为农民提供有效的科技、教育、文化、信息、卫生、体育、医疗、人才开发、劳动就业、安全生产等方面的服务。</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（五）</w:t>
      </w:r>
      <w:r>
        <w:rPr>
          <w:rFonts w:hint="eastAsia" w:ascii="仿宋" w:hAnsi="仿宋" w:eastAsia="仿宋" w:cs="仿宋"/>
          <w:color w:val="010101"/>
          <w:sz w:val="32"/>
          <w:szCs w:val="32"/>
          <w:lang w:bidi="ar"/>
        </w:rPr>
        <w:t>保护国有资产和集体所有的财产，保护公民私人所有的合法财产、保障公民的人身权利、民主权利和其他权利，保护各种组织的合法权益。</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（六）</w:t>
      </w:r>
      <w:r>
        <w:rPr>
          <w:rFonts w:hint="eastAsia" w:ascii="仿宋" w:hAnsi="仿宋" w:eastAsia="仿宋" w:cs="仿宋"/>
          <w:color w:val="010101"/>
          <w:sz w:val="32"/>
          <w:szCs w:val="32"/>
          <w:lang w:bidi="ar"/>
        </w:rPr>
        <w:t>开展社会主义民主与法制教育，加强社会治安综合治理，调解民事纠纷，维护社会秩序。</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（七）</w:t>
      </w:r>
      <w:r>
        <w:rPr>
          <w:rFonts w:hint="eastAsia" w:ascii="仿宋" w:hAnsi="仿宋" w:eastAsia="仿宋" w:cs="仿宋"/>
          <w:color w:val="010101"/>
          <w:sz w:val="32"/>
          <w:szCs w:val="32"/>
          <w:lang w:bidi="ar"/>
        </w:rPr>
        <w:t>推行乡村振兴，推进新农村建设与美丽乡村建设。</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（八）</w:t>
      </w:r>
      <w:r>
        <w:rPr>
          <w:rFonts w:hint="eastAsia" w:ascii="仿宋" w:hAnsi="仿宋" w:eastAsia="仿宋" w:cs="仿宋"/>
          <w:color w:val="010101"/>
          <w:sz w:val="32"/>
          <w:szCs w:val="32"/>
          <w:lang w:bidi="ar"/>
        </w:rPr>
        <w:t>负责民政工作，发展社会福利事业，做好社会保障工作，办理兵役事项。</w:t>
      </w:r>
    </w:p>
    <w:p>
      <w:pPr>
        <w:ind w:firstLine="640" w:firstLineChars="200"/>
        <w:rPr>
          <w:rFonts w:hint="eastAsia" w:ascii="仿宋" w:hAnsi="仿宋" w:eastAsia="仿宋" w:cs="仿宋"/>
          <w:color w:val="010101"/>
          <w:sz w:val="32"/>
          <w:szCs w:val="32"/>
        </w:rPr>
      </w:pPr>
      <w:r>
        <w:rPr>
          <w:rFonts w:hint="eastAsia" w:ascii="Times New Roman" w:hAnsi="Times New Roman" w:eastAsia="仿宋_GB2312" w:cs="仿宋_GB2312"/>
          <w:sz w:val="32"/>
          <w:szCs w:val="32"/>
        </w:rPr>
        <w:t>（九）</w:t>
      </w:r>
      <w:r>
        <w:rPr>
          <w:rFonts w:hint="eastAsia" w:ascii="仿宋" w:hAnsi="仿宋" w:eastAsia="仿宋" w:cs="仿宋"/>
          <w:color w:val="010101"/>
          <w:sz w:val="32"/>
          <w:szCs w:val="32"/>
          <w:lang w:bidi="ar"/>
        </w:rPr>
        <w:t>承办上级人民政府交办的其他事项。</w:t>
      </w:r>
    </w:p>
    <w:p>
      <w:pPr>
        <w:widowControl/>
        <w:spacing w:line="600" w:lineRule="exact"/>
        <w:rPr>
          <w:rFonts w:hint="eastAsia"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pPr>
        <w:widowControl/>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widowControl/>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bCs/>
          <w:kern w:val="0"/>
          <w:sz w:val="32"/>
          <w:szCs w:val="32"/>
        </w:rPr>
        <w:t>道县</w:t>
      </w:r>
      <w:r>
        <w:rPr>
          <w:rFonts w:hint="eastAsia" w:ascii="Times New Roman" w:hAnsi="Times New Roman" w:eastAsia="仿宋_GB2312" w:cs="仿宋_GB2312"/>
          <w:bCs/>
          <w:kern w:val="0"/>
          <w:sz w:val="32"/>
          <w:szCs w:val="32"/>
          <w:lang w:eastAsia="zh-CN"/>
        </w:rPr>
        <w:t>祥霖铺镇</w:t>
      </w:r>
      <w:r>
        <w:rPr>
          <w:rFonts w:hint="eastAsia" w:ascii="Times New Roman" w:hAnsi="Times New Roman" w:eastAsia="仿宋_GB2312" w:cs="仿宋_GB2312"/>
          <w:bCs/>
          <w:kern w:val="0"/>
          <w:sz w:val="32"/>
          <w:szCs w:val="32"/>
        </w:rPr>
        <w:t>人民政府内设机构包括：党政综合办公室、社会治安和应急管理办公室、经济发展办公室、基层党建办公室、自然资源和生态环境办公室、财政所、退役军人服务站、综合行政执法大队、农业综合服务中心、政务（便民）服务中心。</w:t>
      </w:r>
    </w:p>
    <w:p>
      <w:pPr>
        <w:widowControl/>
        <w:numPr>
          <w:ilvl w:val="0"/>
          <w:numId w:val="1"/>
        </w:numPr>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道县</w:t>
      </w:r>
      <w:r>
        <w:rPr>
          <w:rFonts w:hint="eastAsia" w:ascii="Times New Roman" w:hAnsi="Times New Roman" w:eastAsia="仿宋_GB2312" w:cs="仿宋_GB2312"/>
          <w:bCs/>
          <w:kern w:val="0"/>
          <w:sz w:val="32"/>
          <w:szCs w:val="32"/>
          <w:lang w:eastAsia="zh-CN"/>
        </w:rPr>
        <w:t>祥霖铺</w:t>
      </w:r>
      <w:r>
        <w:rPr>
          <w:rFonts w:hint="eastAsia" w:ascii="Times New Roman" w:hAnsi="Times New Roman" w:eastAsia="仿宋_GB2312" w:cs="仿宋_GB2312"/>
          <w:bCs/>
          <w:kern w:val="0"/>
          <w:sz w:val="32"/>
          <w:szCs w:val="32"/>
        </w:rPr>
        <w:t>镇人民政府2025年部门决算汇总公开单位构成包括：道县</w:t>
      </w:r>
      <w:r>
        <w:rPr>
          <w:rFonts w:hint="eastAsia" w:ascii="Times New Roman" w:hAnsi="Times New Roman" w:eastAsia="仿宋_GB2312" w:cs="仿宋_GB2312"/>
          <w:bCs/>
          <w:kern w:val="0"/>
          <w:sz w:val="32"/>
          <w:szCs w:val="32"/>
          <w:lang w:eastAsia="zh-CN"/>
        </w:rPr>
        <w:t>祥霖铺</w:t>
      </w:r>
      <w:r>
        <w:rPr>
          <w:rFonts w:hint="eastAsia" w:ascii="Times New Roman" w:hAnsi="Times New Roman" w:eastAsia="仿宋_GB2312" w:cs="仿宋_GB2312"/>
          <w:bCs/>
          <w:kern w:val="0"/>
          <w:sz w:val="32"/>
          <w:szCs w:val="32"/>
        </w:rPr>
        <w:t>镇人民政府本级。</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道县祥霖铺镇人民政府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5000" w:type="pct"/>
        <w:jc w:val="center"/>
        <w:tblLayout w:type="autofit"/>
        <w:tblCellMar>
          <w:top w:w="0" w:type="dxa"/>
          <w:left w:w="108" w:type="dxa"/>
          <w:bottom w:w="0" w:type="dxa"/>
          <w:right w:w="108" w:type="dxa"/>
        </w:tblCellMar>
      </w:tblPr>
      <w:tblGrid>
        <w:gridCol w:w="4067"/>
        <w:gridCol w:w="656"/>
        <w:gridCol w:w="2539"/>
        <w:gridCol w:w="5297"/>
        <w:gridCol w:w="656"/>
        <w:gridCol w:w="2399"/>
      </w:tblGrid>
      <w:tr>
        <w:tblPrEx>
          <w:tblCellMar>
            <w:top w:w="0" w:type="dxa"/>
            <w:left w:w="108" w:type="dxa"/>
            <w:bottom w:w="0" w:type="dxa"/>
            <w:right w:w="108" w:type="dxa"/>
          </w:tblCellMar>
        </w:tblPrEx>
        <w:trPr>
          <w:trHeight w:val="260" w:hRule="exact"/>
          <w:jc w:val="center"/>
        </w:trPr>
        <w:tc>
          <w:tcPr>
            <w:tcW w:w="232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收入</w:t>
            </w:r>
          </w:p>
        </w:tc>
        <w:tc>
          <w:tcPr>
            <w:tcW w:w="267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支出</w:t>
            </w:r>
          </w:p>
        </w:tc>
      </w:tr>
      <w:tr>
        <w:tblPrEx>
          <w:tblCellMar>
            <w:top w:w="0" w:type="dxa"/>
            <w:left w:w="108" w:type="dxa"/>
            <w:bottom w:w="0" w:type="dxa"/>
            <w:right w:w="108" w:type="dxa"/>
          </w:tblCellMar>
        </w:tblPrEx>
        <w:trPr>
          <w:trHeight w:val="340"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行次</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决算数</w:t>
            </w: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行次</w:t>
            </w: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决算数</w:t>
            </w:r>
          </w:p>
        </w:tc>
      </w:tr>
      <w:tr>
        <w:tblPrEx>
          <w:tblCellMar>
            <w:top w:w="0" w:type="dxa"/>
            <w:left w:w="108" w:type="dxa"/>
            <w:bottom w:w="0" w:type="dxa"/>
            <w:right w:w="108" w:type="dxa"/>
          </w:tblCellMar>
        </w:tblPrEx>
        <w:trPr>
          <w:trHeight w:val="340"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pP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pP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r>
      <w:tr>
        <w:tblPrEx>
          <w:tblCellMar>
            <w:top w:w="0" w:type="dxa"/>
            <w:left w:w="108" w:type="dxa"/>
            <w:bottom w:w="0" w:type="dxa"/>
            <w:right w:w="108" w:type="dxa"/>
          </w:tblCellMar>
        </w:tblPrEx>
        <w:trPr>
          <w:trHeight w:val="340"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w:t>
            </w:r>
          </w:p>
        </w:tc>
        <w:tc>
          <w:tcPr>
            <w:tcW w:w="8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2,994.98 </w:t>
            </w: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31</w:t>
            </w: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1,896.32 </w:t>
            </w:r>
          </w:p>
        </w:tc>
      </w:tr>
      <w:tr>
        <w:tblPrEx>
          <w:tblCellMar>
            <w:top w:w="0" w:type="dxa"/>
            <w:left w:w="108" w:type="dxa"/>
            <w:bottom w:w="0" w:type="dxa"/>
            <w:right w:w="108" w:type="dxa"/>
          </w:tblCellMar>
        </w:tblPrEx>
        <w:trPr>
          <w:trHeight w:val="315"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32</w:t>
            </w: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w:t>
            </w:r>
          </w:p>
        </w:tc>
        <w:tc>
          <w:tcPr>
            <w:tcW w:w="8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35"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34</w:t>
            </w: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275"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35</w:t>
            </w: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275"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6</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36</w:t>
            </w: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275"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7</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37</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245"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8</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197.14 </w:t>
            </w:r>
          </w:p>
        </w:tc>
      </w:tr>
      <w:tr>
        <w:tblPrEx>
          <w:tblCellMar>
            <w:top w:w="0" w:type="dxa"/>
            <w:left w:w="108" w:type="dxa"/>
            <w:bottom w:w="0" w:type="dxa"/>
            <w:right w:w="108" w:type="dxa"/>
          </w:tblCellMar>
        </w:tblPrEx>
        <w:trPr>
          <w:trHeight w:val="260"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0"/>
                <w:szCs w:val="20"/>
              </w:rPr>
            </w:pP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9</w:t>
            </w:r>
          </w:p>
        </w:tc>
        <w:tc>
          <w:tcPr>
            <w:tcW w:w="8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39</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72.59 </w:t>
            </w:r>
          </w:p>
        </w:tc>
      </w:tr>
      <w:tr>
        <w:tblPrEx>
          <w:tblCellMar>
            <w:top w:w="0" w:type="dxa"/>
            <w:left w:w="108" w:type="dxa"/>
            <w:bottom w:w="0" w:type="dxa"/>
            <w:right w:w="108" w:type="dxa"/>
          </w:tblCellMar>
        </w:tblPrEx>
        <w:trPr>
          <w:trHeight w:val="290"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b/>
                <w:color w:val="000000"/>
                <w:sz w:val="22"/>
              </w:rPr>
            </w:pP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12</w:t>
            </w:r>
          </w:p>
        </w:tc>
        <w:tc>
          <w:tcPr>
            <w:tcW w:w="8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十、农林水支出</w:t>
            </w: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738.57 </w:t>
            </w:r>
          </w:p>
        </w:tc>
      </w:tr>
      <w:tr>
        <w:tblPrEx>
          <w:tblCellMar>
            <w:top w:w="0" w:type="dxa"/>
            <w:left w:w="108" w:type="dxa"/>
            <w:bottom w:w="0" w:type="dxa"/>
            <w:right w:w="108" w:type="dxa"/>
          </w:tblCellMar>
        </w:tblPrEx>
        <w:trPr>
          <w:trHeight w:val="260"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19</w:t>
            </w:r>
          </w:p>
        </w:tc>
        <w:tc>
          <w:tcPr>
            <w:tcW w:w="8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十一、住房保障支出</w:t>
            </w: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49</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85.36 </w:t>
            </w:r>
          </w:p>
        </w:tc>
      </w:tr>
      <w:tr>
        <w:tblPrEx>
          <w:tblCellMar>
            <w:top w:w="0" w:type="dxa"/>
            <w:left w:w="108" w:type="dxa"/>
            <w:bottom w:w="0" w:type="dxa"/>
            <w:right w:w="108" w:type="dxa"/>
          </w:tblCellMar>
        </w:tblPrEx>
        <w:trPr>
          <w:trHeight w:val="275"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22</w:t>
            </w:r>
          </w:p>
        </w:tc>
        <w:tc>
          <w:tcPr>
            <w:tcW w:w="8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十二、灾害防治及应急管理支出</w:t>
            </w:r>
          </w:p>
        </w:tc>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5.00 </w:t>
            </w:r>
          </w:p>
        </w:tc>
      </w:tr>
      <w:tr>
        <w:tblPrEx>
          <w:tblCellMar>
            <w:top w:w="0" w:type="dxa"/>
            <w:left w:w="108" w:type="dxa"/>
            <w:bottom w:w="0" w:type="dxa"/>
            <w:right w:w="108" w:type="dxa"/>
          </w:tblCellMar>
        </w:tblPrEx>
        <w:trPr>
          <w:trHeight w:val="245"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b/>
                <w:color w:val="00000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27</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2,994.98 </w:t>
            </w: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b/>
                <w:color w:val="00000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57</w:t>
            </w: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2,994.98 </w:t>
            </w:r>
          </w:p>
        </w:tc>
      </w:tr>
      <w:tr>
        <w:tblPrEx>
          <w:tblCellMar>
            <w:top w:w="0" w:type="dxa"/>
            <w:left w:w="108" w:type="dxa"/>
            <w:bottom w:w="0" w:type="dxa"/>
            <w:right w:w="108" w:type="dxa"/>
          </w:tblCellMar>
        </w:tblPrEx>
        <w:trPr>
          <w:trHeight w:val="275"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28</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58</w:t>
            </w: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hint="eastAsia" w:ascii="宋体" w:hAnsi="宋体" w:eastAsia="宋体" w:cs="宋体"/>
                <w:i w:val="0"/>
                <w:iCs w:val="0"/>
                <w:color w:val="000000"/>
                <w:kern w:val="0"/>
                <w:sz w:val="18"/>
                <w:szCs w:val="18"/>
                <w:u w:val="none"/>
                <w:lang w:val="en-US" w:eastAsia="zh-CN" w:bidi="ar"/>
              </w:rPr>
            </w:pPr>
          </w:p>
        </w:tc>
      </w:tr>
      <w:tr>
        <w:tblPrEx>
          <w:tblCellMar>
            <w:top w:w="0" w:type="dxa"/>
            <w:left w:w="108" w:type="dxa"/>
            <w:bottom w:w="0" w:type="dxa"/>
            <w:right w:w="108" w:type="dxa"/>
          </w:tblCellMar>
        </w:tblPrEx>
        <w:trPr>
          <w:trHeight w:val="340"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29</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right"/>
              <w:rPr>
                <w:rFonts w:ascii="Times New Roman" w:hAnsi="Times New Roman" w:eastAsia="仿宋_GB2312" w:cs="Times New Roman"/>
                <w:color w:val="000000"/>
                <w:sz w:val="22"/>
              </w:rPr>
            </w:pP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59</w:t>
            </w: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255" w:hRule="exact"/>
          <w:jc w:val="center"/>
        </w:trPr>
        <w:tc>
          <w:tcPr>
            <w:tcW w:w="13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b/>
                <w:color w:val="000000"/>
                <w:sz w:val="22"/>
              </w:rPr>
            </w:pPr>
            <w:r>
              <w:rPr>
                <w:rFonts w:hint="eastAsia" w:ascii="宋体" w:hAnsi="宋体" w:eastAsia="宋体" w:cs="宋体"/>
                <w:b/>
                <w:bCs/>
                <w:i w:val="0"/>
                <w:iCs w:val="0"/>
                <w:color w:val="000000"/>
                <w:kern w:val="0"/>
                <w:sz w:val="22"/>
                <w:szCs w:val="22"/>
                <w:u w:val="none"/>
                <w:lang w:val="en-US" w:eastAsia="zh-CN" w:bidi="ar"/>
              </w:rPr>
              <w:t>总计</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30</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2,994.98 </w:t>
            </w:r>
          </w:p>
        </w:tc>
        <w:tc>
          <w:tcPr>
            <w:tcW w:w="169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总计</w:t>
            </w:r>
          </w:p>
        </w:tc>
        <w:tc>
          <w:tcPr>
            <w:tcW w:w="21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60</w:t>
            </w:r>
          </w:p>
        </w:tc>
        <w:tc>
          <w:tcPr>
            <w:tcW w:w="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2,994.98 </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注：1.本表反映部门本年度的总收支和年末结转结余情况。</w:t>
      </w:r>
      <w:r>
        <w:rPr>
          <w:rFonts w:ascii="Times New Roman" w:hAnsi="Times New Roman" w:eastAsia="仿宋_GB2312" w:cs="Times New Roman"/>
          <w:color w:val="000000"/>
          <w:kern w:val="0"/>
          <w:sz w:val="21"/>
          <w:szCs w:val="21"/>
          <w:lang w:bidi="ar"/>
        </w:rPr>
        <w:br w:type="textWrapping"/>
      </w:r>
      <w:r>
        <w:rPr>
          <w:rFonts w:ascii="Times New Roman" w:hAnsi="Times New Roman" w:eastAsia="仿宋_GB2312" w:cs="Times New Roman"/>
          <w:color w:val="000000"/>
          <w:kern w:val="0"/>
          <w:sz w:val="21"/>
          <w:szCs w:val="21"/>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color w:val="000000"/>
          <w:kern w:val="0"/>
          <w:sz w:val="20"/>
          <w:szCs w:val="20"/>
          <w:lang w:eastAsia="zh-CN" w:bidi="ar"/>
        </w:rPr>
        <w:t>道县祥霖铺镇人民政府</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4999" w:type="pct"/>
        <w:jc w:val="center"/>
        <w:tblLayout w:type="autofit"/>
        <w:tblCellMar>
          <w:top w:w="0" w:type="dxa"/>
          <w:left w:w="0" w:type="dxa"/>
          <w:bottom w:w="0" w:type="dxa"/>
          <w:right w:w="0" w:type="dxa"/>
        </w:tblCellMar>
      </w:tblPr>
      <w:tblGrid>
        <w:gridCol w:w="800"/>
        <w:gridCol w:w="4210"/>
        <w:gridCol w:w="1413"/>
        <w:gridCol w:w="1500"/>
        <w:gridCol w:w="1500"/>
        <w:gridCol w:w="1501"/>
        <w:gridCol w:w="1501"/>
        <w:gridCol w:w="1770"/>
        <w:gridCol w:w="1230"/>
      </w:tblGrid>
      <w:tr>
        <w:tblPrEx>
          <w:tblCellMar>
            <w:top w:w="0" w:type="dxa"/>
            <w:left w:w="0" w:type="dxa"/>
            <w:bottom w:w="0" w:type="dxa"/>
            <w:right w:w="0" w:type="dxa"/>
          </w:tblCellMar>
        </w:tblPrEx>
        <w:trPr>
          <w:trHeight w:val="450" w:hRule="atLeast"/>
          <w:jc w:val="center"/>
        </w:trPr>
        <w:tc>
          <w:tcPr>
            <w:tcW w:w="1338" w:type="pct"/>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522" w:type="pct"/>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本年收入合计</w:t>
            </w:r>
          </w:p>
        </w:tc>
        <w:tc>
          <w:tcPr>
            <w:tcW w:w="523"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财政拨款收入</w:t>
            </w:r>
          </w:p>
        </w:tc>
        <w:tc>
          <w:tcPr>
            <w:tcW w:w="523" w:type="pct"/>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上级补助收入</w:t>
            </w:r>
          </w:p>
        </w:tc>
        <w:tc>
          <w:tcPr>
            <w:tcW w:w="523" w:type="pct"/>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事业收入</w:t>
            </w:r>
          </w:p>
        </w:tc>
        <w:tc>
          <w:tcPr>
            <w:tcW w:w="523" w:type="pct"/>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经营收入</w:t>
            </w:r>
          </w:p>
        </w:tc>
        <w:tc>
          <w:tcPr>
            <w:tcW w:w="610" w:type="pct"/>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附属单位上缴收入</w:t>
            </w:r>
          </w:p>
        </w:tc>
        <w:tc>
          <w:tcPr>
            <w:tcW w:w="435" w:type="pct"/>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其他收入</w:t>
            </w:r>
          </w:p>
        </w:tc>
      </w:tr>
      <w:tr>
        <w:tblPrEx>
          <w:tblCellMar>
            <w:top w:w="0" w:type="dxa"/>
            <w:left w:w="0" w:type="dxa"/>
            <w:bottom w:w="0" w:type="dxa"/>
            <w:right w:w="0" w:type="dxa"/>
          </w:tblCellMar>
        </w:tblPrEx>
        <w:trPr>
          <w:trHeight w:val="334" w:hRule="exact"/>
          <w:jc w:val="center"/>
        </w:trPr>
        <w:tc>
          <w:tcPr>
            <w:tcW w:w="269" w:type="pct"/>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科目代码</w:t>
            </w:r>
          </w:p>
        </w:tc>
        <w:tc>
          <w:tcPr>
            <w:tcW w:w="1069" w:type="pct"/>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i w:val="0"/>
                <w:iCs w:val="0"/>
                <w:color w:val="000000"/>
                <w:kern w:val="0"/>
                <w:sz w:val="22"/>
                <w:szCs w:val="22"/>
                <w:u w:val="none"/>
                <w:lang w:val="en-US" w:eastAsia="zh-CN" w:bidi="ar"/>
              </w:rPr>
              <w:t>科目名称</w:t>
            </w:r>
          </w:p>
        </w:tc>
        <w:tc>
          <w:tcPr>
            <w:tcW w:w="522"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610"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c>
          <w:tcPr>
            <w:tcW w:w="435" w:type="pct"/>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269" w:type="pct"/>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069" w:type="pct"/>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522" w:type="pct"/>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523" w:type="pct"/>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610" w:type="pct"/>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435" w:type="pct"/>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338" w:type="pct"/>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522"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w:t>
            </w:r>
          </w:p>
        </w:tc>
        <w:tc>
          <w:tcPr>
            <w:tcW w:w="523"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523"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w:t>
            </w:r>
          </w:p>
        </w:tc>
        <w:tc>
          <w:tcPr>
            <w:tcW w:w="523"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w:t>
            </w:r>
          </w:p>
        </w:tc>
        <w:tc>
          <w:tcPr>
            <w:tcW w:w="523"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w:t>
            </w:r>
          </w:p>
        </w:tc>
        <w:tc>
          <w:tcPr>
            <w:tcW w:w="610"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w:t>
            </w:r>
          </w:p>
        </w:tc>
        <w:tc>
          <w:tcPr>
            <w:tcW w:w="435"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w:t>
            </w:r>
          </w:p>
        </w:tc>
      </w:tr>
      <w:tr>
        <w:tblPrEx>
          <w:tblCellMar>
            <w:top w:w="0" w:type="dxa"/>
            <w:left w:w="0" w:type="dxa"/>
            <w:bottom w:w="0" w:type="dxa"/>
            <w:right w:w="0" w:type="dxa"/>
          </w:tblCellMar>
        </w:tblPrEx>
        <w:trPr>
          <w:trHeight w:val="90" w:hRule="atLeast"/>
          <w:jc w:val="center"/>
        </w:trPr>
        <w:tc>
          <w:tcPr>
            <w:tcW w:w="1338" w:type="pct"/>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522"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2,994.98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2,994.98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069"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522"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1,896.32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1,896.32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20101</w:t>
            </w:r>
          </w:p>
        </w:tc>
        <w:tc>
          <w:tcPr>
            <w:tcW w:w="1069"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人大事务</w:t>
            </w:r>
          </w:p>
        </w:tc>
        <w:tc>
          <w:tcPr>
            <w:tcW w:w="522"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50.07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50.07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2010101</w:t>
            </w:r>
          </w:p>
        </w:tc>
        <w:tc>
          <w:tcPr>
            <w:tcW w:w="1069"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522"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44.16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44.16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2010108</w:t>
            </w:r>
          </w:p>
        </w:tc>
        <w:tc>
          <w:tcPr>
            <w:tcW w:w="1069"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代表工作</w:t>
            </w:r>
          </w:p>
        </w:tc>
        <w:tc>
          <w:tcPr>
            <w:tcW w:w="522"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5.91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5.91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1069" w:type="pct"/>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522"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1,809.41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1,809.41 </w:t>
            </w: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1,237.77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1,237.77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2010399</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571.64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571.64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20111</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纪检监察事务</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36.84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36.84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2011101</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30.54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30.54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2011199</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6.30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6.30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197.14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197.14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173.94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173.94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128.31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128.31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2080508</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对机关事业单位职业年金的补助</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45.63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45.63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23.20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23.20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23.20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23.20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72.59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72.59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64.62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64.62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64.62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64.62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21014</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优抚对象医疗</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2.32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2.32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2101401</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优抚对象医疗补助</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2.32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2.32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21015</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医疗保障管理事务</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5.65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5.65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2101599</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5.65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5.65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738.57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738.57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2130199</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其他农业农村支出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21302</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林业和草原</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5.37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5.37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2130209</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森林生态效益补偿</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5.37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5.37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713.20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713.20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124.00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124.00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589.20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589.20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22402</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消防救援事务</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2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2240299</w:t>
            </w:r>
          </w:p>
        </w:tc>
        <w:tc>
          <w:tcPr>
            <w:tcW w:w="1069" w:type="pc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52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523"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610"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435"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bl>
    <w:p>
      <w:pPr>
        <w:spacing w:before="120"/>
        <w:rPr>
          <w:rFonts w:ascii="Times New Roman" w:hAnsi="Times New Roman" w:eastAsia="仿宋_GB2312" w:cs="Times New Roman"/>
        </w:rPr>
      </w:pPr>
    </w:p>
    <w:p>
      <w:pPr>
        <w:spacing w:before="120"/>
        <w:rPr>
          <w:rFonts w:ascii="Times New Roman" w:hAnsi="Times New Roman" w:eastAsia="仿宋_GB2312" w:cs="Times New Roman"/>
        </w:rPr>
      </w:pPr>
    </w:p>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道县祥霖铺镇人民政府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1"/>
        <w:gridCol w:w="4396"/>
        <w:gridCol w:w="1655"/>
        <w:gridCol w:w="1655"/>
        <w:gridCol w:w="1542"/>
        <w:gridCol w:w="1473"/>
        <w:gridCol w:w="1189"/>
        <w:gridCol w:w="2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49" w:type="pct"/>
            <w:gridSpan w:val="2"/>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531" w:type="pct"/>
            <w:vMerge w:val="restart"/>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本年支出合计</w:t>
            </w:r>
          </w:p>
        </w:tc>
        <w:tc>
          <w:tcPr>
            <w:tcW w:w="531" w:type="pct"/>
            <w:vMerge w:val="restart"/>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基本支出</w:t>
            </w:r>
          </w:p>
        </w:tc>
        <w:tc>
          <w:tcPr>
            <w:tcW w:w="495" w:type="pct"/>
            <w:vMerge w:val="restart"/>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项目支出</w:t>
            </w:r>
          </w:p>
        </w:tc>
        <w:tc>
          <w:tcPr>
            <w:tcW w:w="473" w:type="pct"/>
            <w:vMerge w:val="restart"/>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上缴上级支出</w:t>
            </w:r>
          </w:p>
        </w:tc>
        <w:tc>
          <w:tcPr>
            <w:tcW w:w="382" w:type="pct"/>
            <w:vMerge w:val="restart"/>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经营支出</w:t>
            </w:r>
          </w:p>
        </w:tc>
        <w:tc>
          <w:tcPr>
            <w:tcW w:w="837" w:type="pct"/>
            <w:vMerge w:val="restart"/>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对附属单位补助支出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51" w:type="pct"/>
            <w:vMerge w:val="restart"/>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科目代码</w:t>
            </w:r>
          </w:p>
        </w:tc>
        <w:tc>
          <w:tcPr>
            <w:tcW w:w="1397" w:type="pct"/>
            <w:vMerge w:val="restart"/>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i w:val="0"/>
                <w:iCs w:val="0"/>
                <w:color w:val="000000"/>
                <w:kern w:val="0"/>
                <w:sz w:val="22"/>
                <w:szCs w:val="22"/>
                <w:u w:val="none"/>
                <w:lang w:val="en-US" w:eastAsia="zh-CN" w:bidi="ar"/>
              </w:rPr>
              <w:t>科目名称</w:t>
            </w:r>
          </w:p>
        </w:tc>
        <w:tc>
          <w:tcPr>
            <w:tcW w:w="531" w:type="pct"/>
            <w:vMerge w:val="continue"/>
            <w:vAlign w:val="center"/>
          </w:tcPr>
          <w:p>
            <w:pPr>
              <w:jc w:val="center"/>
              <w:rPr>
                <w:rFonts w:ascii="Times New Roman" w:hAnsi="Times New Roman" w:eastAsia="仿宋_GB2312" w:cs="Times New Roman"/>
                <w:b/>
                <w:bCs/>
                <w:kern w:val="0"/>
                <w:sz w:val="24"/>
                <w:szCs w:val="24"/>
              </w:rPr>
            </w:pPr>
          </w:p>
        </w:tc>
        <w:tc>
          <w:tcPr>
            <w:tcW w:w="531" w:type="pct"/>
            <w:vMerge w:val="continue"/>
            <w:vAlign w:val="center"/>
          </w:tcPr>
          <w:p>
            <w:pPr>
              <w:jc w:val="center"/>
              <w:rPr>
                <w:rFonts w:ascii="Times New Roman" w:hAnsi="Times New Roman" w:eastAsia="仿宋_GB2312" w:cs="Times New Roman"/>
                <w:b/>
                <w:bCs/>
                <w:kern w:val="0"/>
                <w:sz w:val="24"/>
                <w:szCs w:val="24"/>
              </w:rPr>
            </w:pPr>
          </w:p>
        </w:tc>
        <w:tc>
          <w:tcPr>
            <w:tcW w:w="495" w:type="pct"/>
            <w:vMerge w:val="continue"/>
            <w:vAlign w:val="center"/>
          </w:tcPr>
          <w:p>
            <w:pPr>
              <w:jc w:val="center"/>
              <w:rPr>
                <w:rFonts w:ascii="Times New Roman" w:hAnsi="Times New Roman" w:eastAsia="仿宋_GB2312" w:cs="Times New Roman"/>
                <w:b/>
                <w:bCs/>
                <w:kern w:val="0"/>
                <w:sz w:val="24"/>
                <w:szCs w:val="24"/>
              </w:rPr>
            </w:pPr>
          </w:p>
        </w:tc>
        <w:tc>
          <w:tcPr>
            <w:tcW w:w="473" w:type="pct"/>
            <w:vMerge w:val="continue"/>
            <w:vAlign w:val="center"/>
          </w:tcPr>
          <w:p>
            <w:pPr>
              <w:jc w:val="center"/>
              <w:rPr>
                <w:rFonts w:ascii="Times New Roman" w:hAnsi="Times New Roman" w:eastAsia="仿宋_GB2312" w:cs="Times New Roman"/>
                <w:b/>
                <w:bCs/>
                <w:kern w:val="0"/>
                <w:sz w:val="24"/>
                <w:szCs w:val="24"/>
              </w:rPr>
            </w:pPr>
          </w:p>
        </w:tc>
        <w:tc>
          <w:tcPr>
            <w:tcW w:w="382" w:type="pct"/>
            <w:vMerge w:val="continue"/>
            <w:vAlign w:val="center"/>
          </w:tcPr>
          <w:p>
            <w:pPr>
              <w:jc w:val="center"/>
              <w:rPr>
                <w:rFonts w:ascii="Times New Roman" w:hAnsi="Times New Roman" w:eastAsia="仿宋_GB2312" w:cs="Times New Roman"/>
                <w:b/>
                <w:bCs/>
                <w:kern w:val="0"/>
                <w:sz w:val="24"/>
                <w:szCs w:val="24"/>
              </w:rPr>
            </w:pPr>
          </w:p>
        </w:tc>
        <w:tc>
          <w:tcPr>
            <w:tcW w:w="837" w:type="pct"/>
            <w:vMerge w:val="continue"/>
            <w:vAlign w:val="center"/>
          </w:tcPr>
          <w:p>
            <w:pPr>
              <w:jc w:val="center"/>
              <w:rPr>
                <w:rFonts w:ascii="Times New Roman" w:hAnsi="Times New Roman" w:eastAsia="仿宋_GB2312" w:cs="Times New Roman"/>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vMerge w:val="continue"/>
            <w:vAlign w:val="center"/>
          </w:tcPr>
          <w:p>
            <w:pPr>
              <w:widowControl/>
              <w:jc w:val="left"/>
              <w:rPr>
                <w:rFonts w:ascii="Times New Roman" w:hAnsi="Times New Roman" w:eastAsia="仿宋_GB2312" w:cs="Times New Roman"/>
                <w:kern w:val="0"/>
                <w:sz w:val="24"/>
                <w:szCs w:val="24"/>
              </w:rPr>
            </w:pPr>
          </w:p>
        </w:tc>
        <w:tc>
          <w:tcPr>
            <w:tcW w:w="1397" w:type="pct"/>
            <w:vMerge w:val="continue"/>
            <w:vAlign w:val="center"/>
          </w:tcPr>
          <w:p>
            <w:pPr>
              <w:widowControl/>
              <w:jc w:val="left"/>
              <w:rPr>
                <w:rFonts w:ascii="Times New Roman" w:hAnsi="Times New Roman" w:eastAsia="仿宋_GB2312" w:cs="Times New Roman"/>
                <w:kern w:val="0"/>
                <w:sz w:val="24"/>
                <w:szCs w:val="24"/>
              </w:rPr>
            </w:pPr>
          </w:p>
        </w:tc>
        <w:tc>
          <w:tcPr>
            <w:tcW w:w="531" w:type="pct"/>
            <w:vMerge w:val="continue"/>
            <w:vAlign w:val="center"/>
          </w:tcPr>
          <w:p>
            <w:pPr>
              <w:widowControl/>
              <w:jc w:val="left"/>
              <w:rPr>
                <w:rFonts w:ascii="Times New Roman" w:hAnsi="Times New Roman" w:eastAsia="仿宋_GB2312" w:cs="Times New Roman"/>
                <w:kern w:val="0"/>
                <w:sz w:val="24"/>
                <w:szCs w:val="24"/>
              </w:rPr>
            </w:pPr>
          </w:p>
        </w:tc>
        <w:tc>
          <w:tcPr>
            <w:tcW w:w="531" w:type="pct"/>
            <w:vMerge w:val="continue"/>
            <w:vAlign w:val="center"/>
          </w:tcPr>
          <w:p>
            <w:pPr>
              <w:widowControl/>
              <w:jc w:val="left"/>
              <w:rPr>
                <w:rFonts w:ascii="Times New Roman" w:hAnsi="Times New Roman" w:eastAsia="仿宋_GB2312" w:cs="Times New Roman"/>
                <w:kern w:val="0"/>
                <w:sz w:val="24"/>
                <w:szCs w:val="24"/>
              </w:rPr>
            </w:pPr>
          </w:p>
        </w:tc>
        <w:tc>
          <w:tcPr>
            <w:tcW w:w="495" w:type="pct"/>
            <w:vMerge w:val="continue"/>
            <w:vAlign w:val="center"/>
          </w:tcPr>
          <w:p>
            <w:pPr>
              <w:widowControl/>
              <w:jc w:val="left"/>
              <w:rPr>
                <w:rFonts w:ascii="Times New Roman" w:hAnsi="Times New Roman" w:eastAsia="仿宋_GB2312" w:cs="Times New Roman"/>
                <w:kern w:val="0"/>
                <w:sz w:val="24"/>
                <w:szCs w:val="24"/>
              </w:rPr>
            </w:pPr>
          </w:p>
        </w:tc>
        <w:tc>
          <w:tcPr>
            <w:tcW w:w="473" w:type="pct"/>
            <w:vMerge w:val="continue"/>
            <w:vAlign w:val="center"/>
          </w:tcPr>
          <w:p>
            <w:pPr>
              <w:widowControl/>
              <w:jc w:val="left"/>
              <w:rPr>
                <w:rFonts w:ascii="Times New Roman" w:hAnsi="Times New Roman" w:eastAsia="仿宋_GB2312" w:cs="Times New Roman"/>
                <w:kern w:val="0"/>
                <w:sz w:val="24"/>
                <w:szCs w:val="24"/>
              </w:rPr>
            </w:pPr>
          </w:p>
        </w:tc>
        <w:tc>
          <w:tcPr>
            <w:tcW w:w="382" w:type="pct"/>
            <w:vMerge w:val="continue"/>
            <w:vAlign w:val="center"/>
          </w:tcPr>
          <w:p>
            <w:pPr>
              <w:widowControl/>
              <w:jc w:val="left"/>
              <w:rPr>
                <w:rFonts w:ascii="Times New Roman" w:hAnsi="Times New Roman" w:eastAsia="仿宋_GB2312" w:cs="Times New Roman"/>
                <w:kern w:val="0"/>
                <w:sz w:val="24"/>
                <w:szCs w:val="24"/>
              </w:rPr>
            </w:pPr>
          </w:p>
        </w:tc>
        <w:tc>
          <w:tcPr>
            <w:tcW w:w="837" w:type="pct"/>
            <w:vMerge w:val="continue"/>
            <w:vAlign w:val="center"/>
          </w:tcPr>
          <w:p>
            <w:pPr>
              <w:widowControl/>
              <w:jc w:val="lef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49" w:type="pct"/>
            <w:gridSpan w:val="2"/>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531" w:type="pct"/>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531" w:type="pct"/>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495" w:type="pct"/>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473" w:type="pct"/>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382" w:type="pct"/>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837" w:type="pct"/>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49" w:type="pct"/>
            <w:gridSpan w:val="2"/>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2,994.98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2,870.98 </w:t>
            </w:r>
          </w:p>
        </w:tc>
        <w:tc>
          <w:tcPr>
            <w:tcW w:w="495"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124.00 </w:t>
            </w: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1,896.32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1,896.32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20101</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人大事务</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50.07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50.07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2010101</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44.16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44.16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2010108</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代表工作</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5.91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5.91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1,809.41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1,809.41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1,237.77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1,237.77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571.64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571.64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20111</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纪检监察事务</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36.84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36.84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2011101</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30.54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30.54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2011199</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6.30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6.30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197.14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197.14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173.94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173.94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128.31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128.31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2080508</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对机关事业单位职业年金的补助</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45.63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45.63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23.20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23.20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23.20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23.20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72.59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72.59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64.62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64.62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64.62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64.62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21014</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优抚对象医疗</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2.32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2.32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2101401</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优抚对象医疗补助</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2.32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2.32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21015</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医疗保障管理事务</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5.65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5.65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2101599</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5.65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5.65 </w:t>
            </w:r>
          </w:p>
        </w:tc>
        <w:tc>
          <w:tcPr>
            <w:tcW w:w="495" w:type="pct"/>
            <w:shd w:val="clear" w:color="auto" w:fill="auto"/>
            <w:noWrap/>
            <w:vAlign w:val="center"/>
          </w:tcPr>
          <w:p>
            <w:pPr>
              <w:jc w:val="right"/>
              <w:rPr>
                <w:rFonts w:ascii="Times New Roman" w:hAnsi="Times New Roman" w:eastAsia="仿宋_GB2312" w:cs="Times New Roman"/>
                <w:kern w:val="0"/>
                <w:sz w:val="24"/>
                <w:szCs w:val="24"/>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w:t>
            </w:r>
          </w:p>
        </w:tc>
        <w:tc>
          <w:tcPr>
            <w:tcW w:w="1397" w:type="pct"/>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农林水支出</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738.57 </w:t>
            </w:r>
          </w:p>
        </w:tc>
        <w:tc>
          <w:tcPr>
            <w:tcW w:w="531"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614.57 </w:t>
            </w:r>
          </w:p>
        </w:tc>
        <w:tc>
          <w:tcPr>
            <w:tcW w:w="495" w:type="pct"/>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124.00 </w:t>
            </w: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495"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2130199</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其他农业农村支出</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495"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21302</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林业和草原</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5.37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5.37 </w:t>
            </w:r>
          </w:p>
        </w:tc>
        <w:tc>
          <w:tcPr>
            <w:tcW w:w="495"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2130209</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森林生态效益补偿</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5.37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5.37 </w:t>
            </w:r>
          </w:p>
        </w:tc>
        <w:tc>
          <w:tcPr>
            <w:tcW w:w="495"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农村综合改革</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713.20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589.20 </w:t>
            </w:r>
          </w:p>
        </w:tc>
        <w:tc>
          <w:tcPr>
            <w:tcW w:w="495"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124.00 </w:t>
            </w: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2130701</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124.00 </w:t>
            </w:r>
          </w:p>
        </w:tc>
        <w:tc>
          <w:tcPr>
            <w:tcW w:w="531"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95"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124.00 </w:t>
            </w: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589.20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589.20 </w:t>
            </w:r>
          </w:p>
        </w:tc>
        <w:tc>
          <w:tcPr>
            <w:tcW w:w="495"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495"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495"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85.36 </w:t>
            </w:r>
          </w:p>
        </w:tc>
        <w:tc>
          <w:tcPr>
            <w:tcW w:w="495"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495"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22402</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消防救援事务</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495"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51"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2240299</w:t>
            </w:r>
          </w:p>
        </w:tc>
        <w:tc>
          <w:tcPr>
            <w:tcW w:w="1397" w:type="pct"/>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531" w:type="pct"/>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495" w:type="pct"/>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73" w:type="pct"/>
            <w:shd w:val="clear" w:color="auto" w:fill="auto"/>
            <w:noWrap/>
            <w:vAlign w:val="center"/>
          </w:tcPr>
          <w:p>
            <w:pPr>
              <w:jc w:val="right"/>
              <w:rPr>
                <w:rFonts w:ascii="Times New Roman" w:hAnsi="Times New Roman" w:eastAsia="仿宋_GB2312" w:cs="Times New Roman"/>
                <w:kern w:val="0"/>
                <w:sz w:val="24"/>
                <w:szCs w:val="24"/>
              </w:rPr>
            </w:pPr>
          </w:p>
        </w:tc>
        <w:tc>
          <w:tcPr>
            <w:tcW w:w="382" w:type="pct"/>
            <w:shd w:val="clear" w:color="auto" w:fill="auto"/>
            <w:noWrap/>
            <w:vAlign w:val="center"/>
          </w:tcPr>
          <w:p>
            <w:pPr>
              <w:jc w:val="right"/>
              <w:rPr>
                <w:rFonts w:ascii="Times New Roman" w:hAnsi="Times New Roman" w:eastAsia="仿宋_GB2312" w:cs="Times New Roman"/>
                <w:kern w:val="0"/>
                <w:sz w:val="24"/>
                <w:szCs w:val="24"/>
              </w:rPr>
            </w:pPr>
          </w:p>
        </w:tc>
        <w:tc>
          <w:tcPr>
            <w:tcW w:w="837" w:type="pct"/>
            <w:shd w:val="clear" w:color="auto" w:fill="auto"/>
            <w:noWrap/>
            <w:vAlign w:val="center"/>
          </w:tcPr>
          <w:p>
            <w:pPr>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道县祥霖铺镇人民政府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5000" w:type="pct"/>
        <w:jc w:val="center"/>
        <w:tblLayout w:type="autofit"/>
        <w:tblCellMar>
          <w:top w:w="0" w:type="dxa"/>
          <w:left w:w="108" w:type="dxa"/>
          <w:bottom w:w="0" w:type="dxa"/>
          <w:right w:w="108" w:type="dxa"/>
        </w:tblCellMar>
      </w:tblPr>
      <w:tblGrid>
        <w:gridCol w:w="3406"/>
        <w:gridCol w:w="656"/>
        <w:gridCol w:w="1096"/>
        <w:gridCol w:w="3296"/>
        <w:gridCol w:w="656"/>
        <w:gridCol w:w="1096"/>
        <w:gridCol w:w="2416"/>
        <w:gridCol w:w="701"/>
        <w:gridCol w:w="2291"/>
      </w:tblGrid>
      <w:tr>
        <w:tblPrEx>
          <w:tblCellMar>
            <w:top w:w="0" w:type="dxa"/>
            <w:left w:w="108" w:type="dxa"/>
            <w:bottom w:w="0" w:type="dxa"/>
            <w:right w:w="108" w:type="dxa"/>
          </w:tblCellMar>
        </w:tblPrEx>
        <w:trPr>
          <w:trHeight w:val="402" w:hRule="atLeast"/>
          <w:jc w:val="center"/>
        </w:trPr>
        <w:tc>
          <w:tcPr>
            <w:tcW w:w="1711"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收入</w:t>
            </w:r>
          </w:p>
        </w:tc>
        <w:tc>
          <w:tcPr>
            <w:tcW w:w="3288" w:type="pct"/>
            <w:gridSpan w:val="6"/>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支出</w:t>
            </w:r>
          </w:p>
        </w:tc>
      </w:tr>
      <w:tr>
        <w:tblPrEx>
          <w:tblCellMar>
            <w:top w:w="0" w:type="dxa"/>
            <w:left w:w="108" w:type="dxa"/>
            <w:bottom w:w="0" w:type="dxa"/>
            <w:right w:w="108" w:type="dxa"/>
          </w:tblCellMar>
        </w:tblPrEx>
        <w:trPr>
          <w:trHeight w:val="630"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行次</w:t>
            </w:r>
          </w:p>
        </w:tc>
        <w:tc>
          <w:tcPr>
            <w:tcW w:w="50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金额</w:t>
            </w: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2"/>
                <w:szCs w:val="22"/>
                <w:u w:val="none"/>
                <w:lang w:val="en-US" w:eastAsia="zh-CN" w:bidi="ar"/>
              </w:rPr>
              <w:t>项目</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行次</w:t>
            </w:r>
          </w:p>
        </w:tc>
        <w:tc>
          <w:tcPr>
            <w:tcW w:w="33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合计</w:t>
            </w:r>
          </w:p>
        </w:tc>
        <w:tc>
          <w:tcPr>
            <w:tcW w:w="45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一般公共预算财政拨款</w:t>
            </w:r>
          </w:p>
        </w:tc>
        <w:tc>
          <w:tcPr>
            <w:tcW w:w="451"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918"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73" w:type="pct"/>
            <w:tcBorders>
              <w:top w:val="nil"/>
              <w:left w:val="single" w:color="auto" w:sz="4" w:space="0"/>
              <w:bottom w:val="single" w:color="auto" w:sz="4" w:space="0"/>
              <w:right w:val="single" w:color="auto" w:sz="4" w:space="0"/>
            </w:tcBorders>
            <w:shd w:val="clear" w:color="auto" w:fill="auto"/>
            <w:noWrap/>
            <w:vAlign w:val="center"/>
          </w:tcPr>
          <w:p>
            <w:pPr>
              <w:jc w:val="center"/>
            </w:pPr>
          </w:p>
        </w:tc>
        <w:tc>
          <w:tcPr>
            <w:tcW w:w="50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33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w:t>
            </w:r>
          </w:p>
        </w:tc>
        <w:tc>
          <w:tcPr>
            <w:tcW w:w="45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w:t>
            </w:r>
          </w:p>
        </w:tc>
        <w:tc>
          <w:tcPr>
            <w:tcW w:w="45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91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w:t>
            </w:r>
          </w:p>
        </w:tc>
        <w:tc>
          <w:tcPr>
            <w:tcW w:w="50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2,994.98 </w:t>
            </w: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33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1,896.32 </w:t>
            </w:r>
          </w:p>
        </w:tc>
        <w:tc>
          <w:tcPr>
            <w:tcW w:w="45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1,896.32 </w:t>
            </w: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w:t>
            </w:r>
          </w:p>
        </w:tc>
        <w:tc>
          <w:tcPr>
            <w:tcW w:w="50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330"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3</w:t>
            </w:r>
          </w:p>
        </w:tc>
        <w:tc>
          <w:tcPr>
            <w:tcW w:w="50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330"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2"/>
              </w:rPr>
            </w:pP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4</w:t>
            </w:r>
          </w:p>
        </w:tc>
        <w:tc>
          <w:tcPr>
            <w:tcW w:w="50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330"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2"/>
              </w:rPr>
            </w:pP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5</w:t>
            </w:r>
          </w:p>
        </w:tc>
        <w:tc>
          <w:tcPr>
            <w:tcW w:w="50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330"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2"/>
              </w:rPr>
            </w:pP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6</w:t>
            </w:r>
          </w:p>
        </w:tc>
        <w:tc>
          <w:tcPr>
            <w:tcW w:w="50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330"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2"/>
              </w:rPr>
            </w:pP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7</w:t>
            </w:r>
          </w:p>
        </w:tc>
        <w:tc>
          <w:tcPr>
            <w:tcW w:w="50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39</w:t>
            </w:r>
          </w:p>
        </w:tc>
        <w:tc>
          <w:tcPr>
            <w:tcW w:w="330"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pP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2"/>
              </w:rPr>
            </w:pP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8</w:t>
            </w:r>
          </w:p>
        </w:tc>
        <w:tc>
          <w:tcPr>
            <w:tcW w:w="50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33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197.14 </w:t>
            </w:r>
          </w:p>
        </w:tc>
        <w:tc>
          <w:tcPr>
            <w:tcW w:w="45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197.14 </w:t>
            </w: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b/>
                <w:bCs/>
                <w:kern w:val="0"/>
                <w:sz w:val="22"/>
              </w:rPr>
            </w:pP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9</w:t>
            </w:r>
          </w:p>
        </w:tc>
        <w:tc>
          <w:tcPr>
            <w:tcW w:w="50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33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72.59 </w:t>
            </w:r>
          </w:p>
        </w:tc>
        <w:tc>
          <w:tcPr>
            <w:tcW w:w="45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72.59 </w:t>
            </w: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2"/>
              </w:rPr>
            </w:pP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12</w:t>
            </w:r>
          </w:p>
        </w:tc>
        <w:tc>
          <w:tcPr>
            <w:tcW w:w="50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十、农林水支出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44</w:t>
            </w:r>
          </w:p>
        </w:tc>
        <w:tc>
          <w:tcPr>
            <w:tcW w:w="33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738.57 </w:t>
            </w:r>
          </w:p>
        </w:tc>
        <w:tc>
          <w:tcPr>
            <w:tcW w:w="45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738.57 </w:t>
            </w: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2"/>
              </w:rPr>
            </w:pP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19</w:t>
            </w:r>
          </w:p>
        </w:tc>
        <w:tc>
          <w:tcPr>
            <w:tcW w:w="50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十一、住房保障支出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51</w:t>
            </w:r>
          </w:p>
        </w:tc>
        <w:tc>
          <w:tcPr>
            <w:tcW w:w="33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85.36 </w:t>
            </w:r>
          </w:p>
        </w:tc>
        <w:tc>
          <w:tcPr>
            <w:tcW w:w="45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85.36 </w:t>
            </w: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2"/>
              </w:rPr>
            </w:pP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22</w:t>
            </w:r>
          </w:p>
        </w:tc>
        <w:tc>
          <w:tcPr>
            <w:tcW w:w="50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十二、灾害防治及应急管理支出</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54</w:t>
            </w:r>
          </w:p>
        </w:tc>
        <w:tc>
          <w:tcPr>
            <w:tcW w:w="33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5.00 </w:t>
            </w:r>
          </w:p>
        </w:tc>
        <w:tc>
          <w:tcPr>
            <w:tcW w:w="45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5.00 </w:t>
            </w: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73"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27</w:t>
            </w:r>
          </w:p>
        </w:tc>
        <w:tc>
          <w:tcPr>
            <w:tcW w:w="50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2,994.98 </w:t>
            </w:r>
          </w:p>
        </w:tc>
        <w:tc>
          <w:tcPr>
            <w:tcW w:w="97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5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59</w:t>
            </w:r>
          </w:p>
        </w:tc>
        <w:tc>
          <w:tcPr>
            <w:tcW w:w="33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2,994.98 </w:t>
            </w:r>
          </w:p>
        </w:tc>
        <w:tc>
          <w:tcPr>
            <w:tcW w:w="45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2,994.98 </w:t>
            </w:r>
          </w:p>
        </w:tc>
        <w:tc>
          <w:tcPr>
            <w:tcW w:w="451"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918"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17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28</w:t>
            </w:r>
          </w:p>
        </w:tc>
        <w:tc>
          <w:tcPr>
            <w:tcW w:w="50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Times New Roman" w:hAnsi="Times New Roman" w:eastAsia="仿宋_GB2312" w:cs="Times New Roman"/>
                <w:kern w:val="0"/>
                <w:sz w:val="22"/>
              </w:rPr>
            </w:pPr>
          </w:p>
        </w:tc>
        <w:tc>
          <w:tcPr>
            <w:tcW w:w="9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15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60</w:t>
            </w:r>
          </w:p>
        </w:tc>
        <w:tc>
          <w:tcPr>
            <w:tcW w:w="33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0.00 </w:t>
            </w:r>
          </w:p>
        </w:tc>
        <w:tc>
          <w:tcPr>
            <w:tcW w:w="45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0.00 </w:t>
            </w:r>
          </w:p>
        </w:tc>
        <w:tc>
          <w:tcPr>
            <w:tcW w:w="45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Times New Roman" w:hAnsi="Times New Roman" w:eastAsia="仿宋_GB2312" w:cs="Times New Roman"/>
                <w:kern w:val="0"/>
                <w:sz w:val="22"/>
              </w:rPr>
            </w:pPr>
          </w:p>
        </w:tc>
        <w:tc>
          <w:tcPr>
            <w:tcW w:w="918"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90" w:hRule="atLeast"/>
          <w:jc w:val="center"/>
        </w:trPr>
        <w:tc>
          <w:tcPr>
            <w:tcW w:w="10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17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50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Times New Roman" w:hAnsi="Times New Roman" w:eastAsia="仿宋_GB2312" w:cs="Times New Roman"/>
                <w:kern w:val="0"/>
                <w:sz w:val="22"/>
              </w:rPr>
            </w:pPr>
          </w:p>
        </w:tc>
        <w:tc>
          <w:tcPr>
            <w:tcW w:w="9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i w:val="0"/>
                <w:iCs w:val="0"/>
                <w:color w:val="000000"/>
                <w:kern w:val="0"/>
                <w:sz w:val="22"/>
                <w:szCs w:val="22"/>
                <w:u w:val="none"/>
                <w:lang w:val="en-US" w:eastAsia="zh-CN" w:bidi="ar"/>
              </w:rPr>
            </w:pPr>
          </w:p>
        </w:tc>
        <w:tc>
          <w:tcPr>
            <w:tcW w:w="15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61</w:t>
            </w:r>
          </w:p>
        </w:tc>
        <w:tc>
          <w:tcPr>
            <w:tcW w:w="33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pPr>
          </w:p>
        </w:tc>
        <w:tc>
          <w:tcPr>
            <w:tcW w:w="45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5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918"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17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50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Times New Roman" w:hAnsi="Times New Roman" w:eastAsia="仿宋_GB2312" w:cs="Times New Roman"/>
                <w:kern w:val="0"/>
                <w:sz w:val="22"/>
              </w:rPr>
            </w:pPr>
          </w:p>
        </w:tc>
        <w:tc>
          <w:tcPr>
            <w:tcW w:w="9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i w:val="0"/>
                <w:iCs w:val="0"/>
                <w:color w:val="000000"/>
                <w:kern w:val="0"/>
                <w:sz w:val="22"/>
                <w:szCs w:val="22"/>
                <w:u w:val="none"/>
                <w:lang w:val="en-US" w:eastAsia="zh-CN" w:bidi="ar"/>
              </w:rPr>
            </w:pPr>
          </w:p>
        </w:tc>
        <w:tc>
          <w:tcPr>
            <w:tcW w:w="15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62</w:t>
            </w:r>
          </w:p>
        </w:tc>
        <w:tc>
          <w:tcPr>
            <w:tcW w:w="33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pPr>
          </w:p>
        </w:tc>
        <w:tc>
          <w:tcPr>
            <w:tcW w:w="45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5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918"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17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50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Times New Roman" w:hAnsi="Times New Roman" w:eastAsia="仿宋_GB2312" w:cs="Times New Roman"/>
                <w:kern w:val="0"/>
                <w:sz w:val="22"/>
              </w:rPr>
            </w:pPr>
          </w:p>
        </w:tc>
        <w:tc>
          <w:tcPr>
            <w:tcW w:w="9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宋体" w:hAnsi="宋体" w:eastAsia="宋体" w:cs="宋体"/>
                <w:i w:val="0"/>
                <w:iCs w:val="0"/>
                <w:color w:val="000000"/>
                <w:kern w:val="0"/>
                <w:sz w:val="22"/>
                <w:szCs w:val="22"/>
                <w:u w:val="none"/>
                <w:lang w:val="en-US" w:eastAsia="zh-CN" w:bidi="ar"/>
              </w:rPr>
            </w:pPr>
          </w:p>
        </w:tc>
        <w:tc>
          <w:tcPr>
            <w:tcW w:w="15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33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pPr>
          </w:p>
        </w:tc>
        <w:tc>
          <w:tcPr>
            <w:tcW w:w="45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45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918"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10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总计</w:t>
            </w:r>
          </w:p>
        </w:tc>
        <w:tc>
          <w:tcPr>
            <w:tcW w:w="17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50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2,994.98 </w:t>
            </w:r>
          </w:p>
        </w:tc>
        <w:tc>
          <w:tcPr>
            <w:tcW w:w="97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总计</w:t>
            </w:r>
          </w:p>
        </w:tc>
        <w:tc>
          <w:tcPr>
            <w:tcW w:w="15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w:t>
            </w:r>
          </w:p>
        </w:tc>
        <w:tc>
          <w:tcPr>
            <w:tcW w:w="33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 xml:space="preserve">2,994.98 </w:t>
            </w:r>
          </w:p>
        </w:tc>
        <w:tc>
          <w:tcPr>
            <w:tcW w:w="45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2,994.98 </w:t>
            </w:r>
          </w:p>
        </w:tc>
        <w:tc>
          <w:tcPr>
            <w:tcW w:w="45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918"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b/>
                <w:bCs/>
                <w:kern w:val="0"/>
                <w:sz w:val="22"/>
              </w:rPr>
            </w:pP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eastAsia="zh-CN" w:bidi="ar"/>
        </w:rPr>
        <w:t>道县祥霖铺镇人民政府</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4166"/>
        <w:gridCol w:w="3463"/>
        <w:gridCol w:w="3466"/>
        <w:gridCol w:w="3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69" w:type="pct"/>
            <w:gridSpan w:val="2"/>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项目</w:t>
            </w:r>
          </w:p>
        </w:tc>
        <w:tc>
          <w:tcPr>
            <w:tcW w:w="3330" w:type="pct"/>
            <w:gridSpan w:val="3"/>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本年支出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35" w:type="pct"/>
            <w:vMerge w:val="restart"/>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科目代码</w:t>
            </w:r>
          </w:p>
        </w:tc>
        <w:tc>
          <w:tcPr>
            <w:tcW w:w="1333" w:type="pct"/>
            <w:vMerge w:val="restart"/>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科目名称</w:t>
            </w:r>
          </w:p>
        </w:tc>
        <w:tc>
          <w:tcPr>
            <w:tcW w:w="1109" w:type="pct"/>
            <w:vMerge w:val="restart"/>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小计</w:t>
            </w:r>
          </w:p>
        </w:tc>
        <w:tc>
          <w:tcPr>
            <w:tcW w:w="1110" w:type="pct"/>
            <w:vMerge w:val="restart"/>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基本支出</w:t>
            </w:r>
          </w:p>
        </w:tc>
        <w:tc>
          <w:tcPr>
            <w:tcW w:w="1110" w:type="pct"/>
            <w:vMerge w:val="restart"/>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kern w:val="0"/>
                <w:szCs w:val="21"/>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335" w:type="pct"/>
            <w:vMerge w:val="continue"/>
            <w:vAlign w:val="center"/>
          </w:tcPr>
          <w:p>
            <w:pPr>
              <w:widowControl/>
              <w:jc w:val="left"/>
              <w:rPr>
                <w:rFonts w:ascii="Times New Roman" w:hAnsi="Times New Roman" w:eastAsia="仿宋_GB2312" w:cs="Times New Roman"/>
                <w:kern w:val="0"/>
                <w:szCs w:val="21"/>
              </w:rPr>
            </w:pPr>
          </w:p>
        </w:tc>
        <w:tc>
          <w:tcPr>
            <w:tcW w:w="1333" w:type="pct"/>
            <w:vMerge w:val="continue"/>
            <w:vAlign w:val="center"/>
          </w:tcPr>
          <w:p>
            <w:pPr>
              <w:widowControl/>
              <w:jc w:val="left"/>
              <w:rPr>
                <w:rFonts w:ascii="Times New Roman" w:hAnsi="Times New Roman" w:eastAsia="仿宋_GB2312" w:cs="Times New Roman"/>
                <w:kern w:val="0"/>
                <w:szCs w:val="21"/>
              </w:rPr>
            </w:pPr>
          </w:p>
        </w:tc>
        <w:tc>
          <w:tcPr>
            <w:tcW w:w="1109" w:type="pct"/>
            <w:vMerge w:val="continue"/>
            <w:vAlign w:val="center"/>
          </w:tcPr>
          <w:p>
            <w:pPr>
              <w:widowControl/>
              <w:jc w:val="left"/>
              <w:rPr>
                <w:rFonts w:ascii="Times New Roman" w:hAnsi="Times New Roman" w:eastAsia="仿宋_GB2312" w:cs="Times New Roman"/>
                <w:kern w:val="0"/>
                <w:szCs w:val="21"/>
              </w:rPr>
            </w:pPr>
          </w:p>
        </w:tc>
        <w:tc>
          <w:tcPr>
            <w:tcW w:w="1110" w:type="pct"/>
            <w:vMerge w:val="continue"/>
            <w:vAlign w:val="center"/>
          </w:tcPr>
          <w:p>
            <w:pPr>
              <w:widowControl/>
              <w:jc w:val="left"/>
              <w:rPr>
                <w:rFonts w:ascii="Times New Roman" w:hAnsi="Times New Roman" w:eastAsia="仿宋_GB2312" w:cs="Times New Roman"/>
                <w:kern w:val="0"/>
                <w:szCs w:val="21"/>
              </w:rPr>
            </w:pPr>
          </w:p>
        </w:tc>
        <w:tc>
          <w:tcPr>
            <w:tcW w:w="1110" w:type="pct"/>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5" w:type="pct"/>
            <w:vMerge w:val="continue"/>
            <w:vAlign w:val="center"/>
          </w:tcPr>
          <w:p>
            <w:pPr>
              <w:widowControl/>
              <w:jc w:val="left"/>
              <w:rPr>
                <w:rFonts w:ascii="Times New Roman" w:hAnsi="Times New Roman" w:eastAsia="仿宋_GB2312" w:cs="Times New Roman"/>
                <w:kern w:val="0"/>
                <w:szCs w:val="21"/>
              </w:rPr>
            </w:pPr>
          </w:p>
        </w:tc>
        <w:tc>
          <w:tcPr>
            <w:tcW w:w="1333" w:type="pct"/>
            <w:vMerge w:val="continue"/>
            <w:vAlign w:val="center"/>
          </w:tcPr>
          <w:p>
            <w:pPr>
              <w:widowControl/>
              <w:jc w:val="left"/>
              <w:rPr>
                <w:rFonts w:ascii="Times New Roman" w:hAnsi="Times New Roman" w:eastAsia="仿宋_GB2312" w:cs="Times New Roman"/>
                <w:kern w:val="0"/>
                <w:szCs w:val="21"/>
              </w:rPr>
            </w:pPr>
          </w:p>
        </w:tc>
        <w:tc>
          <w:tcPr>
            <w:tcW w:w="1109" w:type="pct"/>
            <w:vMerge w:val="continue"/>
            <w:vAlign w:val="center"/>
          </w:tcPr>
          <w:p>
            <w:pPr>
              <w:widowControl/>
              <w:jc w:val="left"/>
              <w:rPr>
                <w:rFonts w:ascii="Times New Roman" w:hAnsi="Times New Roman" w:eastAsia="仿宋_GB2312" w:cs="Times New Roman"/>
                <w:kern w:val="0"/>
                <w:szCs w:val="21"/>
              </w:rPr>
            </w:pPr>
          </w:p>
        </w:tc>
        <w:tc>
          <w:tcPr>
            <w:tcW w:w="1110" w:type="pct"/>
            <w:vMerge w:val="continue"/>
            <w:vAlign w:val="center"/>
          </w:tcPr>
          <w:p>
            <w:pPr>
              <w:widowControl/>
              <w:jc w:val="left"/>
              <w:rPr>
                <w:rFonts w:ascii="Times New Roman" w:hAnsi="Times New Roman" w:eastAsia="仿宋_GB2312" w:cs="Times New Roman"/>
                <w:kern w:val="0"/>
                <w:szCs w:val="21"/>
              </w:rPr>
            </w:pPr>
          </w:p>
        </w:tc>
        <w:tc>
          <w:tcPr>
            <w:tcW w:w="1110" w:type="pct"/>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69" w:type="pct"/>
            <w:gridSpan w:val="2"/>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1109" w:type="pct"/>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1110" w:type="pct"/>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1110" w:type="pct"/>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69" w:type="pct"/>
            <w:gridSpan w:val="2"/>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2,994.98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2,870.98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124.00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1,896.32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1,896.32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人大事务</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50.07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50.07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2010101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44.16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44.16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2010108</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代表工作</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5.91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5.91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1,809.41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1,809.41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1,237.77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1,237.77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2010399</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571.64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571.64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纪检监察事务</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36.84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36.84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2011101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30.54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30.54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2011199</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其他纪检监察事务支出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6.30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6.30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197.14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197.14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173.94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173.94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128.31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128.31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2080508</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对机关事业单位职业年金的补助</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45.63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45.63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23.20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23.20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23.20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23.20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72.59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72.59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64.62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64.62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64.62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64.62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21014</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优抚对象医疗</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2.32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2.32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2101401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优抚对象医疗补助</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2.32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2.32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21015</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医疗保障管理事务</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5.65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5.65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2101599</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其他医疗保障管理事务支出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5.65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5.65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农林水支出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738.57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614.57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124.00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农业农村</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20.00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20.00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2130199</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其他农业农村支出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20.00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20.00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21302</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林业和草原</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5.37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5.37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2130209</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森林生态效益补偿</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5.37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5.37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21307</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农村综合改革</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713.20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589.20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124.00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2130701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124.00 </w:t>
            </w:r>
          </w:p>
        </w:tc>
        <w:tc>
          <w:tcPr>
            <w:tcW w:w="1110" w:type="pct"/>
            <w:shd w:val="clear" w:color="auto" w:fill="auto"/>
            <w:vAlign w:val="center"/>
          </w:tcPr>
          <w:p>
            <w:pPr>
              <w:jc w:val="right"/>
              <w:rPr>
                <w:rFonts w:ascii="Times New Roman" w:hAnsi="Times New Roman" w:eastAsia="仿宋_GB2312" w:cs="Times New Roman"/>
                <w:kern w:val="0"/>
                <w:szCs w:val="21"/>
              </w:rPr>
            </w:pP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124.00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2130705</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589.20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589.20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85.36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85.36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85.36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85.36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1333" w:type="pct"/>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1109"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85.36 </w:t>
            </w:r>
          </w:p>
        </w:tc>
        <w:tc>
          <w:tcPr>
            <w:tcW w:w="1110" w:type="pct"/>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85.36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1333" w:type="pct"/>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1109" w:type="pct"/>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110" w:type="pct"/>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22402</w:t>
            </w:r>
          </w:p>
        </w:tc>
        <w:tc>
          <w:tcPr>
            <w:tcW w:w="1333" w:type="pct"/>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消防救援事务</w:t>
            </w:r>
          </w:p>
        </w:tc>
        <w:tc>
          <w:tcPr>
            <w:tcW w:w="1109" w:type="pct"/>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110" w:type="pct"/>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110" w:type="pct"/>
            <w:shd w:val="clear" w:color="auto" w:fill="auto"/>
            <w:vAlign w:val="center"/>
          </w:tcPr>
          <w:p>
            <w:pPr>
              <w:jc w:val="righ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 w:type="pct"/>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2240299</w:t>
            </w:r>
          </w:p>
        </w:tc>
        <w:tc>
          <w:tcPr>
            <w:tcW w:w="1333" w:type="pct"/>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1109" w:type="pct"/>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110" w:type="pct"/>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110" w:type="pct"/>
            <w:shd w:val="clear" w:color="auto" w:fill="auto"/>
            <w:vAlign w:val="center"/>
          </w:tcPr>
          <w:p>
            <w:pPr>
              <w:jc w:val="righ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eastAsia="zh-CN" w:bidi="ar"/>
        </w:rPr>
        <w:t>道县祥霖铺镇人民政府</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5000" w:type="pct"/>
        <w:jc w:val="center"/>
        <w:tblLayout w:type="autofit"/>
        <w:tblCellMar>
          <w:top w:w="0" w:type="dxa"/>
          <w:left w:w="108" w:type="dxa"/>
          <w:bottom w:w="0" w:type="dxa"/>
          <w:right w:w="108" w:type="dxa"/>
        </w:tblCellMar>
      </w:tblPr>
      <w:tblGrid>
        <w:gridCol w:w="766"/>
        <w:gridCol w:w="3516"/>
        <w:gridCol w:w="1096"/>
        <w:gridCol w:w="766"/>
        <w:gridCol w:w="2416"/>
        <w:gridCol w:w="927"/>
        <w:gridCol w:w="766"/>
        <w:gridCol w:w="4397"/>
        <w:gridCol w:w="964"/>
      </w:tblGrid>
      <w:tr>
        <w:tblPrEx>
          <w:tblCellMar>
            <w:top w:w="0" w:type="dxa"/>
            <w:left w:w="108" w:type="dxa"/>
            <w:bottom w:w="0" w:type="dxa"/>
            <w:right w:w="108" w:type="dxa"/>
          </w:tblCellMar>
        </w:tblPrEx>
        <w:trPr>
          <w:trHeight w:val="530" w:hRule="atLeast"/>
          <w:jc w:val="center"/>
        </w:trPr>
        <w:tc>
          <w:tcPr>
            <w:tcW w:w="24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科目代码</w:t>
            </w:r>
          </w:p>
        </w:tc>
        <w:tc>
          <w:tcPr>
            <w:tcW w:w="99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科目名称</w:t>
            </w:r>
          </w:p>
        </w:tc>
        <w:tc>
          <w:tcPr>
            <w:tcW w:w="470"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决算数</w:t>
            </w:r>
          </w:p>
        </w:tc>
        <w:tc>
          <w:tcPr>
            <w:tcW w:w="24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科目代码</w:t>
            </w:r>
          </w:p>
        </w:tc>
        <w:tc>
          <w:tcPr>
            <w:tcW w:w="686"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科目名称</w:t>
            </w:r>
          </w:p>
        </w:tc>
        <w:tc>
          <w:tcPr>
            <w:tcW w:w="439"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决算数</w:t>
            </w:r>
          </w:p>
        </w:tc>
        <w:tc>
          <w:tcPr>
            <w:tcW w:w="24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科目代码</w:t>
            </w:r>
          </w:p>
        </w:tc>
        <w:tc>
          <w:tcPr>
            <w:tcW w:w="1241"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科目名称</w:t>
            </w:r>
          </w:p>
        </w:tc>
        <w:tc>
          <w:tcPr>
            <w:tcW w:w="439"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kern w:val="0"/>
                <w:szCs w:val="20"/>
              </w:rPr>
            </w:pPr>
            <w:r>
              <w:rPr>
                <w:rFonts w:hint="eastAsia" w:ascii="宋体" w:hAnsi="宋体" w:eastAsia="宋体" w:cs="宋体"/>
                <w:i w:val="0"/>
                <w:iCs w:val="0"/>
                <w:color w:val="000000"/>
                <w:kern w:val="0"/>
                <w:sz w:val="22"/>
                <w:szCs w:val="22"/>
                <w:u w:val="none"/>
                <w:lang w:val="en-US" w:eastAsia="zh-CN" w:bidi="ar"/>
              </w:rPr>
              <w:t>决算数</w:t>
            </w: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1,642.04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631.43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738.17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217.56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74.38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18.26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270.22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7.54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4.00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222.17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23.50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128.31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1.80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45.63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64.62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47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10.16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5.65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85.36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126.20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47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5.11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47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8.95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597.51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9.66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47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47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47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23.20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404.13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46.50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47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2.32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47.00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47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15.14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47.60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4.17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39909</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26.21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25.77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39910</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46.53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1241"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242"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99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47.52 </w:t>
            </w:r>
          </w:p>
        </w:tc>
        <w:tc>
          <w:tcPr>
            <w:tcW w:w="24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686"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67.67 </w:t>
            </w:r>
          </w:p>
        </w:tc>
        <w:tc>
          <w:tcPr>
            <w:tcW w:w="243" w:type="pct"/>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kern w:val="0"/>
                <w:szCs w:val="18"/>
              </w:rPr>
            </w:pPr>
          </w:p>
        </w:tc>
        <w:tc>
          <w:tcPr>
            <w:tcW w:w="1241" w:type="pct"/>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kern w:val="0"/>
                <w:szCs w:val="18"/>
              </w:rPr>
            </w:pPr>
          </w:p>
        </w:tc>
        <w:tc>
          <w:tcPr>
            <w:tcW w:w="43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237" w:type="pct"/>
            <w:gridSpan w:val="2"/>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47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2,239.55 </w:t>
            </w:r>
          </w:p>
        </w:tc>
        <w:tc>
          <w:tcPr>
            <w:tcW w:w="2852" w:type="pct"/>
            <w:gridSpan w:val="5"/>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公用经费合计</w:t>
            </w:r>
          </w:p>
        </w:tc>
        <w:tc>
          <w:tcPr>
            <w:tcW w:w="43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631.43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397"/>
        <w:gridCol w:w="3401"/>
        <w:gridCol w:w="2011"/>
        <w:gridCol w:w="3401"/>
        <w:gridCol w:w="3401"/>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道县祥霖铺镇人民政府</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4999" w:type="pct"/>
        <w:jc w:val="center"/>
        <w:tblLayout w:type="autofit"/>
        <w:tblCellMar>
          <w:top w:w="0" w:type="dxa"/>
          <w:left w:w="108" w:type="dxa"/>
          <w:bottom w:w="0" w:type="dxa"/>
          <w:right w:w="108" w:type="dxa"/>
        </w:tblCellMar>
      </w:tblPr>
      <w:tblGrid>
        <w:gridCol w:w="1292"/>
        <w:gridCol w:w="1293"/>
        <w:gridCol w:w="1293"/>
        <w:gridCol w:w="1293"/>
        <w:gridCol w:w="1296"/>
        <w:gridCol w:w="1302"/>
        <w:gridCol w:w="1305"/>
        <w:gridCol w:w="1305"/>
        <w:gridCol w:w="1305"/>
        <w:gridCol w:w="1305"/>
        <w:gridCol w:w="1311"/>
        <w:gridCol w:w="1311"/>
      </w:tblGrid>
      <w:tr>
        <w:tblPrEx>
          <w:tblCellMar>
            <w:top w:w="0" w:type="dxa"/>
            <w:left w:w="108" w:type="dxa"/>
            <w:bottom w:w="0" w:type="dxa"/>
            <w:right w:w="108" w:type="dxa"/>
          </w:tblCellMar>
        </w:tblPrEx>
        <w:trPr>
          <w:trHeight w:val="606" w:hRule="atLeast"/>
          <w:jc w:val="center"/>
        </w:trPr>
        <w:tc>
          <w:tcPr>
            <w:tcW w:w="24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预算数</w:t>
            </w:r>
          </w:p>
        </w:tc>
        <w:tc>
          <w:tcPr>
            <w:tcW w:w="251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决算数</w:t>
            </w:r>
          </w:p>
        </w:tc>
      </w:tr>
      <w:tr>
        <w:tblPrEx>
          <w:tblCellMar>
            <w:top w:w="0" w:type="dxa"/>
            <w:left w:w="108" w:type="dxa"/>
            <w:bottom w:w="0" w:type="dxa"/>
            <w:right w:w="108" w:type="dxa"/>
          </w:tblCellMar>
        </w:tblPrEx>
        <w:trPr>
          <w:trHeight w:val="495" w:hRule="atLeast"/>
          <w:jc w:val="center"/>
        </w:trPr>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合计</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因公出国（境）费</w:t>
            </w:r>
          </w:p>
        </w:tc>
        <w:tc>
          <w:tcPr>
            <w:tcW w:w="124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4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公务接待费</w:t>
            </w:r>
          </w:p>
        </w:tc>
        <w:tc>
          <w:tcPr>
            <w:tcW w:w="4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合计</w:t>
            </w:r>
          </w:p>
        </w:tc>
        <w:tc>
          <w:tcPr>
            <w:tcW w:w="4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因公出国（境）费</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4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公务接待费</w:t>
            </w:r>
          </w:p>
        </w:tc>
      </w:tr>
      <w:tr>
        <w:tblPrEx>
          <w:tblCellMar>
            <w:top w:w="0" w:type="dxa"/>
            <w:left w:w="108" w:type="dxa"/>
            <w:bottom w:w="0" w:type="dxa"/>
            <w:right w:w="108" w:type="dxa"/>
          </w:tblCellMar>
        </w:tblPrEx>
        <w:trPr>
          <w:trHeight w:val="864" w:hRule="atLeast"/>
          <w:jc w:val="center"/>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小计</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公务用车购置费</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小计</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公务用车购置费</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color w:val="000000"/>
                <w:sz w:val="22"/>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4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7</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8</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9</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11</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12</w:t>
            </w:r>
          </w:p>
        </w:tc>
      </w:tr>
      <w:tr>
        <w:tblPrEx>
          <w:tblCellMar>
            <w:top w:w="0" w:type="dxa"/>
            <w:left w:w="108" w:type="dxa"/>
            <w:bottom w:w="0" w:type="dxa"/>
            <w:right w:w="108" w:type="dxa"/>
          </w:tblCellMar>
        </w:tblPrEx>
        <w:trPr>
          <w:trHeight w:val="579" w:hRule="atLeast"/>
          <w:jc w:val="center"/>
        </w:trPr>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5.00 </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5.00 </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5.00 </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4.17 </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4.17 </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4.17 </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2994.98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443.79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严格控制支出。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rPr>
        <w:t>工资、日常运转</w:t>
      </w:r>
      <w:r>
        <w:rPr>
          <w:rFonts w:hint="eastAsia" w:ascii="Times New Roman" w:hAnsi="Times New Roman" w:eastAsia="仿宋_GB2312" w:cs="Times New Roman"/>
          <w:sz w:val="32"/>
          <w:szCs w:val="32"/>
          <w:lang w:eastAsia="zh-CN"/>
        </w:rPr>
        <w:t>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2994.98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2994.98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2994.98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2870.98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95.86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4.14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2994.98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443.79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严格控制支出。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2994.98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443.79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严格控制支出。</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2994.98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1896.32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63.32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lang w:val="en-US" w:eastAsia="zh-CN"/>
        </w:rPr>
        <w:t>197.14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w:t>
      </w:r>
      <w:r>
        <w:rPr>
          <w:rFonts w:hint="eastAsia" w:ascii="Times New Roman" w:hAnsi="Times New Roman" w:eastAsia="仿宋_GB2312" w:cs="Times New Roman"/>
          <w:sz w:val="32"/>
          <w:szCs w:val="32"/>
          <w:lang w:val="en-US" w:eastAsia="zh-CN"/>
        </w:rPr>
        <w:t>72.59万元，占2.42%；农林水支出738.57万元，占24.66%；住房保障支出85.36万元，占2.85%；灾害防治及应急管理支出5万元，占0.17%。</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2957.83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2994.98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101.26</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一般公共服务支出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1963.36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1896.32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96.29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社会保障和就业支出</w:t>
      </w:r>
    </w:p>
    <w:p>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197.14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197.14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农林水支出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738.57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738.57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住房保障支出</w:t>
      </w:r>
    </w:p>
    <w:p>
      <w:pPr>
        <w:pStyle w:val="12"/>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85.36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85.36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灾害防治及应急管理支出</w:t>
      </w:r>
    </w:p>
    <w:p>
      <w:pPr>
        <w:pStyle w:val="12"/>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2870.98</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2239.55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基本工资、津贴补贴、奖金、伙食补助费、机关事业单位基本养老保险缴费、职业年金缴费、职工基本医疗保险缴费、其他社会保障缴费、住房公积金、退休费、抚恤金、生活补助、救济费、奖励金、其他对个人和家庭的补助等；</w:t>
      </w:r>
    </w:p>
    <w:p>
      <w:pPr>
        <w:pStyle w:val="12"/>
        <w:spacing w:line="600" w:lineRule="exact"/>
        <w:ind w:firstLine="640" w:firstLineChars="200"/>
        <w:rPr>
          <w:rFonts w:ascii="Times New Roman" w:hAnsi="Times New Roman" w:eastAsia="仿宋_GB2312"/>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631.43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主要包括：办公费、印刷费、咨询费、水费、电费、邮电费、物业管理费、差旅费、维修（护）费、会议费、培训费、劳务费、委托业务费、工会经费、福利费、公务用车运行维护费、其他商品和服务支出等。</w:t>
      </w:r>
    </w:p>
    <w:p>
      <w:pPr>
        <w:pStyle w:val="12"/>
        <w:numPr>
          <w:ilvl w:val="0"/>
          <w:numId w:val="3"/>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2"/>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83.4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7.33</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万元，完成预算的XX%；与上年相比增加（减少）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83.4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7.33</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4.17</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主要是主要是</w:t>
      </w:r>
      <w:r>
        <w:rPr>
          <w:rFonts w:hint="eastAsia" w:ascii="Times New Roman" w:hAnsi="Times New Roman" w:eastAsia="仿宋_GB2312" w:cs="Times New Roman"/>
          <w:sz w:val="32"/>
          <w:szCs w:val="32"/>
        </w:rPr>
        <w:t>森林防火，防溺水，镇村综合执法以及其他中心工作用车</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83.4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7.33</w:t>
      </w:r>
      <w:r>
        <w:rPr>
          <w:rFonts w:ascii="Times New Roman" w:hAnsi="Times New Roman" w:eastAsia="仿宋_GB2312" w:cs="Times New Roman"/>
          <w:sz w:val="32"/>
          <w:szCs w:val="32"/>
        </w:rPr>
        <w:t>%。</w:t>
      </w:r>
    </w:p>
    <w:p>
      <w:pPr>
        <w:pStyle w:val="12"/>
        <w:numPr>
          <w:ilvl w:val="0"/>
          <w:numId w:val="4"/>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10.19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2"/>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631.43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比年初预算数减少</w:t>
      </w:r>
      <w:r>
        <w:rPr>
          <w:rFonts w:hint="eastAsia" w:ascii="Times New Roman" w:hAnsi="Times New Roman" w:eastAsia="仿宋_GB2312" w:cs="Times New Roman"/>
          <w:sz w:val="32"/>
          <w:szCs w:val="32"/>
          <w:lang w:val="en-US" w:eastAsia="zh-CN"/>
        </w:rPr>
        <w:t>22.14</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3.39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落实过紧日子要求压减经费支出。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8.95</w:t>
      </w:r>
      <w:r>
        <w:rPr>
          <w:rFonts w:ascii="Times New Roman" w:hAnsi="Times New Roman" w:eastAsia="仿宋_GB2312" w:cs="Times New Roman"/>
          <w:sz w:val="32"/>
          <w:szCs w:val="32"/>
        </w:rPr>
        <w:t>万元，用于召开</w:t>
      </w:r>
      <w:r>
        <w:rPr>
          <w:rFonts w:hint="eastAsia" w:ascii="Times New Roman" w:hAnsi="Times New Roman" w:eastAsia="仿宋_GB2312"/>
          <w:sz w:val="32"/>
          <w:szCs w:val="32"/>
        </w:rPr>
        <w:t>镇村干部</w:t>
      </w:r>
      <w:r>
        <w:rPr>
          <w:rFonts w:hint="eastAsia" w:ascii="Times New Roman" w:hAnsi="Times New Roman" w:eastAsia="仿宋_GB2312"/>
          <w:sz w:val="32"/>
          <w:szCs w:val="32"/>
          <w:lang w:eastAsia="zh-CN"/>
        </w:rPr>
        <w:t>工作</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3156</w:t>
      </w:r>
      <w:r>
        <w:rPr>
          <w:rFonts w:ascii="Times New Roman" w:hAnsi="Times New Roman" w:eastAsia="仿宋_GB2312" w:cs="Times New Roman"/>
          <w:sz w:val="32"/>
          <w:szCs w:val="32"/>
        </w:rPr>
        <w:t>人，内容为</w:t>
      </w:r>
      <w:bookmarkStart w:id="3" w:name="MEET_FUNDS_HYNR"/>
      <w:r>
        <w:rPr>
          <w:rFonts w:hint="eastAsia" w:ascii="Times New Roman" w:hAnsi="Times New Roman" w:eastAsia="仿宋_GB2312" w:cs="Times New Roman"/>
          <w:sz w:val="32"/>
          <w:szCs w:val="32"/>
        </w:rPr>
        <w:t>本单位工作会议</w:t>
      </w:r>
      <w:bookmarkEnd w:id="3"/>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9.66</w:t>
      </w:r>
      <w:r>
        <w:rPr>
          <w:rFonts w:ascii="Times New Roman" w:hAnsi="Times New Roman" w:eastAsia="仿宋_GB2312" w:cs="Times New Roman"/>
          <w:sz w:val="32"/>
          <w:szCs w:val="32"/>
        </w:rPr>
        <w:t>万元，用于开展</w:t>
      </w:r>
      <w:bookmarkStart w:id="4" w:name="TRAIN_FUNDS_COUNT"/>
      <w:r>
        <w:rPr>
          <w:rFonts w:hint="eastAsia" w:ascii="Times New Roman" w:hAnsi="Times New Roman" w:eastAsia="仿宋_GB2312" w:cs="Times New Roman"/>
          <w:sz w:val="32"/>
          <w:szCs w:val="32"/>
        </w:rPr>
        <w:t>干部</w:t>
      </w:r>
      <w:bookmarkEnd w:id="4"/>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rPr>
        <w:t>、镇村业务培训</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3869</w:t>
      </w:r>
      <w:r>
        <w:rPr>
          <w:rFonts w:ascii="Times New Roman" w:hAnsi="Times New Roman" w:eastAsia="仿宋_GB2312" w:cs="Times New Roman"/>
          <w:sz w:val="32"/>
          <w:szCs w:val="32"/>
        </w:rPr>
        <w:t>人，内容为</w:t>
      </w:r>
      <w:bookmarkStart w:id="5" w:name="TRAIN_FUNDS_PXNR"/>
      <w:r>
        <w:rPr>
          <w:rFonts w:hint="eastAsia" w:ascii="Times New Roman" w:hAnsi="Times New Roman" w:eastAsia="仿宋_GB2312" w:cs="Times New Roman"/>
          <w:sz w:val="32"/>
          <w:szCs w:val="32"/>
        </w:rPr>
        <w:t>县党校培训</w:t>
      </w:r>
      <w:bookmarkEnd w:id="5"/>
      <w:bookmarkStart w:id="6" w:name="END_TRAIN_FUNDS_AMT"/>
      <w:bookmarkEnd w:id="6"/>
      <w:r>
        <w:rPr>
          <w:rFonts w:hint="eastAsia" w:ascii="Times New Roman" w:hAnsi="Times New Roman" w:eastAsia="仿宋_GB2312" w:cs="Times New Roman"/>
          <w:sz w:val="32"/>
          <w:szCs w:val="32"/>
        </w:rPr>
        <w:t>、安全生产</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67.67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67.67</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w:t>
      </w:r>
      <w:r>
        <w:rPr>
          <w:rFonts w:hint="eastAsia" w:ascii="Times New Roman" w:hAnsi="Times New Roman" w:eastAsia="楷体_GB2312" w:cs="Times New Roman"/>
          <w:b/>
          <w:bCs/>
          <w:sz w:val="32"/>
          <w:szCs w:val="32"/>
          <w:lang w:eastAsia="zh-CN"/>
        </w:rPr>
        <w:t>一</w:t>
      </w:r>
      <w:r>
        <w:rPr>
          <w:rFonts w:ascii="Times New Roman" w:hAnsi="Times New Roman" w:eastAsia="楷体_GB2312" w:cs="Times New Roman"/>
          <w:b/>
          <w:bCs/>
          <w:sz w:val="32"/>
          <w:szCs w:val="32"/>
        </w:rPr>
        <w:t>）绩效评价结果</w:t>
      </w:r>
      <w:r>
        <w:rPr>
          <w:rFonts w:hint="eastAsia" w:ascii="Times New Roman" w:hAnsi="Times New Roman" w:eastAsia="楷体_GB2312" w:cs="Times New Roman"/>
          <w:b/>
          <w:bCs/>
          <w:sz w:val="32"/>
          <w:szCs w:val="32"/>
          <w:lang w:eastAsia="zh-CN"/>
        </w:rPr>
        <w:t>：</w:t>
      </w:r>
      <w:r>
        <w:rPr>
          <w:rFonts w:ascii="Times New Roman" w:hAnsi="Times New Roman" w:eastAsia="仿宋_GB2312" w:cs="Times New Roman"/>
          <w:b/>
          <w:bCs/>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2957.83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2994.98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101.26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89.86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三公经费合理减少支出。</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会计人员较缺乏，</w:t>
      </w:r>
      <w:r>
        <w:rPr>
          <w:rFonts w:hint="eastAsia" w:ascii="Times New Roman" w:hAnsi="Times New Roman" w:eastAsia="仿宋_GB2312" w:cs="Times New Roman"/>
          <w:sz w:val="32"/>
          <w:szCs w:val="32"/>
          <w:lang w:eastAsia="zh-CN"/>
        </w:rPr>
        <w:t>工作开展受限</w:t>
      </w:r>
      <w:r>
        <w:rPr>
          <w:rFonts w:hint="eastAsia" w:ascii="Times New Roman" w:hAnsi="Times New Roman" w:eastAsia="仿宋_GB2312" w:cs="Times New Roman"/>
          <w:sz w:val="32"/>
          <w:szCs w:val="32"/>
        </w:rPr>
        <w:t>，机制建立存在部分不足。</w:t>
      </w: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是</w:t>
      </w:r>
      <w:r>
        <w:rPr>
          <w:rFonts w:hint="eastAsia" w:ascii="Times New Roman" w:hAnsi="Times New Roman" w:eastAsia="仿宋_GB2312" w:cs="Times New Roman"/>
          <w:sz w:val="32"/>
          <w:szCs w:val="32"/>
          <w:highlight w:val="none"/>
        </w:rPr>
        <w:t>缺少高质高量的培训，需要大量时间进行熟悉</w:t>
      </w:r>
      <w:r>
        <w:rPr>
          <w:rFonts w:hint="eastAsia" w:ascii="Times New Roman" w:hAnsi="Times New Roman" w:eastAsia="仿宋_GB2312" w:cs="Times New Roman"/>
          <w:sz w:val="32"/>
          <w:szCs w:val="32"/>
          <w:highlight w:val="none"/>
          <w:lang w:eastAsia="zh-CN"/>
        </w:rPr>
        <w:t>操作</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规范账务处理，提高财务信息质量 。严格按照《会计法》、《行政单位会计制度》、《行政单位财务规则》等规定执行财务核算，并结合实际情况，完整、准确地披露相关信息，做到决算与预算相衔接</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是加强会计机构队伍建设按照《中华人民共和国会计法》要求建立会计机关，配备齐会计人员，做到不相容岗位分设，加强会计监督；三是会计人员自身严格遵照规定制度实施工作，落实好基层资金合规使用要求。</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w:t>
      </w:r>
      <w:r>
        <w:rPr>
          <w:rFonts w:hint="eastAsia" w:ascii="Times New Roman" w:hAnsi="Times New Roman" w:eastAsia="楷体_GB2312" w:cs="Times New Roman"/>
          <w:b/>
          <w:bCs/>
          <w:color w:val="auto"/>
          <w:kern w:val="2"/>
          <w:sz w:val="32"/>
          <w:szCs w:val="32"/>
          <w:lang w:eastAsia="zh-CN"/>
        </w:rPr>
        <w:t>二</w:t>
      </w:r>
      <w:r>
        <w:rPr>
          <w:rFonts w:ascii="Times New Roman" w:hAnsi="Times New Roman" w:eastAsia="楷体_GB2312" w:cs="Times New Roman"/>
          <w:b/>
          <w:bCs/>
          <w:color w:val="auto"/>
          <w:kern w:val="2"/>
          <w:sz w:val="32"/>
          <w:szCs w:val="32"/>
        </w:rPr>
        <w:t>）评价结果应用情况。</w:t>
      </w:r>
      <w:r>
        <w:rPr>
          <w:rFonts w:hint="eastAsia" w:ascii="Times New Roman" w:hAnsi="Times New Roman" w:eastAsia="仿宋_GB2312" w:cs="Times New Roman"/>
          <w:color w:val="auto"/>
          <w:sz w:val="32"/>
          <w:szCs w:val="32"/>
        </w:rPr>
        <w:t>根据《会计法》、《预算法》、《行政单位会计制度》等法律和财政部及省财政厅有关财务规章的规定，先后制订了《财务管理制度》、《</w:t>
      </w:r>
      <w:r>
        <w:rPr>
          <w:rFonts w:hint="eastAsia" w:ascii="Times New Roman" w:hAnsi="Times New Roman" w:eastAsia="仿宋_GB2312" w:cs="Times New Roman"/>
          <w:color w:val="auto"/>
          <w:sz w:val="32"/>
          <w:szCs w:val="32"/>
          <w:lang w:eastAsia="zh-CN"/>
        </w:rPr>
        <w:t>道县祥霖铺</w:t>
      </w:r>
      <w:r>
        <w:rPr>
          <w:rFonts w:hint="eastAsia" w:ascii="Times New Roman" w:hAnsi="Times New Roman" w:eastAsia="仿宋_GB2312" w:cs="Times New Roman"/>
          <w:color w:val="auto"/>
          <w:sz w:val="32"/>
          <w:szCs w:val="32"/>
        </w:rPr>
        <w:t>镇</w:t>
      </w:r>
      <w:r>
        <w:rPr>
          <w:rFonts w:hint="eastAsia" w:ascii="Times New Roman" w:hAnsi="Times New Roman" w:eastAsia="仿宋_GB2312" w:cs="Times New Roman"/>
          <w:color w:val="auto"/>
          <w:sz w:val="32"/>
          <w:szCs w:val="32"/>
          <w:lang w:eastAsia="zh-CN"/>
        </w:rPr>
        <w:t>人民</w:t>
      </w:r>
      <w:r>
        <w:rPr>
          <w:rFonts w:hint="eastAsia" w:ascii="Times New Roman" w:hAnsi="Times New Roman" w:eastAsia="仿宋_GB2312" w:cs="Times New Roman"/>
          <w:color w:val="auto"/>
          <w:sz w:val="32"/>
          <w:szCs w:val="32"/>
        </w:rPr>
        <w:t>政府公务接待管理办法》、《</w:t>
      </w:r>
      <w:r>
        <w:rPr>
          <w:rFonts w:hint="eastAsia" w:ascii="Times New Roman" w:hAnsi="Times New Roman" w:eastAsia="仿宋_GB2312" w:cs="Times New Roman"/>
          <w:color w:val="auto"/>
          <w:sz w:val="32"/>
          <w:szCs w:val="32"/>
          <w:lang w:eastAsia="zh-CN"/>
        </w:rPr>
        <w:t>道县祥霖铺</w:t>
      </w:r>
      <w:r>
        <w:rPr>
          <w:rFonts w:hint="eastAsia" w:ascii="Times New Roman" w:hAnsi="Times New Roman" w:eastAsia="仿宋_GB2312" w:cs="Times New Roman"/>
          <w:color w:val="auto"/>
          <w:sz w:val="32"/>
          <w:szCs w:val="32"/>
        </w:rPr>
        <w:t>镇</w:t>
      </w:r>
      <w:r>
        <w:rPr>
          <w:rFonts w:hint="eastAsia" w:ascii="Times New Roman" w:hAnsi="Times New Roman" w:eastAsia="仿宋_GB2312" w:cs="Times New Roman"/>
          <w:color w:val="auto"/>
          <w:sz w:val="32"/>
          <w:szCs w:val="32"/>
          <w:lang w:eastAsia="zh-CN"/>
        </w:rPr>
        <w:t>人民</w:t>
      </w:r>
      <w:r>
        <w:rPr>
          <w:rFonts w:hint="eastAsia" w:ascii="Times New Roman" w:hAnsi="Times New Roman" w:eastAsia="仿宋_GB2312" w:cs="Times New Roman"/>
          <w:color w:val="auto"/>
          <w:sz w:val="32"/>
          <w:szCs w:val="32"/>
        </w:rPr>
        <w:t>政府差旅费管理办法》等制度，制度明确了经费审批权限及程序，经费预算、核算管理、资产购置与处置、财务监督等，针对“三公”经费建立公用经费标准定额体系，开展公用经费使用监督和绩效评估，领导重视，</w:t>
      </w:r>
    </w:p>
    <w:p>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1．财政拨款收入：指单位本年度从同级财政部门取得的各类财政拨款。</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2．上级补助收入：指事业单位从主管部门和上级单位取得的非财政补助收入。</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5．对附属单位补助支出：指事业单位用财政拨款收入之外的收入对附属单位补助发生的支出。</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6．经营支出：指事业单位在专业业务活动及其辅助活动之外开展非独立核算经营活动发生的支出。</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7．上缴上级支出：指事业单位按照财政部门和主管部门的规定上缴上级单位的支出。</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8．项目支出：指在为完成特定的工作任务和事业发展目标所发生的支出。</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9．基本支出：指为保障机构正常运转、完成日常工作任务而发生的支出，包括人员经费和公用经费。</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10．年末结转和结余资金：指本年度或以前年度预算安排、因客观条件发生变化无法按原计划实施，需要延迟到以后年度按有关规定继续使用的资金。</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11．结余分配：指事业单位按规定对非财政拨款结余资金提取的专用基金、缴纳的所得税和转入非财政拨款结余等。</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12．年初结转和结余：指单位上年结转本年使用的基本支出结转、项目支出结转和结余和经营结余。</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13．使用非财政拨款结余：指事业单位使用非财政拨款结余（原事业基金）弥补当年收支差额的数额。</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14．其他收入：指单位取得的除上述“财政拨款收入”、“事业收入”、“经营收入”等以外的各项收入。</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15．事业收入：指事业单位开展专业业务活动及其辅助活动取得的收入，事业单位收到的财政专户实际核拨的教育收费等资金在此反映。</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16．经营收入：指事业单位在专业业务活动及其辅助活动之外开展非独立核算经营活动取得的收入。</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17．附属单位上缴收入：指事业单位附属独立核算单位按照有关规定上缴的收入。</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18．一般公共服务支出（类）人大事务（款）其他人大事务支出（项）：反映除上述项目以外的其他人大事务支出。</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19．一般公共服务支出（类）政府办公厅（室）及相关机构事务（款）行政运行（项）：反映行政单位（包括实行公务员管理的事业单位）的基本 支出。</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20．一般公共服务支出（类）政府办公厅（室）及相关机构事务（款）其他政府办公厅（室）及相关机构事务支出（项）：反映除上述项目以外的其他政府办公厅（室）及相关机构事 务支出。</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21．一般公共服务支出（类）纪检监察事务（款）其他纪检监察事务支出（项）：反映除上述项目以外其他纪检监察事务方面的支出。</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22．一般公共服务支出（类）群众团体事务（款）其他群众团体事务支出（项）：反映除上述项目以外其他用于群众团体事务方面的支出。</w:t>
      </w:r>
    </w:p>
    <w:p>
      <w:pPr>
        <w:overflowPunct w:val="0"/>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23．一般公共服务支出（类）其他一般公共服务支出（款）其他一般公共服务支出（项）：反映除上述项目以外的其他一般公共服务支出</w:t>
      </w:r>
      <w:r>
        <w:rPr>
          <w:rFonts w:hint="eastAsia" w:ascii="Times New Roman" w:hAnsi="Times New Roman" w:eastAsia="仿宋_GB2312" w:cs="Times New Roman"/>
          <w:sz w:val="32"/>
          <w:szCs w:val="32"/>
          <w:lang w:eastAsia="zh-CN"/>
        </w:rPr>
        <w:t>。</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24．社会保障和就业支出（类）行政事业单位养老支出（款）机关事业单位基本养老保险缴费支出（项）：反映机关事业单位实施养老保险制度由单位缴纳的基本养老保险费支出。</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25．社会保障和就业支出（类）抚恤（款）死亡抚恤（项）：反映按规定用于烈士和牺牲、病故人员家属的一次性和定期 抚恤金、丧葬补助费以及烈士褒扬金。</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27．农林水支出（类）巩固脱贫衔接乡村振兴（款）其他巩固脱贫衔接乡村振兴支出（项）：反映除上述项目以外其他用于巩固拓展脱贫攻坚成果同乡村</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28．农林水支出（类）农村综合改革（款）对村级公益事业建设的补助（项）：反映农村综合改革方面的支出。</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29．农林水支出（类）农村综合改革（款）对村民委员会和村党支部的补助（项）：反映各级财政对村民委员会和村党支部的补助支出，以及支持建立县级基本财力保障机制安排的村级组织运转奖补资金。</w:t>
      </w:r>
    </w:p>
    <w:p>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30．灾害防治及应急管理支出（类）自然灾害防治（款）森林草原防灾减灾（项）：反映防治森林草原火灾、自然水呈灾害等发生的支出。</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w:t>
      </w:r>
    </w:p>
    <w:p>
      <w:pPr>
        <w:pStyle w:val="12"/>
        <w:spacing w:line="360" w:lineRule="auto"/>
        <w:jc w:val="center"/>
        <w:rPr>
          <w:rFonts w:hint="eastAsia" w:ascii="Times New Roman" w:hAnsi="Times New Roman" w:eastAsia="方正小标宋_GBK" w:cs="Times New Roman"/>
          <w:sz w:val="52"/>
          <w:szCs w:val="52"/>
          <w:lang w:eastAsia="zh-CN"/>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bookmarkStart w:id="7" w:name="_GoBack"/>
      <w:bookmarkEnd w:id="7"/>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0822FE"/>
    <w:multiLevelType w:val="singleLevel"/>
    <w:tmpl w:val="9E0822FE"/>
    <w:lvl w:ilvl="0" w:tentative="0">
      <w:start w:val="5"/>
      <w:numFmt w:val="decimal"/>
      <w:suff w:val="nothing"/>
      <w:lvlText w:val="%1、"/>
      <w:lvlJc w:val="left"/>
    </w:lvl>
  </w:abstractNum>
  <w:abstractNum w:abstractNumId="1">
    <w:nsid w:val="A8850AF6"/>
    <w:multiLevelType w:val="singleLevel"/>
    <w:tmpl w:val="A8850AF6"/>
    <w:lvl w:ilvl="0" w:tentative="0">
      <w:start w:val="2"/>
      <w:numFmt w:val="chineseCounting"/>
      <w:suff w:val="nothing"/>
      <w:lvlText w:val="（%1）"/>
      <w:lvlJc w:val="left"/>
      <w:rPr>
        <w:rFonts w:hint="eastAsia"/>
      </w:rPr>
    </w:lvl>
  </w:abstractNum>
  <w:abstractNum w:abstractNumId="2">
    <w:nsid w:val="E5516E07"/>
    <w:multiLevelType w:val="singleLevel"/>
    <w:tmpl w:val="E5516E07"/>
    <w:lvl w:ilvl="0" w:tentative="0">
      <w:start w:val="7"/>
      <w:numFmt w:val="chineseCounting"/>
      <w:suff w:val="nothing"/>
      <w:lvlText w:val="%1、"/>
      <w:lvlJc w:val="left"/>
      <w:rPr>
        <w:rFonts w:hint="eastAsia"/>
      </w:rPr>
    </w:lvl>
  </w:abstractNum>
  <w:abstractNum w:abstractNumId="3">
    <w:nsid w:val="FFDE2989"/>
    <w:multiLevelType w:val="singleLevel"/>
    <w:tmpl w:val="FFDE2989"/>
    <w:lvl w:ilvl="0" w:tentative="0">
      <w:start w:val="3"/>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2968"/>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0D6029"/>
    <w:rsid w:val="01A7022B"/>
    <w:rsid w:val="027C16B8"/>
    <w:rsid w:val="02BA3AFD"/>
    <w:rsid w:val="03767EB5"/>
    <w:rsid w:val="03FB485E"/>
    <w:rsid w:val="043F299D"/>
    <w:rsid w:val="04613C48"/>
    <w:rsid w:val="04CE2A73"/>
    <w:rsid w:val="05A01219"/>
    <w:rsid w:val="06C61153"/>
    <w:rsid w:val="070E0F46"/>
    <w:rsid w:val="077E558A"/>
    <w:rsid w:val="07EF46DA"/>
    <w:rsid w:val="081E0B1B"/>
    <w:rsid w:val="08D538D0"/>
    <w:rsid w:val="092E2FE0"/>
    <w:rsid w:val="098D7D07"/>
    <w:rsid w:val="099919D6"/>
    <w:rsid w:val="0AB43235"/>
    <w:rsid w:val="0BD31C1D"/>
    <w:rsid w:val="0BE65DF4"/>
    <w:rsid w:val="0C191F79"/>
    <w:rsid w:val="0C5A6CB4"/>
    <w:rsid w:val="0CCF0636"/>
    <w:rsid w:val="0CF62067"/>
    <w:rsid w:val="0DE93979"/>
    <w:rsid w:val="0E663FA7"/>
    <w:rsid w:val="0EB14497"/>
    <w:rsid w:val="0F31382A"/>
    <w:rsid w:val="0F735BF1"/>
    <w:rsid w:val="0F87169C"/>
    <w:rsid w:val="105C6685"/>
    <w:rsid w:val="10F22B45"/>
    <w:rsid w:val="117A5014"/>
    <w:rsid w:val="11DC7A7D"/>
    <w:rsid w:val="11F03528"/>
    <w:rsid w:val="126D4B79"/>
    <w:rsid w:val="13960100"/>
    <w:rsid w:val="13F53078"/>
    <w:rsid w:val="14284DBC"/>
    <w:rsid w:val="143C2A55"/>
    <w:rsid w:val="14447B5C"/>
    <w:rsid w:val="150F1F18"/>
    <w:rsid w:val="151B08BC"/>
    <w:rsid w:val="161D0664"/>
    <w:rsid w:val="166B7621"/>
    <w:rsid w:val="16841DF2"/>
    <w:rsid w:val="16985F3D"/>
    <w:rsid w:val="17173305"/>
    <w:rsid w:val="17C31E10"/>
    <w:rsid w:val="183B7A2B"/>
    <w:rsid w:val="198F7ACB"/>
    <w:rsid w:val="1A143B2C"/>
    <w:rsid w:val="1A82318C"/>
    <w:rsid w:val="1A9728D7"/>
    <w:rsid w:val="1A9C249F"/>
    <w:rsid w:val="1ABF1CEA"/>
    <w:rsid w:val="1B34092A"/>
    <w:rsid w:val="1B351FAC"/>
    <w:rsid w:val="1BBE4697"/>
    <w:rsid w:val="1BFD51C0"/>
    <w:rsid w:val="1C2F2E9F"/>
    <w:rsid w:val="1C5D17BA"/>
    <w:rsid w:val="1C832D96"/>
    <w:rsid w:val="1C90180A"/>
    <w:rsid w:val="1D4D7A81"/>
    <w:rsid w:val="1D97DEFF"/>
    <w:rsid w:val="1DFF72E5"/>
    <w:rsid w:val="1E220F0E"/>
    <w:rsid w:val="1E28404A"/>
    <w:rsid w:val="1E2D340E"/>
    <w:rsid w:val="1E7D4396"/>
    <w:rsid w:val="1E9D2342"/>
    <w:rsid w:val="1EDC6FDA"/>
    <w:rsid w:val="1EFC6F07"/>
    <w:rsid w:val="219429A7"/>
    <w:rsid w:val="21BA145D"/>
    <w:rsid w:val="21DE626B"/>
    <w:rsid w:val="23E76EA7"/>
    <w:rsid w:val="250657B6"/>
    <w:rsid w:val="2547125A"/>
    <w:rsid w:val="2572277A"/>
    <w:rsid w:val="25A220E1"/>
    <w:rsid w:val="25E92311"/>
    <w:rsid w:val="261E460B"/>
    <w:rsid w:val="26606A77"/>
    <w:rsid w:val="267E0CAB"/>
    <w:rsid w:val="26B26BA7"/>
    <w:rsid w:val="26C1503C"/>
    <w:rsid w:val="27787DF0"/>
    <w:rsid w:val="279D1605"/>
    <w:rsid w:val="27B81667"/>
    <w:rsid w:val="28033B5E"/>
    <w:rsid w:val="287D1D64"/>
    <w:rsid w:val="289E5635"/>
    <w:rsid w:val="293E4722"/>
    <w:rsid w:val="2A0911D4"/>
    <w:rsid w:val="2A1A6F3D"/>
    <w:rsid w:val="2A987472"/>
    <w:rsid w:val="2A9A62D0"/>
    <w:rsid w:val="2B116592"/>
    <w:rsid w:val="2B195446"/>
    <w:rsid w:val="2BA03472"/>
    <w:rsid w:val="2CD05FD9"/>
    <w:rsid w:val="2CF76096"/>
    <w:rsid w:val="2D2500D2"/>
    <w:rsid w:val="2D5E56DE"/>
    <w:rsid w:val="2D964B2C"/>
    <w:rsid w:val="2DB82259"/>
    <w:rsid w:val="2E2465DC"/>
    <w:rsid w:val="2E2E1209"/>
    <w:rsid w:val="2F3C5BA7"/>
    <w:rsid w:val="2F560A17"/>
    <w:rsid w:val="2F866E64"/>
    <w:rsid w:val="2FDF85B8"/>
    <w:rsid w:val="2FFFEE04"/>
    <w:rsid w:val="30670A02"/>
    <w:rsid w:val="30CC62CE"/>
    <w:rsid w:val="30D8545C"/>
    <w:rsid w:val="311A1F18"/>
    <w:rsid w:val="31ED3189"/>
    <w:rsid w:val="32543208"/>
    <w:rsid w:val="32621481"/>
    <w:rsid w:val="327318E0"/>
    <w:rsid w:val="3284589B"/>
    <w:rsid w:val="338F44F8"/>
    <w:rsid w:val="34427DED"/>
    <w:rsid w:val="34621C0C"/>
    <w:rsid w:val="34831B82"/>
    <w:rsid w:val="34DB19BE"/>
    <w:rsid w:val="34DF85B0"/>
    <w:rsid w:val="35470E02"/>
    <w:rsid w:val="35690D78"/>
    <w:rsid w:val="359A3628"/>
    <w:rsid w:val="36054F45"/>
    <w:rsid w:val="3655414F"/>
    <w:rsid w:val="36615B3D"/>
    <w:rsid w:val="375872F6"/>
    <w:rsid w:val="382F694F"/>
    <w:rsid w:val="388365F5"/>
    <w:rsid w:val="388A461B"/>
    <w:rsid w:val="395D6E46"/>
    <w:rsid w:val="39A63274"/>
    <w:rsid w:val="3A4A73CA"/>
    <w:rsid w:val="3A8A5A19"/>
    <w:rsid w:val="3AA30888"/>
    <w:rsid w:val="3B1E43B3"/>
    <w:rsid w:val="3B697D24"/>
    <w:rsid w:val="3B8F36BC"/>
    <w:rsid w:val="3B9A7EDD"/>
    <w:rsid w:val="3C3F0A85"/>
    <w:rsid w:val="3C795D45"/>
    <w:rsid w:val="3C9B3F0D"/>
    <w:rsid w:val="3D251A29"/>
    <w:rsid w:val="3D5608A4"/>
    <w:rsid w:val="3D9372DA"/>
    <w:rsid w:val="3DFF671E"/>
    <w:rsid w:val="3EC3774B"/>
    <w:rsid w:val="3ECF7E9E"/>
    <w:rsid w:val="3EE37DED"/>
    <w:rsid w:val="3F712E21"/>
    <w:rsid w:val="40416B7A"/>
    <w:rsid w:val="411E510D"/>
    <w:rsid w:val="41C165A7"/>
    <w:rsid w:val="41C537DA"/>
    <w:rsid w:val="42091919"/>
    <w:rsid w:val="423E33AB"/>
    <w:rsid w:val="439114E7"/>
    <w:rsid w:val="43D63A7D"/>
    <w:rsid w:val="448B0D0B"/>
    <w:rsid w:val="45B63B66"/>
    <w:rsid w:val="45E03614"/>
    <w:rsid w:val="462705C0"/>
    <w:rsid w:val="46671304"/>
    <w:rsid w:val="471E5E67"/>
    <w:rsid w:val="473E02B7"/>
    <w:rsid w:val="479954ED"/>
    <w:rsid w:val="47A10846"/>
    <w:rsid w:val="47B16CDB"/>
    <w:rsid w:val="47E0136E"/>
    <w:rsid w:val="48105701"/>
    <w:rsid w:val="4876582E"/>
    <w:rsid w:val="491FF225"/>
    <w:rsid w:val="49DF5845"/>
    <w:rsid w:val="4BF4363A"/>
    <w:rsid w:val="4C681932"/>
    <w:rsid w:val="4CFA6A2E"/>
    <w:rsid w:val="4D926C66"/>
    <w:rsid w:val="4E1A7D92"/>
    <w:rsid w:val="4EC015B1"/>
    <w:rsid w:val="4ED65279"/>
    <w:rsid w:val="4F11005F"/>
    <w:rsid w:val="4FDF63AF"/>
    <w:rsid w:val="4FFD214C"/>
    <w:rsid w:val="51165E00"/>
    <w:rsid w:val="5144471C"/>
    <w:rsid w:val="5153670D"/>
    <w:rsid w:val="518A5F4C"/>
    <w:rsid w:val="51917235"/>
    <w:rsid w:val="51A8001F"/>
    <w:rsid w:val="52B633F7"/>
    <w:rsid w:val="531B14AC"/>
    <w:rsid w:val="54E12281"/>
    <w:rsid w:val="54F41FB5"/>
    <w:rsid w:val="54FC355F"/>
    <w:rsid w:val="55915A56"/>
    <w:rsid w:val="56574EF1"/>
    <w:rsid w:val="570A1F63"/>
    <w:rsid w:val="5777D4F5"/>
    <w:rsid w:val="57BD6FD6"/>
    <w:rsid w:val="57E02CC4"/>
    <w:rsid w:val="581A61D6"/>
    <w:rsid w:val="590A624B"/>
    <w:rsid w:val="59DD8326"/>
    <w:rsid w:val="5A767910"/>
    <w:rsid w:val="5AB26B9A"/>
    <w:rsid w:val="5C2018E1"/>
    <w:rsid w:val="5C3A6E47"/>
    <w:rsid w:val="5C814A76"/>
    <w:rsid w:val="5D156F6C"/>
    <w:rsid w:val="5D68196B"/>
    <w:rsid w:val="5DEF592A"/>
    <w:rsid w:val="5E1611EE"/>
    <w:rsid w:val="5E421FE3"/>
    <w:rsid w:val="5E9F11E3"/>
    <w:rsid w:val="5ECA1FD8"/>
    <w:rsid w:val="5FBD149D"/>
    <w:rsid w:val="5FC6BB1E"/>
    <w:rsid w:val="5FF4730D"/>
    <w:rsid w:val="5FF612D7"/>
    <w:rsid w:val="5FF720F1"/>
    <w:rsid w:val="60017C7C"/>
    <w:rsid w:val="60EC092C"/>
    <w:rsid w:val="614F0110"/>
    <w:rsid w:val="618E3791"/>
    <w:rsid w:val="61A84853"/>
    <w:rsid w:val="634F4976"/>
    <w:rsid w:val="63604CB9"/>
    <w:rsid w:val="63B05C41"/>
    <w:rsid w:val="64406FC4"/>
    <w:rsid w:val="646372E2"/>
    <w:rsid w:val="65CC4888"/>
    <w:rsid w:val="662D5327"/>
    <w:rsid w:val="66DE6DC1"/>
    <w:rsid w:val="67CD5013"/>
    <w:rsid w:val="67FF5C0B"/>
    <w:rsid w:val="68150768"/>
    <w:rsid w:val="68802085"/>
    <w:rsid w:val="690802CD"/>
    <w:rsid w:val="69230C63"/>
    <w:rsid w:val="692467EF"/>
    <w:rsid w:val="696A6892"/>
    <w:rsid w:val="696E0130"/>
    <w:rsid w:val="69794D27"/>
    <w:rsid w:val="6A8E6097"/>
    <w:rsid w:val="6B030D4C"/>
    <w:rsid w:val="6B1D2BED"/>
    <w:rsid w:val="6B217424"/>
    <w:rsid w:val="6B9320D0"/>
    <w:rsid w:val="6D107750"/>
    <w:rsid w:val="6E1304B4"/>
    <w:rsid w:val="6E313E22"/>
    <w:rsid w:val="6EFC0924"/>
    <w:rsid w:val="6FB74722"/>
    <w:rsid w:val="6FEF8B7E"/>
    <w:rsid w:val="703B0F88"/>
    <w:rsid w:val="708741CD"/>
    <w:rsid w:val="70ED5640"/>
    <w:rsid w:val="70FF3D63"/>
    <w:rsid w:val="716562BC"/>
    <w:rsid w:val="71A6591B"/>
    <w:rsid w:val="7305787F"/>
    <w:rsid w:val="73465C7A"/>
    <w:rsid w:val="734C22EC"/>
    <w:rsid w:val="737D59BA"/>
    <w:rsid w:val="747B0A80"/>
    <w:rsid w:val="74C23A26"/>
    <w:rsid w:val="74D15A17"/>
    <w:rsid w:val="74D86DA5"/>
    <w:rsid w:val="74F87447"/>
    <w:rsid w:val="75061B64"/>
    <w:rsid w:val="751D2A0A"/>
    <w:rsid w:val="755E374E"/>
    <w:rsid w:val="763C15B6"/>
    <w:rsid w:val="768076F4"/>
    <w:rsid w:val="77C37683"/>
    <w:rsid w:val="785B21C7"/>
    <w:rsid w:val="78AB5AFE"/>
    <w:rsid w:val="78D55BEE"/>
    <w:rsid w:val="791B54B2"/>
    <w:rsid w:val="79501600"/>
    <w:rsid w:val="795B1D53"/>
    <w:rsid w:val="79D19834"/>
    <w:rsid w:val="79D20267"/>
    <w:rsid w:val="79ED50A1"/>
    <w:rsid w:val="79FF515B"/>
    <w:rsid w:val="7A4E30CD"/>
    <w:rsid w:val="7A5766D0"/>
    <w:rsid w:val="7A777060"/>
    <w:rsid w:val="7A930FBB"/>
    <w:rsid w:val="7BF549BF"/>
    <w:rsid w:val="7CB345B5"/>
    <w:rsid w:val="7CB4706A"/>
    <w:rsid w:val="7CCC5441"/>
    <w:rsid w:val="7CE81319"/>
    <w:rsid w:val="7D8E217C"/>
    <w:rsid w:val="7DD24CD9"/>
    <w:rsid w:val="7DE872FA"/>
    <w:rsid w:val="7E097FCF"/>
    <w:rsid w:val="7E635932"/>
    <w:rsid w:val="7E796922"/>
    <w:rsid w:val="7E9E1962"/>
    <w:rsid w:val="7E9F11B4"/>
    <w:rsid w:val="7F37EC1E"/>
    <w:rsid w:val="7F7DCD9D"/>
    <w:rsid w:val="7F872536"/>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9190</Words>
  <Characters>11886</Characters>
  <Lines>69</Lines>
  <Paragraphs>19</Paragraphs>
  <TotalTime>7</TotalTime>
  <ScaleCrop>false</ScaleCrop>
  <LinksUpToDate>false</LinksUpToDate>
  <CharactersWithSpaces>13108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2026-09-14T07:58:46Z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y fmtid="{D5CDD505-2E9C-101B-9397-08002B2CF9AE}" pid="4" name="KSOTemplateDocerSaveRecord">
    <vt:lpwstr>eyJoZGlkIjoiNGNiNmU4ZjhlMzYzOGJlNDkwZTJiMDE1MWU3NDZiZDcifQ==</vt:lpwstr>
  </property>
</Properties>
</file>