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68" w:beforeLines="150"/>
        <w:jc w:val="center"/>
        <w:rPr>
          <w:rFonts w:hint="eastAsia" w:ascii="黑体" w:hAnsi="黑体" w:eastAsia="黑体"/>
          <w:color w:val="000000"/>
          <w:kern w:val="0"/>
          <w:sz w:val="44"/>
          <w:szCs w:val="44"/>
          <w:lang w:eastAsia="zh-CN"/>
        </w:rPr>
      </w:pPr>
    </w:p>
    <w:p>
      <w:pPr>
        <w:spacing w:before="468" w:beforeLines="150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黑体" w:hAnsi="黑体" w:eastAsia="黑体"/>
          <w:color w:val="000000"/>
          <w:kern w:val="0"/>
          <w:sz w:val="44"/>
          <w:szCs w:val="44"/>
          <w:lang w:eastAsia="zh-CN"/>
        </w:rPr>
        <w:t>202</w:t>
      </w:r>
      <w:r>
        <w:rPr>
          <w:rFonts w:hint="eastAsia" w:ascii="黑体" w:hAnsi="黑体" w:eastAsia="黑体"/>
          <w:color w:val="000000"/>
          <w:kern w:val="0"/>
          <w:sz w:val="44"/>
          <w:szCs w:val="44"/>
          <w:lang w:val="en-US" w:eastAsia="zh-CN"/>
        </w:rPr>
        <w:t>5</w:t>
      </w:r>
      <w:r>
        <w:rPr>
          <w:rFonts w:hint="eastAsia" w:ascii="黑体" w:hAnsi="黑体" w:eastAsia="黑体" w:cs="黑体"/>
          <w:color w:val="000000"/>
          <w:kern w:val="0"/>
          <w:sz w:val="44"/>
          <w:szCs w:val="44"/>
        </w:rPr>
        <w:t>年度</w:t>
      </w:r>
      <w:r>
        <w:rPr>
          <w:rFonts w:hint="eastAsia" w:ascii="黑体" w:hAnsi="黑体" w:eastAsia="黑体"/>
          <w:color w:val="000000"/>
          <w:kern w:val="0"/>
          <w:sz w:val="44"/>
          <w:szCs w:val="44"/>
        </w:rPr>
        <w:t>道县妇女联合会</w:t>
      </w:r>
      <w:r>
        <w:rPr>
          <w:rFonts w:hint="eastAsia" w:ascii="宋体" w:hAnsi="宋体"/>
          <w:b/>
          <w:sz w:val="44"/>
          <w:szCs w:val="44"/>
        </w:rPr>
        <w:t>部门</w:t>
      </w:r>
    </w:p>
    <w:p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整体支出绩效评价报告</w:t>
      </w:r>
    </w:p>
    <w:p>
      <w:pPr>
        <w:spacing w:line="57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7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eastAsia="黑体"/>
          <w:sz w:val="32"/>
          <w:szCs w:val="32"/>
        </w:rPr>
        <w:t>部门（单位）基本情况</w:t>
      </w:r>
    </w:p>
    <w:p>
      <w:pPr>
        <w:shd w:val="clear" w:color="auto" w:fill="FFFFFF"/>
        <w:spacing w:line="570" w:lineRule="exact"/>
        <w:ind w:firstLine="640" w:firstLineChars="200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（一）部门（单位）职能职责、机构编制、人员构成等。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1、</w:t>
      </w:r>
      <w:r>
        <w:rPr>
          <w:rFonts w:ascii="Times New Roman" w:hAnsi="Times New Roman" w:eastAsia="仿宋_GB2312" w:cs="Times New Roman"/>
          <w:b/>
          <w:bCs w:val="0"/>
          <w:kern w:val="0"/>
          <w:sz w:val="32"/>
          <w:szCs w:val="32"/>
        </w:rPr>
        <w:t>内设机构设置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。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eastAsia="zh-CN"/>
        </w:rPr>
        <w:t>道县妇女联合会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单位内设机构包括</w:t>
      </w:r>
      <w:r>
        <w:rPr>
          <w:rFonts w:hint="eastAsia" w:ascii="仿宋" w:hAnsi="仿宋" w:eastAsia="仿宋"/>
          <w:sz w:val="32"/>
          <w:szCs w:val="32"/>
        </w:rPr>
        <w:t>：办公室、维权部、儿少部叁个部门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2、</w:t>
      </w:r>
      <w:r>
        <w:rPr>
          <w:rFonts w:hint="eastAsia" w:ascii="仿宋_GB2312" w:eastAsia="仿宋_GB2312"/>
          <w:b/>
          <w:bCs/>
          <w:sz w:val="32"/>
          <w:szCs w:val="32"/>
        </w:rPr>
        <w:t>编制、人员构成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道县妇女联合会机关</w:t>
      </w:r>
      <w:r>
        <w:rPr>
          <w:rFonts w:hint="eastAsia" w:ascii="仿宋" w:hAnsi="仿宋" w:eastAsia="仿宋"/>
          <w:sz w:val="32"/>
          <w:szCs w:val="32"/>
        </w:rPr>
        <w:t>行政编制人员5人，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设主席1名，副主席1名，正股级职数2名；</w:t>
      </w:r>
      <w:r>
        <w:rPr>
          <w:rFonts w:hint="eastAsia" w:ascii="仿宋" w:hAnsi="仿宋" w:eastAsia="仿宋"/>
          <w:sz w:val="32"/>
          <w:szCs w:val="32"/>
        </w:rPr>
        <w:t>事业编制人员2人。实有行政编制人员5人，事业编制人员2人</w:t>
      </w: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其中机关工勤人员1人，九级管理人员1人）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pStyle w:val="4"/>
        <w:widowControl/>
        <w:spacing w:line="600" w:lineRule="exact"/>
        <w:ind w:left="640" w:firstLine="0" w:firstLineChars="0"/>
        <w:rPr>
          <w:rFonts w:hint="eastAsia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/>
          <w:b/>
          <w:sz w:val="32"/>
          <w:szCs w:val="32"/>
        </w:rPr>
        <w:t>主要职能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职责</w:t>
      </w:r>
    </w:p>
    <w:p>
      <w:pPr>
        <w:spacing w:line="600" w:lineRule="exact"/>
        <w:ind w:firstLine="640" w:firstLineChars="200"/>
        <w:jc w:val="left"/>
        <w:rPr>
          <w:rFonts w:hint="eastAsia" w:eastAsia="仿宋_GB2312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）</w:t>
      </w:r>
      <w:r>
        <w:rPr>
          <w:rFonts w:hint="eastAsia" w:eastAsia="仿宋_GB2312"/>
          <w:sz w:val="32"/>
          <w:szCs w:val="32"/>
        </w:rPr>
        <w:t>指导全会各级妇联依据《中华全国妇女联合会章程》和妇女代表大会的决定、决议，开展妇女儿童工作，联系团体委员，并给予指导</w:t>
      </w:r>
      <w:r>
        <w:rPr>
          <w:rFonts w:hint="eastAsia" w:eastAsia="仿宋_GB2312"/>
          <w:sz w:val="32"/>
          <w:szCs w:val="32"/>
          <w:lang w:eastAsia="zh-CN"/>
        </w:rPr>
        <w:t>。</w:t>
      </w:r>
    </w:p>
    <w:p>
      <w:pPr>
        <w:spacing w:line="600" w:lineRule="exact"/>
        <w:ind w:firstLine="640" w:firstLineChars="200"/>
        <w:jc w:val="lef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（</w:t>
      </w:r>
      <w:r>
        <w:rPr>
          <w:rFonts w:hint="eastAsia" w:eastAsia="仿宋_GB2312"/>
          <w:sz w:val="32"/>
          <w:szCs w:val="32"/>
          <w:lang w:val="en-US" w:eastAsia="zh-CN"/>
        </w:rPr>
        <w:t>2</w:t>
      </w:r>
      <w:r>
        <w:rPr>
          <w:rFonts w:hint="eastAsia" w:eastAsia="仿宋_GB2312"/>
          <w:sz w:val="32"/>
          <w:szCs w:val="32"/>
          <w:lang w:eastAsia="zh-CN"/>
        </w:rPr>
        <w:t>）</w:t>
      </w:r>
      <w:r>
        <w:rPr>
          <w:rFonts w:hint="eastAsia" w:eastAsia="仿宋_GB2312"/>
          <w:sz w:val="32"/>
          <w:szCs w:val="32"/>
        </w:rPr>
        <w:t>指导和推动全县农村妇女“双学双比”活动，城镇妇女“巾帼建功”活动和“五好文明家庭”创建活动；教育、引导广大妇女自尊、自信、自立、自强。</w:t>
      </w:r>
    </w:p>
    <w:p>
      <w:pPr>
        <w:spacing w:line="600" w:lineRule="exact"/>
        <w:ind w:firstLine="640" w:firstLineChars="200"/>
        <w:jc w:val="left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（</w:t>
      </w:r>
      <w:r>
        <w:rPr>
          <w:rFonts w:hint="eastAsia" w:eastAsia="仿宋_GB2312"/>
          <w:sz w:val="32"/>
          <w:szCs w:val="32"/>
          <w:lang w:val="en-US" w:eastAsia="zh-CN"/>
        </w:rPr>
        <w:t>3</w:t>
      </w:r>
      <w:r>
        <w:rPr>
          <w:rFonts w:hint="eastAsia" w:eastAsia="仿宋_GB2312"/>
          <w:sz w:val="32"/>
          <w:szCs w:val="32"/>
          <w:lang w:eastAsia="zh-CN"/>
        </w:rPr>
        <w:t>）</w:t>
      </w:r>
      <w:r>
        <w:rPr>
          <w:rFonts w:hint="eastAsia" w:eastAsia="仿宋_GB2312"/>
          <w:sz w:val="32"/>
          <w:szCs w:val="32"/>
        </w:rPr>
        <w:t>宣传妇女典型，实施女性素质工程，促进妇女人才成长，全面提高妇女素质</w:t>
      </w:r>
      <w:r>
        <w:rPr>
          <w:rFonts w:hint="eastAsia" w:eastAsia="仿宋_GB2312"/>
          <w:sz w:val="32"/>
          <w:szCs w:val="32"/>
          <w:lang w:eastAsia="zh-CN"/>
        </w:rPr>
        <w:t>。</w:t>
      </w:r>
    </w:p>
    <w:p>
      <w:pPr>
        <w:spacing w:line="600" w:lineRule="exact"/>
        <w:ind w:firstLine="640" w:firstLineChars="200"/>
        <w:jc w:val="left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（</w:t>
      </w:r>
      <w:r>
        <w:rPr>
          <w:rFonts w:hint="eastAsia" w:eastAsia="仿宋_GB2312"/>
          <w:sz w:val="32"/>
          <w:szCs w:val="32"/>
          <w:lang w:val="en-US" w:eastAsia="zh-CN"/>
        </w:rPr>
        <w:t>4</w:t>
      </w:r>
      <w:r>
        <w:rPr>
          <w:rFonts w:hint="eastAsia" w:eastAsia="仿宋_GB2312"/>
          <w:sz w:val="32"/>
          <w:szCs w:val="32"/>
          <w:lang w:eastAsia="zh-CN"/>
        </w:rPr>
        <w:t>）</w:t>
      </w:r>
      <w:r>
        <w:rPr>
          <w:rFonts w:hint="eastAsia" w:eastAsia="仿宋_GB2312"/>
          <w:sz w:val="32"/>
          <w:szCs w:val="32"/>
        </w:rPr>
        <w:t>维护妇女儿童合法权益，调查研究妇女、儿童问题，为县委、县政府决策提供依据，提出建议</w:t>
      </w:r>
      <w:r>
        <w:rPr>
          <w:rFonts w:hint="eastAsia" w:eastAsia="仿宋_GB2312"/>
          <w:sz w:val="32"/>
          <w:szCs w:val="32"/>
          <w:lang w:eastAsia="zh-CN"/>
        </w:rPr>
        <w:t>。</w:t>
      </w:r>
    </w:p>
    <w:p>
      <w:pPr>
        <w:spacing w:line="600" w:lineRule="exact"/>
        <w:ind w:firstLine="640" w:firstLineChars="200"/>
        <w:jc w:val="left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（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hint="eastAsia" w:eastAsia="仿宋_GB2312"/>
          <w:sz w:val="32"/>
          <w:szCs w:val="32"/>
          <w:lang w:eastAsia="zh-CN"/>
        </w:rPr>
        <w:t>）</w:t>
      </w:r>
      <w:r>
        <w:rPr>
          <w:rFonts w:hint="eastAsia" w:eastAsia="仿宋_GB2312"/>
          <w:sz w:val="32"/>
          <w:szCs w:val="32"/>
        </w:rPr>
        <w:t>加强城乡基层妇女组织建设，扩大组织网络，拓宽工作领域</w:t>
      </w:r>
      <w:r>
        <w:rPr>
          <w:rFonts w:hint="eastAsia" w:eastAsia="仿宋_GB2312"/>
          <w:sz w:val="32"/>
          <w:szCs w:val="32"/>
          <w:lang w:eastAsia="zh-CN"/>
        </w:rPr>
        <w:t>。</w:t>
      </w:r>
    </w:p>
    <w:p>
      <w:pPr>
        <w:spacing w:line="600" w:lineRule="exact"/>
        <w:ind w:firstLine="640" w:firstLineChars="200"/>
        <w:jc w:val="left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（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hint="eastAsia" w:eastAsia="仿宋_GB2312"/>
          <w:sz w:val="32"/>
          <w:szCs w:val="32"/>
          <w:lang w:eastAsia="zh-CN"/>
        </w:rPr>
        <w:t>）</w:t>
      </w:r>
      <w:r>
        <w:rPr>
          <w:rFonts w:hint="eastAsia" w:eastAsia="仿宋_GB2312"/>
          <w:sz w:val="32"/>
          <w:szCs w:val="32"/>
        </w:rPr>
        <w:t>负责与社会各界各族妇女的联络，与民主党派、工商联和团体会员之间的联系，开展有关的联谊</w:t>
      </w:r>
      <w:r>
        <w:rPr>
          <w:rFonts w:hint="eastAsia" w:eastAsia="仿宋_GB2312"/>
          <w:sz w:val="32"/>
          <w:szCs w:val="32"/>
          <w:lang w:eastAsia="zh-CN"/>
        </w:rPr>
        <w:t>。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（</w:t>
      </w:r>
      <w:r>
        <w:rPr>
          <w:rFonts w:hint="eastAsia" w:eastAsia="仿宋_GB2312"/>
          <w:sz w:val="32"/>
          <w:szCs w:val="32"/>
          <w:lang w:val="en-US" w:eastAsia="zh-CN"/>
        </w:rPr>
        <w:t>7</w:t>
      </w:r>
      <w:r>
        <w:rPr>
          <w:rFonts w:hint="eastAsia" w:eastAsia="仿宋_GB2312"/>
          <w:sz w:val="32"/>
          <w:szCs w:val="32"/>
          <w:lang w:eastAsia="zh-CN"/>
        </w:rPr>
        <w:t>）</w:t>
      </w:r>
      <w:r>
        <w:rPr>
          <w:rFonts w:hint="eastAsia" w:eastAsia="仿宋_GB2312"/>
          <w:sz w:val="32"/>
          <w:szCs w:val="32"/>
        </w:rPr>
        <w:t>承办县委、县政府交办的其他事项。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left"/>
        <w:textAlignment w:val="auto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（二）部门（单位）年度整体支出绩效目标，省级专项资金绩效目标、其他项目支出（除省级专项资金以外）绩效目标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left"/>
        <w:textAlignment w:val="auto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年度总体支出绩效目标：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left"/>
        <w:textAlignment w:val="auto"/>
        <w:rPr>
          <w:rFonts w:hint="default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目标1：深化思想引领，凝聚妇女人才。县妇联立足引领、服务、联系的职能，积极担起“举旗帜、聚民心、育新人、兴文化、展形象”的使命，进一步强化新时代妇女思想引领工作，推动道县妇女儿童事业和妇联工作高质量发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left"/>
        <w:textAlignment w:val="auto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目标2：深化巾帼建功，助力妇女创新。聚焦聚力服务妇女创业创新发展,紧扣妇女发展工作主题、紧贴妇女发展实际,助力妇女创业就业,团结引领全县广大妇女在助力道县高质量发展中作出新贡献。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left"/>
        <w:textAlignment w:val="auto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目标3：深化关爱维权，保障妇儿权益。县妇联以维护好妇女儿童合法权益为导向，强化源头维权意识，不断完善妇女维权阵地建设，凝聚共治合力，开展普法宣传、婚姻家庭矛盾纠纷调解、妇儿关爱等工作，推动维权关爱做在平常、抓在经常、落到基层，以家庭“小平安”促进社会“大平安”，为平安道县建设贡献巾帼之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left"/>
        <w:textAlignment w:val="auto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目标4：深化家庭建设，弘扬家庭文明。县妇联坚持以习近平新时代中国特色社会主义思想为指导，深入学习宣传贯彻党的二十大精神，积极围绕家庭文明建设、家庭教育指导、家庭关爱服务等方面开展了一系列丰富多彩、扎实有效的工作,为促进家庭和谐、社会稳定贡献了巾帼力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left"/>
        <w:textAlignment w:val="auto"/>
        <w:rPr>
          <w:rFonts w:hint="eastAsia" w:eastAsia="仿宋_GB2312"/>
          <w:color w:val="000000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目标5：深化党建带妇建，推动妇联组织建设。深入贯彻习近平总书记关于“加大在新经济组织、新社会组织、新就业群体等新领域建立妇联组织的力度,实现全覆盖”的重要指示精神,坚持党建带妇建,深化妇联组织建设改革,大力实施“三新”领域妇联组织建设。</w:t>
      </w:r>
    </w:p>
    <w:p>
      <w:pPr>
        <w:pStyle w:val="5"/>
        <w:numPr>
          <w:ilvl w:val="0"/>
          <w:numId w:val="1"/>
        </w:numPr>
        <w:spacing w:line="570" w:lineRule="exact"/>
        <w:ind w:firstLine="64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一般公共预算支出情况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2025年县妇女联合会财政拨款支出124.07万元，其中：基本支出89.63万元，项目支出34.44万元。</w:t>
      </w:r>
    </w:p>
    <w:p>
      <w:pPr>
        <w:pStyle w:val="5"/>
        <w:spacing w:line="57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（一）基本支出情况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（1）基本支出89.63元，其中：人员经费80.3万元，占基本支出的89.6%，主要包括：基本工资、津贴补贴、奖金、机关事业单位基本养老保险缴费、职工基本医疗保险缴费、生活补助。公用经费9.33万元，占基本支出的10.4%，主要包括：办公费、印刷费、水费、电费、邮电费、差旅费、会议费、培训费、公务接待费、专用材料费、劳务费、工会经费、福利费、其他交通费用。</w:t>
      </w:r>
    </w:p>
    <w:p>
      <w:pPr>
        <w:pStyle w:val="6"/>
        <w:spacing w:line="60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）202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年“三公”经费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：无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pStyle w:val="5"/>
        <w:spacing w:line="57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年为更好地贯彻落实中央厉行节约的有关规定，财务管理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紧张，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年度内“三公”经费预算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万元，202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年实际支出是0万元，万元，“三公”经费得到有效控制。</w:t>
      </w:r>
    </w:p>
    <w:p>
      <w:pPr>
        <w:pStyle w:val="5"/>
        <w:spacing w:line="57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（二）项目支出情况</w:t>
      </w:r>
    </w:p>
    <w:p>
      <w:pPr>
        <w:pStyle w:val="5"/>
        <w:spacing w:line="570" w:lineRule="exact"/>
        <w:ind w:firstLine="640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项目支出34.44万元，其中：</w:t>
      </w:r>
    </w:p>
    <w:p>
      <w:pPr>
        <w:pStyle w:val="5"/>
        <w:numPr>
          <w:ilvl w:val="0"/>
          <w:numId w:val="2"/>
        </w:numPr>
        <w:spacing w:line="570" w:lineRule="exact"/>
        <w:ind w:firstLine="640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重点民生实事家庭教育指导服:3.8万元。</w:t>
      </w:r>
    </w:p>
    <w:p>
      <w:pPr>
        <w:pStyle w:val="5"/>
        <w:numPr>
          <w:ilvl w:val="0"/>
          <w:numId w:val="2"/>
        </w:numPr>
        <w:spacing w:line="57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婚姻家庭矛盾纠纷化解支出4.6万元。</w:t>
      </w:r>
    </w:p>
    <w:p>
      <w:pPr>
        <w:pStyle w:val="5"/>
        <w:numPr>
          <w:ilvl w:val="0"/>
          <w:numId w:val="2"/>
        </w:numPr>
        <w:spacing w:line="57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2025年春节走访困难妇女儿童支出9.04万元。</w:t>
      </w:r>
    </w:p>
    <w:p>
      <w:pPr>
        <w:pStyle w:val="5"/>
        <w:numPr>
          <w:ilvl w:val="0"/>
          <w:numId w:val="2"/>
        </w:numPr>
        <w:spacing w:line="57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2025年全年活动开展经费17万元。</w:t>
      </w:r>
    </w:p>
    <w:p>
      <w:pPr>
        <w:pStyle w:val="5"/>
        <w:numPr>
          <w:ilvl w:val="0"/>
          <w:numId w:val="1"/>
        </w:numPr>
        <w:spacing w:line="570" w:lineRule="exact"/>
        <w:ind w:left="0" w:leftChars="0" w:firstLine="640" w:firstLineChars="200"/>
        <w:rPr>
          <w:rFonts w:hint="eastAsia"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政府性基金预算支出情况</w:t>
      </w:r>
      <w:r>
        <w:rPr>
          <w:rFonts w:hint="eastAsia" w:ascii="Times New Roman" w:hAnsi="Times New Roman" w:eastAsia="黑体"/>
          <w:sz w:val="32"/>
          <w:szCs w:val="32"/>
        </w:rPr>
        <w:t>。</w:t>
      </w:r>
    </w:p>
    <w:p>
      <w:pPr>
        <w:pStyle w:val="4"/>
        <w:widowControl/>
        <w:spacing w:line="600" w:lineRule="exact"/>
        <w:ind w:left="640" w:firstLine="0" w:firstLineChars="0"/>
        <w:jc w:val="left"/>
        <w:rPr>
          <w:rFonts w:hint="eastAsia" w:ascii="Times New Roman" w:hAnsi="Times New Roman" w:eastAsia="黑体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我单位</w:t>
      </w:r>
      <w:r>
        <w:rPr>
          <w:rFonts w:hint="eastAsia" w:ascii="仿宋" w:hAnsi="仿宋" w:eastAsia="仿宋"/>
          <w:color w:val="000000"/>
          <w:sz w:val="32"/>
          <w:szCs w:val="32"/>
        </w:rPr>
        <w:t>无</w:t>
      </w:r>
      <w:r>
        <w:rPr>
          <w:rFonts w:ascii="仿宋" w:hAnsi="仿宋" w:eastAsia="仿宋"/>
          <w:color w:val="000000"/>
          <w:sz w:val="32"/>
          <w:szCs w:val="32"/>
        </w:rPr>
        <w:t>政府性基金</w:t>
      </w:r>
      <w:r>
        <w:rPr>
          <w:rFonts w:hint="eastAsia" w:ascii="仿宋" w:hAnsi="仿宋" w:eastAsia="仿宋"/>
          <w:color w:val="000000"/>
          <w:sz w:val="32"/>
          <w:szCs w:val="32"/>
        </w:rPr>
        <w:t>预算支出情况。</w:t>
      </w:r>
    </w:p>
    <w:p>
      <w:pPr>
        <w:pStyle w:val="5"/>
        <w:numPr>
          <w:ilvl w:val="0"/>
          <w:numId w:val="0"/>
        </w:numPr>
        <w:spacing w:line="570" w:lineRule="exact"/>
        <w:ind w:firstLine="640" w:firstLineChars="200"/>
        <w:rPr>
          <w:rFonts w:hint="eastAsia"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四、国有资本经营预算支出情况</w:t>
      </w:r>
      <w:r>
        <w:rPr>
          <w:rFonts w:hint="eastAsia" w:ascii="Times New Roman" w:hAnsi="Times New Roman" w:eastAsia="黑体"/>
          <w:sz w:val="32"/>
          <w:szCs w:val="32"/>
        </w:rPr>
        <w:t>。</w:t>
      </w:r>
    </w:p>
    <w:p>
      <w:pPr>
        <w:pStyle w:val="5"/>
        <w:numPr>
          <w:ilvl w:val="0"/>
          <w:numId w:val="0"/>
        </w:numPr>
        <w:spacing w:line="570" w:lineRule="exact"/>
        <w:ind w:leftChars="200" w:firstLine="320" w:firstLineChars="100"/>
        <w:rPr>
          <w:rFonts w:hint="eastAsia" w:ascii="Times New Roman" w:hAnsi="Times New Roman" w:eastAsia="黑体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我单位</w:t>
      </w:r>
      <w:r>
        <w:rPr>
          <w:rFonts w:ascii="仿宋" w:hAnsi="仿宋" w:eastAsia="仿宋"/>
          <w:color w:val="000000"/>
          <w:sz w:val="32"/>
          <w:szCs w:val="32"/>
        </w:rPr>
        <w:t>无</w:t>
      </w:r>
      <w:r>
        <w:rPr>
          <w:rFonts w:hint="eastAsia" w:ascii="仿宋" w:hAnsi="仿宋" w:eastAsia="仿宋"/>
          <w:color w:val="000000"/>
          <w:sz w:val="32"/>
          <w:szCs w:val="32"/>
        </w:rPr>
        <w:t>国有资本经营预算支出情况。</w:t>
      </w:r>
    </w:p>
    <w:p>
      <w:pPr>
        <w:pStyle w:val="5"/>
        <w:spacing w:line="570" w:lineRule="exact"/>
        <w:ind w:firstLine="640"/>
        <w:rPr>
          <w:rFonts w:hint="eastAsia"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五、社会保险基金预算支出情况</w:t>
      </w:r>
      <w:r>
        <w:rPr>
          <w:rFonts w:hint="eastAsia" w:ascii="Times New Roman" w:hAnsi="Times New Roman" w:eastAsia="黑体"/>
          <w:sz w:val="32"/>
          <w:szCs w:val="32"/>
        </w:rPr>
        <w:t>。</w:t>
      </w:r>
    </w:p>
    <w:p>
      <w:pPr>
        <w:pStyle w:val="5"/>
        <w:spacing w:line="570" w:lineRule="exact"/>
        <w:ind w:firstLine="640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我单位无社会保险基金预算支出情况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。</w:t>
      </w:r>
    </w:p>
    <w:p>
      <w:pPr>
        <w:spacing w:line="57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六、部门整体支出绩效情况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b/>
          <w:bCs/>
          <w:color w:val="0C0C0C"/>
          <w:sz w:val="32"/>
          <w:szCs w:val="32"/>
          <w:shd w:val="clear" w:color="auto" w:fill="FFFFFF"/>
        </w:rPr>
        <w:t>深化思想引领，凝聚妇女人心。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持续开展“巾帼大宣讲”活动，覆盖人群</w:t>
      </w:r>
      <w:r>
        <w:rPr>
          <w:rFonts w:hint="default" w:ascii="仿宋" w:hAnsi="仿宋" w:eastAsia="仿宋" w:cs="仿宋"/>
          <w:color w:val="0C0C0C"/>
          <w:sz w:val="32"/>
          <w:szCs w:val="32"/>
          <w:lang w:val="en-US"/>
        </w:rPr>
        <w:t>600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0余人</w:t>
      </w:r>
      <w:r>
        <w:rPr>
          <w:rFonts w:hint="eastAsia" w:ascii="仿宋" w:hAnsi="仿宋" w:eastAsia="仿宋" w:cs="仿宋"/>
          <w:color w:val="0C0C0C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加强“道州女性”微信公众号建设，发文1</w:t>
      </w:r>
      <w:r>
        <w:rPr>
          <w:rFonts w:hint="default" w:ascii="仿宋" w:hAnsi="仿宋" w:eastAsia="仿宋" w:cs="仿宋"/>
          <w:color w:val="0C0C0C"/>
          <w:sz w:val="32"/>
          <w:szCs w:val="32"/>
          <w:lang w:val="en-US"/>
        </w:rPr>
        <w:t>56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篇，在市级以上媒体发表新闻信息17篇。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C0C0C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C0C0C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b/>
          <w:bCs/>
          <w:color w:val="0C0C0C"/>
          <w:sz w:val="32"/>
          <w:szCs w:val="32"/>
          <w:shd w:val="clear" w:color="auto" w:fill="FFFFFF"/>
        </w:rPr>
        <w:t>深化巾帼建功，助力妇女创新。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召开2024年庆“三八”暨“建功新时代 巾帼绽芳华”表扬宣传大会，</w:t>
      </w:r>
      <w:r>
        <w:rPr>
          <w:rFonts w:hint="eastAsia" w:ascii="仿宋" w:hAnsi="仿宋" w:eastAsia="仿宋" w:cs="仿宋"/>
          <w:color w:val="0C0C0C"/>
          <w:sz w:val="32"/>
          <w:szCs w:val="32"/>
          <w:shd w:val="clear" w:color="auto" w:fill="FFFFFF"/>
        </w:rPr>
        <w:t>表扬“三八红旗手”10人、“三八红旗集体”10个、“妇女儿童工作先进个人”10人、“妇女儿童工作先进集体”12个、“维权工作先进集体”10个、“最美家庭”10户、“书香家庭”10户、“绿色家庭示范户”10户、“巾帼文明岗”5个、“巾帼创业基地”5个、“巾帼建功标兵”6人、“巾帼建功先进集体”6个、“巾帼志愿者先进个人”18人</w:t>
      </w:r>
      <w:r>
        <w:rPr>
          <w:rFonts w:hint="eastAsia" w:ascii="仿宋" w:hAnsi="仿宋" w:eastAsia="仿宋" w:cs="仿宋"/>
          <w:color w:val="0C0C0C"/>
          <w:sz w:val="32"/>
          <w:szCs w:val="32"/>
          <w:shd w:val="clear" w:color="auto" w:fill="FFFFFF"/>
          <w:lang w:eastAsia="zh-CN"/>
        </w:rPr>
        <w:t>；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发挥巾帼志愿者作用，</w:t>
      </w:r>
      <w:r>
        <w:rPr>
          <w:rFonts w:hint="eastAsia" w:ascii="仿宋" w:hAnsi="仿宋" w:eastAsia="仿宋" w:cs="仿宋"/>
          <w:color w:val="0C0C0C"/>
          <w:sz w:val="32"/>
          <w:szCs w:val="32"/>
          <w:lang w:eastAsia="zh-CN"/>
        </w:rPr>
        <w:t>组织各类志愿服务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活动90余场次。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color w:val="0C0C0C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C0C0C"/>
          <w:sz w:val="32"/>
          <w:szCs w:val="32"/>
          <w:shd w:val="clear" w:color="auto" w:fill="FFFFFF"/>
          <w:lang w:val="en-US" w:eastAsia="zh-CN"/>
        </w:rPr>
        <w:t>3.</w:t>
      </w:r>
      <w:r>
        <w:rPr>
          <w:rFonts w:hint="eastAsia" w:ascii="楷体_GB2312" w:hAnsi="楷体_GB2312" w:eastAsia="楷体_GB2312" w:cs="楷体_GB2312"/>
          <w:b/>
          <w:bCs/>
          <w:color w:val="0C0C0C"/>
          <w:sz w:val="32"/>
          <w:szCs w:val="32"/>
          <w:shd w:val="clear" w:color="auto" w:fill="FFFFFF"/>
        </w:rPr>
        <w:t>深化关爱维权，保障妇儿权益。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接待来访来电18例，县婚调中心127例，积极处理12345转接案例4例，调处率100%</w:t>
      </w:r>
      <w:r>
        <w:rPr>
          <w:rFonts w:hint="eastAsia" w:ascii="仿宋" w:hAnsi="仿宋" w:eastAsia="仿宋" w:cs="仿宋"/>
          <w:color w:val="0C0C0C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组织各级妇联开展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法治</w:t>
      </w:r>
      <w:r>
        <w:rPr>
          <w:rFonts w:hint="eastAsia" w:ascii="仿宋_GB2312" w:hAnsi="仿宋_GB2312" w:eastAsia="仿宋_GB2312" w:cs="仿宋_GB2312"/>
          <w:sz w:val="32"/>
          <w:szCs w:val="32"/>
        </w:rPr>
        <w:t>宣传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150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余</w:t>
      </w:r>
      <w:r>
        <w:rPr>
          <w:rFonts w:hint="eastAsia" w:ascii="仿宋_GB2312" w:hAnsi="仿宋_GB2312" w:eastAsia="仿宋_GB2312" w:cs="仿宋_GB2312"/>
          <w:sz w:val="32"/>
          <w:szCs w:val="32"/>
        </w:rPr>
        <w:t>场次，发放</w:t>
      </w:r>
      <w:r>
        <w:rPr>
          <w:rFonts w:hint="eastAsia" w:ascii="仿宋" w:hAnsi="仿宋" w:eastAsia="仿宋" w:cs="仿宋"/>
          <w:sz w:val="32"/>
          <w:szCs w:val="32"/>
        </w:rPr>
        <w:t>宣传手册</w:t>
      </w:r>
      <w:r>
        <w:rPr>
          <w:rFonts w:hint="default" w:ascii="仿宋" w:hAnsi="仿宋" w:eastAsia="仿宋" w:cs="仿宋"/>
          <w:sz w:val="32"/>
          <w:szCs w:val="32"/>
          <w:lang w:val="en-US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0000余份</w:t>
      </w:r>
      <w:r>
        <w:rPr>
          <w:rFonts w:hint="eastAsia" w:ascii="仿宋" w:hAnsi="仿宋" w:eastAsia="仿宋" w:cs="仿宋"/>
          <w:color w:val="0C0C0C"/>
          <w:kern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color w:val="0C0C0C"/>
          <w:sz w:val="32"/>
          <w:szCs w:val="32"/>
          <w:shd w:val="clear" w:color="auto" w:fill="FFFFFF"/>
        </w:rPr>
        <w:t>开展“把爱带回家”2024寒假儿童关爱服务活动，走访慰问困境妇女儿童226人，发放慰问金90400元。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开展“利剑护蕾 守护花开”未成年人性教育公益课堂75场，8000余人参与活动；配合</w:t>
      </w:r>
      <w:r>
        <w:rPr>
          <w:rFonts w:hint="eastAsia" w:ascii="仿宋" w:hAnsi="仿宋" w:eastAsia="仿宋" w:cs="仿宋"/>
          <w:color w:val="0C0C0C"/>
          <w:sz w:val="32"/>
          <w:szCs w:val="32"/>
          <w:lang w:eastAsia="zh-CN"/>
        </w:rPr>
        <w:t>公检法部门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陪同询问12次，心理疏导12人；在寿雁镇高枧村设立“利剑护蕾”普法宣传点，常态化开展普法宣传活动；开展“出手吧姐姐 温暖2024”募捐活动，募得善款131488.67元</w:t>
      </w:r>
      <w:r>
        <w:rPr>
          <w:rFonts w:hint="eastAsia" w:ascii="仿宋" w:hAnsi="仿宋" w:eastAsia="仿宋" w:cs="仿宋"/>
          <w:color w:val="0C0C0C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为我县12011名农村和城镇低保适龄妇女提提供“两癌”免费检查服务，救助“两癌”妇女17名，共发放救助金17万元。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color w:val="0C0C0C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color w:val="0C0C0C"/>
          <w:sz w:val="32"/>
          <w:szCs w:val="32"/>
          <w:shd w:val="clear" w:color="auto" w:fill="FFFFFF"/>
          <w:lang w:val="en-US" w:eastAsia="zh-CN"/>
        </w:rPr>
        <w:t>4.</w:t>
      </w:r>
      <w:r>
        <w:rPr>
          <w:rFonts w:hint="eastAsia" w:ascii="楷体_GB2312" w:hAnsi="楷体_GB2312" w:eastAsia="楷体_GB2312" w:cs="楷体_GB2312"/>
          <w:b/>
          <w:bCs/>
          <w:color w:val="0C0C0C"/>
          <w:sz w:val="32"/>
          <w:szCs w:val="32"/>
          <w:shd w:val="clear" w:color="auto" w:fill="FFFFFF"/>
        </w:rPr>
        <w:t>深化家庭建设，弘扬家庭文明。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color w:val="0C0C0C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color w:val="0C0C0C"/>
          <w:sz w:val="32"/>
          <w:szCs w:val="32"/>
          <w:lang w:eastAsia="zh-CN"/>
        </w:rPr>
        <w:t>选树</w:t>
      </w:r>
      <w:r>
        <w:rPr>
          <w:rFonts w:hint="eastAsia" w:ascii="仿宋" w:hAnsi="仿宋" w:eastAsia="仿宋" w:cs="仿宋"/>
          <w:b w:val="0"/>
          <w:bCs w:val="0"/>
          <w:color w:val="0C0C0C"/>
          <w:sz w:val="32"/>
          <w:szCs w:val="32"/>
          <w:shd w:val="clear" w:color="auto" w:fill="FFFFFF"/>
        </w:rPr>
        <w:t>“最美家庭”10户、“书香家庭”10户、“绿色家庭示范户”10户</w:t>
      </w:r>
      <w:r>
        <w:rPr>
          <w:rFonts w:hint="eastAsia" w:ascii="仿宋" w:hAnsi="仿宋" w:eastAsia="仿宋" w:cs="仿宋"/>
          <w:b w:val="0"/>
          <w:bCs w:val="0"/>
          <w:color w:val="0C0C0C"/>
          <w:sz w:val="32"/>
          <w:szCs w:val="32"/>
          <w:shd w:val="clear" w:color="auto" w:fill="FFFFFF"/>
          <w:lang w:eastAsia="zh-CN"/>
        </w:rPr>
        <w:t>；</w:t>
      </w:r>
      <w:r>
        <w:rPr>
          <w:rFonts w:hint="eastAsia" w:ascii="仿宋" w:hAnsi="仿宋" w:eastAsia="仿宋" w:cs="仿宋"/>
          <w:b w:val="0"/>
          <w:bCs w:val="0"/>
          <w:color w:val="0C0C0C"/>
          <w:sz w:val="32"/>
          <w:szCs w:val="32"/>
          <w:lang w:eastAsia="zh-CN"/>
        </w:rPr>
        <w:t>启动家</w:t>
      </w:r>
      <w:r>
        <w:rPr>
          <w:rFonts w:hint="eastAsia" w:ascii="仿宋" w:hAnsi="仿宋" w:eastAsia="仿宋" w:cs="仿宋"/>
          <w:b w:val="0"/>
          <w:bCs w:val="0"/>
          <w:color w:val="0C0C0C"/>
          <w:sz w:val="32"/>
          <w:szCs w:val="32"/>
        </w:rPr>
        <w:t>庭教育“向阳花”行动</w:t>
      </w:r>
      <w:r>
        <w:rPr>
          <w:rFonts w:hint="eastAsia" w:ascii="仿宋" w:hAnsi="仿宋" w:eastAsia="仿宋" w:cs="仿宋"/>
          <w:b/>
          <w:bCs/>
          <w:color w:val="0C0C0C"/>
          <w:sz w:val="32"/>
          <w:szCs w:val="32"/>
        </w:rPr>
        <w:t>。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开展家庭教育专场讲座70场，线下线上惠及家长16596人。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color w:val="0C0C0C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color w:val="0C0C0C"/>
          <w:sz w:val="32"/>
          <w:szCs w:val="32"/>
          <w:shd w:val="clear" w:color="auto" w:fill="FFFFFF"/>
          <w:lang w:val="en-US" w:eastAsia="zh-CN"/>
        </w:rPr>
        <w:t>5.</w:t>
      </w:r>
      <w:r>
        <w:rPr>
          <w:rFonts w:hint="eastAsia" w:ascii="楷体_GB2312" w:hAnsi="楷体_GB2312" w:eastAsia="楷体_GB2312" w:cs="楷体_GB2312"/>
          <w:b/>
          <w:bCs/>
          <w:color w:val="0C0C0C"/>
          <w:sz w:val="32"/>
          <w:szCs w:val="32"/>
          <w:shd w:val="clear" w:color="auto" w:fill="FFFFFF"/>
        </w:rPr>
        <w:t>深化党建带妇建，推动妇联组织建设</w:t>
      </w:r>
    </w:p>
    <w:p>
      <w:pPr>
        <w:snapToGrid w:val="0"/>
        <w:spacing w:line="52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仿宋" w:hAnsi="仿宋" w:eastAsia="仿宋" w:cs="仿宋"/>
          <w:color w:val="0C0C0C"/>
          <w:sz w:val="32"/>
          <w:szCs w:val="32"/>
        </w:rPr>
        <w:t>4月，迎接市妇联来道县开展“三新领域”妇联组织建设专题调研。10月，迎接省妇联来道县调研女性创业就业工作。</w:t>
      </w:r>
    </w:p>
    <w:p>
      <w:pPr>
        <w:pStyle w:val="5"/>
        <w:numPr>
          <w:ilvl w:val="0"/>
          <w:numId w:val="3"/>
        </w:numPr>
        <w:spacing w:line="570" w:lineRule="exact"/>
        <w:ind w:firstLine="64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存在的问题及原因分析</w:t>
      </w:r>
    </w:p>
    <w:p>
      <w:pPr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b/>
          <w:bCs/>
          <w:color w:val="0C0C0C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C0C0C"/>
          <w:sz w:val="32"/>
          <w:szCs w:val="32"/>
        </w:rPr>
        <w:t>（一）存在的主要问题</w:t>
      </w:r>
    </w:p>
    <w:p>
      <w:pPr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color w:val="0C0C0C"/>
          <w:sz w:val="32"/>
          <w:szCs w:val="32"/>
        </w:rPr>
      </w:pPr>
      <w:r>
        <w:rPr>
          <w:rFonts w:hint="eastAsia" w:ascii="仿宋" w:hAnsi="仿宋" w:eastAsia="仿宋" w:cs="仿宋"/>
          <w:color w:val="0C0C0C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预算编制精细化不足：部分项目预算编制前瞻性、精准性不够，对项目实施过程中可能出现的变数预估不足，导致个别项目预算与实际支出存在小幅偏差。</w:t>
      </w:r>
    </w:p>
    <w:p>
      <w:pPr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color w:val="0C0C0C"/>
          <w:sz w:val="32"/>
          <w:szCs w:val="32"/>
        </w:rPr>
      </w:pPr>
      <w:r>
        <w:rPr>
          <w:rFonts w:hint="eastAsia" w:ascii="仿宋" w:hAnsi="仿宋" w:eastAsia="仿宋" w:cs="仿宋"/>
          <w:color w:val="0C0C0C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基层工作力量薄弱：乡镇（街道）、村（社区）妇联干部多为兼职，精力分散，业务能力参差不齐，部分基层妇联组织活动开展频次、质量有待提升。</w:t>
      </w:r>
    </w:p>
    <w:p>
      <w:pPr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color w:val="0C0C0C"/>
          <w:sz w:val="32"/>
          <w:szCs w:val="32"/>
        </w:rPr>
      </w:pPr>
      <w:r>
        <w:rPr>
          <w:rFonts w:hint="eastAsia" w:ascii="仿宋" w:hAnsi="仿宋" w:eastAsia="仿宋" w:cs="仿宋"/>
          <w:color w:val="0C0C0C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项目资金效益挖掘不充分：部分项目资金规模较小，覆盖面有限，如家庭教育指导、维权服务等项目，受资金限制，服务深度、广度不足，效益未能充分发挥。</w:t>
      </w:r>
    </w:p>
    <w:p>
      <w:pPr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color w:val="0C0C0C"/>
          <w:sz w:val="32"/>
          <w:szCs w:val="32"/>
        </w:rPr>
      </w:pPr>
      <w:r>
        <w:rPr>
          <w:rFonts w:hint="eastAsia" w:ascii="仿宋" w:hAnsi="仿宋" w:eastAsia="仿宋" w:cs="仿宋"/>
          <w:color w:val="0C0C0C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绩效管理意识有待加强：部分股室对绩效管理重视程度不够，绩效目标设定、过程监控、成效总结等环节精细化程度不足，绩效管理与业务工作融合不够紧密。</w:t>
      </w:r>
    </w:p>
    <w:p>
      <w:pPr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b/>
          <w:bCs/>
          <w:color w:val="0C0C0C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C0C0C"/>
          <w:sz w:val="32"/>
          <w:szCs w:val="32"/>
        </w:rPr>
        <w:t>（二）原因分析</w:t>
      </w:r>
    </w:p>
    <w:p>
      <w:pPr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color w:val="0C0C0C"/>
          <w:sz w:val="32"/>
          <w:szCs w:val="32"/>
        </w:rPr>
      </w:pPr>
      <w:r>
        <w:rPr>
          <w:rFonts w:hint="eastAsia" w:ascii="仿宋" w:hAnsi="仿宋" w:eastAsia="仿宋" w:cs="仿宋"/>
          <w:color w:val="0C0C0C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预算编制前调研论证不够深入，对年度工作重点、项目实施细节研判不全面，缺乏科学的数据分析支撑。</w:t>
      </w:r>
    </w:p>
    <w:p>
      <w:pPr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color w:val="0C0C0C"/>
          <w:sz w:val="32"/>
          <w:szCs w:val="32"/>
        </w:rPr>
      </w:pPr>
      <w:r>
        <w:rPr>
          <w:rFonts w:hint="eastAsia" w:ascii="仿宋" w:hAnsi="仿宋" w:eastAsia="仿宋" w:cs="仿宋"/>
          <w:color w:val="0C0C0C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基层妇联干部待遇保障、激励机制不完善，兼职干部履职积极性不高，业务培训针对性、实效性有待加强。</w:t>
      </w:r>
    </w:p>
    <w:p>
      <w:pPr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color w:val="0C0C0C"/>
          <w:sz w:val="32"/>
          <w:szCs w:val="32"/>
        </w:rPr>
      </w:pPr>
      <w:r>
        <w:rPr>
          <w:rFonts w:hint="eastAsia" w:ascii="仿宋" w:hAnsi="仿宋" w:eastAsia="仿宋" w:cs="仿宋"/>
          <w:color w:val="0C0C0C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妇女儿童事业发展资金来源单一，主要依赖财政投入，社会力量参与度不高，资金整合力度不足。</w:t>
      </w:r>
    </w:p>
    <w:p>
      <w:pPr>
        <w:snapToGrid w:val="0"/>
        <w:spacing w:line="52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仿宋" w:hAnsi="仿宋" w:eastAsia="仿宋" w:cs="仿宋"/>
          <w:color w:val="0C0C0C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绩效管理宣传培训不到位，干部职工绩效管理理念薄弱，未形成 “全员参与、全程管控、全面提升” 的绩效管理氛围。</w:t>
      </w:r>
    </w:p>
    <w:p>
      <w:pPr>
        <w:spacing w:line="57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八、下一步改进措施</w:t>
      </w:r>
    </w:p>
    <w:p>
      <w:pPr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color w:val="0C0C0C"/>
          <w:sz w:val="32"/>
          <w:szCs w:val="32"/>
        </w:rPr>
      </w:pPr>
      <w:r>
        <w:rPr>
          <w:rFonts w:hint="eastAsia" w:ascii="仿宋" w:hAnsi="仿宋" w:eastAsia="仿宋" w:cs="仿宋"/>
          <w:color w:val="0C0C0C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细化预算编制，强化资金管控：加强预算编制前期调研论证，结合年度工作重点、项目实际需求，精准测算资金规模，细化绩效指标；严格预算执行管控，定期分析预算执行情况，及时调整优化资金使用计划，提高资金使用效益。</w:t>
      </w:r>
    </w:p>
    <w:p>
      <w:pPr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color w:val="0C0C0C"/>
          <w:sz w:val="32"/>
          <w:szCs w:val="32"/>
        </w:rPr>
      </w:pPr>
      <w:r>
        <w:rPr>
          <w:rFonts w:hint="eastAsia" w:ascii="仿宋" w:hAnsi="仿宋" w:eastAsia="仿宋" w:cs="仿宋"/>
          <w:color w:val="0C0C0C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夯实基层基础，提升履职能力：推动基层妇联干部专职化、专业化建设，健全激励保障机制；加大基层妇联干部培训力度，开展业务实操、政策解读、能力提升等专题培训，提升基层组织履职服务能力。</w:t>
      </w:r>
    </w:p>
    <w:p>
      <w:pPr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color w:val="0C0C0C"/>
          <w:sz w:val="32"/>
          <w:szCs w:val="32"/>
        </w:rPr>
      </w:pPr>
      <w:r>
        <w:rPr>
          <w:rFonts w:hint="eastAsia" w:ascii="仿宋" w:hAnsi="仿宋" w:eastAsia="仿宋" w:cs="仿宋"/>
          <w:color w:val="0C0C0C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拓宽资金渠道，放大项目效益：积极争取上级专项资金支持，加大与企业、公益组织合作力度，引导社会资本参与妇女儿童事业发展；优化项目设计，整合资源、集中发力，扩大项目覆盖面，提升服务深度与质量。</w:t>
      </w:r>
    </w:p>
    <w:p>
      <w:pPr>
        <w:snapToGrid w:val="0"/>
        <w:spacing w:line="52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ascii="仿宋" w:hAnsi="仿宋" w:eastAsia="仿宋" w:cs="仿宋"/>
          <w:color w:val="0C0C0C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color w:val="0C0C0C"/>
          <w:sz w:val="32"/>
          <w:szCs w:val="32"/>
        </w:rPr>
        <w:t>强化绩效管理，提升工作质效：加强绩效管理宣传培训，提升全员绩效管理意识；完善绩效管理制度，将绩效管理贯穿项目立项、实施、验收全流程，强化绩效结果应用，推动绩效管理与业务工作深度融合。</w:t>
      </w:r>
    </w:p>
    <w:p>
      <w:pPr>
        <w:spacing w:line="57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九、部门整体支出绩效自评结果拟应用和公开情况</w:t>
      </w:r>
    </w:p>
    <w:p>
      <w:pPr>
        <w:widowControl/>
        <w:spacing w:line="600" w:lineRule="atLeast"/>
        <w:ind w:firstLine="640" w:firstLineChars="200"/>
        <w:rPr>
          <w:rFonts w:hint="eastAsia" w:eastAsia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本年度部门整体绩效自评分结果为97分。按规定时间内将2025年度整体部门支出绩效自评报告公开，并接受社会监督。</w:t>
      </w:r>
    </w:p>
    <w:p>
      <w:pPr>
        <w:numPr>
          <w:ilvl w:val="0"/>
          <w:numId w:val="4"/>
        </w:numPr>
        <w:spacing w:line="57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其他需要说明的情况</w:t>
      </w:r>
    </w:p>
    <w:p>
      <w:pPr>
        <w:widowControl/>
        <w:spacing w:line="60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无。</w:t>
      </w:r>
    </w:p>
    <w:p>
      <w:pPr>
        <w:ind w:firstLine="5120" w:firstLineChars="16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道县妇女联合会</w:t>
      </w:r>
    </w:p>
    <w:p>
      <w:pPr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                             2026年9月5日</w:t>
      </w:r>
    </w:p>
    <w:p>
      <w:bookmarkStart w:id="0" w:name="_GoBack"/>
      <w:bookmarkEnd w:id="0"/>
    </w:p>
    <w:sectPr>
      <w:pgSz w:w="11906" w:h="16838"/>
      <w:pgMar w:top="1417" w:right="1588" w:bottom="1417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1BDC71"/>
    <w:multiLevelType w:val="singleLevel"/>
    <w:tmpl w:val="241BDC71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6042688"/>
    <w:multiLevelType w:val="singleLevel"/>
    <w:tmpl w:val="56042688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6FA0535F"/>
    <w:multiLevelType w:val="singleLevel"/>
    <w:tmpl w:val="6FA0535F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0F69E21"/>
    <w:multiLevelType w:val="singleLevel"/>
    <w:tmpl w:val="70F69E2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7608AF"/>
    <w:rsid w:val="19AB2167"/>
    <w:rsid w:val="2FB24814"/>
    <w:rsid w:val="73760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2026-09-09T01:40:00Z</dcterms:created>
  <dc:creator>青果树</dc:creator>
  <cp:lastModifiedBy>蒋琼</cp:lastModifiedBy>
  <dcterms:modified xsi:type="dcterms:W3CDTF">2026-09-16T01:22:21Z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2052-11.8.2.12014</vt:lpwstr>
  </property>
  <property fmtid="{D5CDD505-2E9C-101B-9397-08002B2CF9AE}" pid="3" name="ICV">
    <vt:lpwstr>874D8EDB850F49268FD9DA28C7E8CCDF_11</vt:lpwstr>
  </property>
  <property fmtid="{D5CDD505-2E9C-101B-9397-08002B2CF9AE}" pid="4" name="KSOTemplateDocerSaveRecord">
    <vt:lpwstr>eyJoZGlkIjoiMTUxZTQ0NjQzNTJhODZjNTQxZmIwOGJhNTFmZjhiZTQiLCJ1c2VySWQiOiI1MzM4NDIyMjkifQ==</vt:lpwstr>
  </property>
</Properties>
</file>