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82B03">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34BFDB1">
      <w:pPr>
        <w:pStyle w:val="13"/>
        <w:jc w:val="center"/>
        <w:rPr>
          <w:rFonts w:ascii="Times New Roman" w:hAnsi="Times New Roman" w:cs="Times New Roman"/>
          <w:sz w:val="56"/>
          <w:szCs w:val="56"/>
        </w:rPr>
      </w:pPr>
    </w:p>
    <w:p w14:paraId="1E941C2A">
      <w:pPr>
        <w:pStyle w:val="13"/>
        <w:jc w:val="center"/>
        <w:rPr>
          <w:rFonts w:ascii="Times New Roman" w:hAnsi="Times New Roman" w:cs="Times New Roman"/>
          <w:sz w:val="84"/>
          <w:szCs w:val="84"/>
        </w:rPr>
      </w:pPr>
    </w:p>
    <w:p w14:paraId="17F6AA2D">
      <w:pPr>
        <w:pStyle w:val="13"/>
        <w:jc w:val="center"/>
        <w:rPr>
          <w:rFonts w:ascii="Times New Roman" w:hAnsi="Times New Roman" w:cs="Times New Roman"/>
          <w:sz w:val="84"/>
          <w:szCs w:val="84"/>
        </w:rPr>
      </w:pPr>
    </w:p>
    <w:p w14:paraId="5C31FF8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BD13999">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道县妇幼保健和计划生育服务中心</w:t>
      </w:r>
      <w:r>
        <w:rPr>
          <w:rFonts w:ascii="Times New Roman" w:hAnsi="Times New Roman" w:eastAsia="方正小标宋简体" w:cs="Times New Roman"/>
          <w:sz w:val="72"/>
          <w:szCs w:val="72"/>
        </w:rPr>
        <w:t>部门决算</w:t>
      </w:r>
    </w:p>
    <w:p w14:paraId="6C82CBDF">
      <w:pPr>
        <w:pStyle w:val="13"/>
        <w:jc w:val="center"/>
        <w:rPr>
          <w:rFonts w:ascii="Times New Roman" w:hAnsi="Times New Roman" w:eastAsia="方正小标宋_GBK" w:cs="Times New Roman"/>
          <w:sz w:val="56"/>
          <w:szCs w:val="56"/>
        </w:rPr>
      </w:pPr>
    </w:p>
    <w:p w14:paraId="5711A4D3">
      <w:pPr>
        <w:pStyle w:val="13"/>
        <w:jc w:val="center"/>
        <w:rPr>
          <w:rFonts w:ascii="Times New Roman" w:hAnsi="Times New Roman" w:cs="Times New Roman"/>
          <w:sz w:val="56"/>
          <w:szCs w:val="56"/>
        </w:rPr>
      </w:pPr>
    </w:p>
    <w:p w14:paraId="424FD62F">
      <w:pPr>
        <w:pStyle w:val="13"/>
        <w:rPr>
          <w:rFonts w:ascii="Times New Roman" w:hAnsi="Times New Roman" w:cs="Times New Roman"/>
          <w:sz w:val="56"/>
          <w:szCs w:val="56"/>
        </w:rPr>
      </w:pPr>
    </w:p>
    <w:p w14:paraId="78953A38">
      <w:pPr>
        <w:pStyle w:val="13"/>
        <w:jc w:val="center"/>
        <w:rPr>
          <w:rFonts w:ascii="Times New Roman" w:hAnsi="Times New Roman" w:cs="Times New Roman"/>
          <w:sz w:val="32"/>
          <w:szCs w:val="32"/>
        </w:rPr>
      </w:pPr>
    </w:p>
    <w:p w14:paraId="159D0433">
      <w:pPr>
        <w:pStyle w:val="13"/>
        <w:jc w:val="center"/>
        <w:rPr>
          <w:rFonts w:ascii="Times New Roman" w:hAnsi="Times New Roman" w:cs="Times New Roman"/>
          <w:sz w:val="32"/>
          <w:szCs w:val="32"/>
        </w:rPr>
      </w:pPr>
    </w:p>
    <w:p w14:paraId="6A237597">
      <w:pPr>
        <w:pStyle w:val="13"/>
        <w:jc w:val="center"/>
        <w:rPr>
          <w:rFonts w:ascii="Times New Roman" w:hAnsi="Times New Roman" w:cs="Times New Roman"/>
          <w:sz w:val="32"/>
          <w:szCs w:val="32"/>
        </w:rPr>
      </w:pPr>
    </w:p>
    <w:p w14:paraId="1FCE0DA8">
      <w:pPr>
        <w:pStyle w:val="13"/>
        <w:jc w:val="center"/>
        <w:rPr>
          <w:rFonts w:ascii="Times New Roman" w:hAnsi="Times New Roman" w:cs="Times New Roman"/>
          <w:sz w:val="32"/>
          <w:szCs w:val="32"/>
        </w:rPr>
      </w:pPr>
    </w:p>
    <w:p w14:paraId="481570B1">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6DE6EE1">
      <w:pPr>
        <w:pStyle w:val="13"/>
        <w:spacing w:line="600" w:lineRule="exact"/>
        <w:jc w:val="both"/>
        <w:rPr>
          <w:rFonts w:ascii="Times New Roman" w:hAnsi="Times New Roman" w:cs="Times New Roman"/>
          <w:b/>
          <w:sz w:val="36"/>
          <w:szCs w:val="28"/>
        </w:rPr>
      </w:pPr>
    </w:p>
    <w:p w14:paraId="46CEF4F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DE57FA8">
      <w:pPr>
        <w:pStyle w:val="13"/>
        <w:spacing w:line="600" w:lineRule="exact"/>
        <w:jc w:val="center"/>
        <w:rPr>
          <w:rFonts w:ascii="Times New Roman" w:hAnsi="Times New Roman" w:cs="Times New Roman"/>
          <w:b/>
          <w:sz w:val="36"/>
          <w:szCs w:val="28"/>
        </w:rPr>
      </w:pPr>
    </w:p>
    <w:p w14:paraId="55D8EE2C">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道县妇幼保健和计划生育服务中心</w:t>
      </w:r>
      <w:r>
        <w:rPr>
          <w:rFonts w:ascii="Times New Roman" w:hAnsi="Times New Roman" w:cs="Times New Roman"/>
          <w:bCs/>
          <w:sz w:val="32"/>
          <w:szCs w:val="32"/>
        </w:rPr>
        <w:t>概况</w:t>
      </w:r>
    </w:p>
    <w:p w14:paraId="3A90A7F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3F52A3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2961E6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A35221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16C4FE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8C9A28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806E9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A2BE4B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9E8338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B589E2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5928B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BE808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911D3A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9E3D88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C9F757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5D3B0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51852F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B57BB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94CED8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F15F7F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78760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E6AFC3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69843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4E4CD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83A4C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73FF48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DC533B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EC4F63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2B32C5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3411853">
      <w:pPr>
        <w:pStyle w:val="13"/>
        <w:spacing w:line="600" w:lineRule="exact"/>
        <w:rPr>
          <w:rFonts w:ascii="Times New Roman" w:hAnsi="Times New Roman" w:cs="Times New Roman"/>
          <w:bCs/>
          <w:sz w:val="28"/>
          <w:szCs w:val="28"/>
        </w:rPr>
      </w:pPr>
    </w:p>
    <w:p w14:paraId="3FA864C4">
      <w:pPr>
        <w:jc w:val="center"/>
        <w:rPr>
          <w:rFonts w:ascii="Times New Roman" w:hAnsi="Times New Roman" w:cs="Times New Roman"/>
          <w:sz w:val="72"/>
          <w:szCs w:val="72"/>
        </w:rPr>
      </w:pPr>
    </w:p>
    <w:p w14:paraId="5C16EC6B">
      <w:pPr>
        <w:jc w:val="center"/>
        <w:rPr>
          <w:rFonts w:ascii="Times New Roman" w:hAnsi="Times New Roman" w:cs="Times New Roman"/>
          <w:sz w:val="72"/>
          <w:szCs w:val="72"/>
        </w:rPr>
      </w:pPr>
    </w:p>
    <w:p w14:paraId="7E60090E">
      <w:pPr>
        <w:jc w:val="center"/>
        <w:rPr>
          <w:rFonts w:ascii="Times New Roman" w:hAnsi="Times New Roman" w:cs="Times New Roman"/>
          <w:sz w:val="72"/>
          <w:szCs w:val="72"/>
        </w:rPr>
      </w:pPr>
    </w:p>
    <w:p w14:paraId="59600EBD">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3029182">
      <w:pPr>
        <w:rPr>
          <w:rFonts w:ascii="Times New Roman" w:hAnsi="Times New Roman" w:eastAsia="方正小标宋_GBK" w:cs="Times New Roman"/>
          <w:sz w:val="72"/>
          <w:szCs w:val="72"/>
        </w:rPr>
      </w:pPr>
    </w:p>
    <w:p w14:paraId="3D7E44D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33D2F1B">
      <w:pPr>
        <w:pStyle w:val="13"/>
        <w:spacing w:line="360" w:lineRule="auto"/>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道县妇幼保健和计划生育服务中心</w:t>
      </w:r>
    </w:p>
    <w:p w14:paraId="48BDC91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186DED07">
      <w:pPr>
        <w:pStyle w:val="3"/>
        <w:ind w:left="0" w:leftChars="0" w:firstLine="0" w:firstLineChars="0"/>
        <w:rPr>
          <w:rFonts w:ascii="Times New Roman" w:hAnsi="Times New Roman" w:cs="Times New Roman"/>
        </w:rPr>
      </w:pPr>
    </w:p>
    <w:p w14:paraId="3ED8F125">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20E8945">
      <w:pPr>
        <w:pStyle w:val="1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主要工作职能是：医疗保健和医疗服务。主要工作任务及目标是：重点做好孕产妇系统管理、高危产妇筛查管理、控制孕产妇和五岁以下儿童死亡率、婚前医学检查、孕产妇艾滋病、梅毒和乙肝表面抗原检测、0-7岁儿童系统管理、乡镇妇产科医生和妇幼专干、村级保健员的培训等工作。继续开展农村妇女病查治工作，争取开展乳腺癌的筛查。加强婚前医学检查。规范妇产科住院部管理，不断提医疗水平与服务质量。</w:t>
      </w:r>
    </w:p>
    <w:p w14:paraId="387120F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AD70738">
      <w:pPr>
        <w:pStyle w:val="1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我单位是副科级全额拨款公共卫生一类单位，2015年11月与计生指导站合并，全院下设办公室（含保卫室）、总务科、财务科、医务科、护理部、院感科、保健部（含基层保健科、妇女保健科、儿童保健科）、计划生育服务部（含计划生育科、孕前优生健康检查科、婚前医学检查科）、门诊部（含门诊妇</w:t>
      </w:r>
      <w:r>
        <w:rPr>
          <w:rFonts w:hint="eastAsia" w:ascii="Times New Roman" w:hAnsi="Times New Roman" w:eastAsia="仿宋_GB2312" w:cs="Times New Roman"/>
          <w:sz w:val="32"/>
          <w:szCs w:val="32"/>
          <w:lang w:val="en-US" w:eastAsia="zh-CN"/>
        </w:rPr>
        <w:t>科、门诊</w:t>
      </w:r>
      <w:r>
        <w:rPr>
          <w:rFonts w:hint="eastAsia" w:ascii="Times New Roman" w:hAnsi="Times New Roman" w:eastAsia="仿宋_GB2312" w:cs="Times New Roman"/>
          <w:sz w:val="32"/>
          <w:szCs w:val="32"/>
        </w:rPr>
        <w:t>产科、内儿科、检验室、药剂科、超声科、门诊导诊、门诊输液室）、住院部（含麻醉科、手术室）、生殖科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体检科</w:t>
      </w:r>
      <w:r>
        <w:rPr>
          <w:rFonts w:hint="eastAsia" w:ascii="Times New Roman" w:hAnsi="Times New Roman" w:eastAsia="仿宋_GB2312" w:cs="Times New Roman"/>
          <w:sz w:val="32"/>
          <w:szCs w:val="32"/>
        </w:rPr>
        <w:t>。</w:t>
      </w:r>
    </w:p>
    <w:p w14:paraId="13041E68">
      <w:pPr>
        <w:pStyle w:val="1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人员情况</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rPr>
        <w:t>本单位现有在职工</w:t>
      </w:r>
      <w:r>
        <w:rPr>
          <w:rFonts w:hint="eastAsia" w:ascii="Times New Roman" w:hAnsi="Times New Roman" w:eastAsia="仿宋_GB2312" w:cs="Times New Roman"/>
          <w:sz w:val="32"/>
          <w:szCs w:val="32"/>
          <w:lang w:val="en-US" w:eastAsia="zh-CN"/>
        </w:rPr>
        <w:t>153</w:t>
      </w:r>
      <w:r>
        <w:rPr>
          <w:rFonts w:hint="eastAsia" w:ascii="Times New Roman" w:hAnsi="Times New Roman" w:eastAsia="仿宋_GB2312" w:cs="Times New Roman"/>
          <w:sz w:val="32"/>
          <w:szCs w:val="32"/>
        </w:rPr>
        <w:t>人，其中在编正式职工</w:t>
      </w:r>
      <w:r>
        <w:rPr>
          <w:rFonts w:hint="eastAsia" w:ascii="Times New Roman" w:hAnsi="Times New Roman" w:eastAsia="仿宋_GB2312" w:cs="Times New Roman"/>
          <w:sz w:val="32"/>
          <w:szCs w:val="32"/>
          <w:lang w:val="en-US" w:eastAsia="zh-CN"/>
        </w:rPr>
        <w:t>75</w:t>
      </w:r>
      <w:r>
        <w:rPr>
          <w:rFonts w:hint="eastAsia" w:ascii="Times New Roman" w:hAnsi="Times New Roman" w:eastAsia="仿宋_GB2312" w:cs="Times New Roman"/>
          <w:sz w:val="32"/>
          <w:szCs w:val="32"/>
        </w:rPr>
        <w:t>人，聘用人员</w:t>
      </w:r>
      <w:r>
        <w:rPr>
          <w:rFonts w:hint="eastAsia" w:ascii="Times New Roman" w:hAnsi="Times New Roman" w:eastAsia="仿宋_GB2312" w:cs="Times New Roman"/>
          <w:sz w:val="32"/>
          <w:szCs w:val="32"/>
          <w:lang w:val="en-US" w:eastAsia="zh-CN"/>
        </w:rPr>
        <w:t>78</w:t>
      </w:r>
      <w:r>
        <w:rPr>
          <w:rFonts w:hint="eastAsia" w:ascii="Times New Roman" w:hAnsi="Times New Roman" w:eastAsia="仿宋_GB2312" w:cs="Times New Roman"/>
          <w:sz w:val="32"/>
          <w:szCs w:val="32"/>
        </w:rPr>
        <w:t>人，退休职工</w:t>
      </w:r>
      <w:r>
        <w:rPr>
          <w:rFonts w:hint="eastAsia" w:ascii="Times New Roman" w:hAnsi="Times New Roman" w:eastAsia="仿宋_GB2312" w:cs="Times New Roman"/>
          <w:sz w:val="32"/>
          <w:szCs w:val="32"/>
          <w:lang w:val="en-US" w:eastAsia="zh-CN"/>
        </w:rPr>
        <w:t>65</w:t>
      </w:r>
      <w:r>
        <w:rPr>
          <w:rFonts w:hint="eastAsia" w:ascii="Times New Roman" w:hAnsi="Times New Roman" w:eastAsia="仿宋_GB2312" w:cs="Times New Roman"/>
          <w:sz w:val="32"/>
          <w:szCs w:val="32"/>
        </w:rPr>
        <w:t>人。</w:t>
      </w:r>
    </w:p>
    <w:p w14:paraId="7D77AF26">
      <w:pPr>
        <w:jc w:val="center"/>
        <w:rPr>
          <w:rFonts w:ascii="Times New Roman" w:hAnsi="Times New Roman" w:eastAsia="黑体" w:cs="Times New Roman"/>
          <w:sz w:val="28"/>
          <w:szCs w:val="28"/>
        </w:rPr>
      </w:pPr>
    </w:p>
    <w:p w14:paraId="4498CBEC">
      <w:pPr>
        <w:jc w:val="center"/>
        <w:rPr>
          <w:rFonts w:ascii="Times New Roman" w:hAnsi="Times New Roman" w:eastAsia="黑体" w:cs="Times New Roman"/>
          <w:sz w:val="28"/>
          <w:szCs w:val="28"/>
        </w:rPr>
      </w:pPr>
    </w:p>
    <w:p w14:paraId="4AAD48EF">
      <w:pPr>
        <w:jc w:val="center"/>
        <w:rPr>
          <w:rFonts w:ascii="Times New Roman" w:hAnsi="Times New Roman" w:eastAsia="黑体" w:cs="Times New Roman"/>
          <w:sz w:val="28"/>
          <w:szCs w:val="28"/>
        </w:rPr>
      </w:pPr>
    </w:p>
    <w:p w14:paraId="4D03EAEC">
      <w:pPr>
        <w:jc w:val="center"/>
        <w:rPr>
          <w:rFonts w:ascii="Times New Roman" w:hAnsi="Times New Roman" w:eastAsia="黑体" w:cs="Times New Roman"/>
          <w:sz w:val="28"/>
          <w:szCs w:val="28"/>
        </w:rPr>
      </w:pPr>
    </w:p>
    <w:p w14:paraId="6EE3E4C9">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D47D48A">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0D1A87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FBFDA1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62BF1E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1356A953">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F5E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A13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1ED855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90F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7E3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49D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756C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1393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D2B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CA275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7A3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436A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CE5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755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D4CB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957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2E7EA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D9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A80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B01E">
            <w:pPr>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4292.56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B526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A73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8C9D">
            <w:pPr>
              <w:jc w:val="right"/>
              <w:rPr>
                <w:rFonts w:ascii="Times New Roman" w:hAnsi="Times New Roman" w:eastAsia="仿宋_GB2312" w:cs="Times New Roman"/>
                <w:color w:val="000000"/>
                <w:sz w:val="22"/>
              </w:rPr>
            </w:pPr>
          </w:p>
        </w:tc>
      </w:tr>
      <w:tr w14:paraId="049767F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E11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DFC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C436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827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8A4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B5652">
            <w:pPr>
              <w:jc w:val="right"/>
              <w:rPr>
                <w:rFonts w:ascii="Times New Roman" w:hAnsi="Times New Roman" w:eastAsia="仿宋_GB2312" w:cs="Times New Roman"/>
                <w:color w:val="000000"/>
                <w:sz w:val="22"/>
              </w:rPr>
            </w:pPr>
          </w:p>
        </w:tc>
      </w:tr>
      <w:tr w14:paraId="639B5C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6A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566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000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0877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C20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B236">
            <w:pPr>
              <w:jc w:val="right"/>
              <w:rPr>
                <w:rFonts w:ascii="Times New Roman" w:hAnsi="Times New Roman" w:eastAsia="仿宋_GB2312" w:cs="Times New Roman"/>
                <w:color w:val="000000"/>
                <w:sz w:val="22"/>
              </w:rPr>
            </w:pPr>
          </w:p>
        </w:tc>
      </w:tr>
      <w:tr w14:paraId="44F5B6D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7696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7CD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D491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BA5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68B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45E5">
            <w:pPr>
              <w:jc w:val="right"/>
              <w:rPr>
                <w:rFonts w:ascii="Times New Roman" w:hAnsi="Times New Roman" w:eastAsia="仿宋_GB2312" w:cs="Times New Roman"/>
                <w:color w:val="000000"/>
                <w:sz w:val="22"/>
              </w:rPr>
            </w:pPr>
          </w:p>
        </w:tc>
      </w:tr>
      <w:tr w14:paraId="1F4856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A2F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C10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F989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55E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806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2EBC">
            <w:pPr>
              <w:jc w:val="right"/>
              <w:rPr>
                <w:rFonts w:ascii="Times New Roman" w:hAnsi="Times New Roman" w:eastAsia="仿宋_GB2312" w:cs="Times New Roman"/>
                <w:color w:val="000000"/>
                <w:sz w:val="22"/>
              </w:rPr>
            </w:pPr>
          </w:p>
        </w:tc>
      </w:tr>
      <w:tr w14:paraId="25ACEF2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083C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0A6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E52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901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B91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EFFA">
            <w:pPr>
              <w:jc w:val="right"/>
              <w:rPr>
                <w:rFonts w:ascii="Times New Roman" w:hAnsi="Times New Roman" w:eastAsia="仿宋_GB2312" w:cs="Times New Roman"/>
                <w:color w:val="000000"/>
                <w:sz w:val="22"/>
              </w:rPr>
            </w:pPr>
          </w:p>
        </w:tc>
      </w:tr>
      <w:tr w14:paraId="0595C7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F98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D96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E25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DE1C">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338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6476F">
            <w:pPr>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1.73</w:t>
            </w:r>
          </w:p>
        </w:tc>
      </w:tr>
      <w:tr w14:paraId="67798F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BAB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7DC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D9D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BEF13">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7F4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823B">
            <w:pPr>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4290.83</w:t>
            </w:r>
          </w:p>
        </w:tc>
      </w:tr>
      <w:tr w14:paraId="28C3656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B89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30B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3C1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D2A4">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782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17CA">
            <w:pPr>
              <w:rPr>
                <w:rFonts w:ascii="Times New Roman" w:hAnsi="Times New Roman" w:eastAsia="仿宋_GB2312" w:cs="Times New Roman"/>
                <w:b/>
                <w:color w:val="000000"/>
                <w:sz w:val="22"/>
              </w:rPr>
            </w:pPr>
          </w:p>
        </w:tc>
      </w:tr>
      <w:tr w14:paraId="249988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488A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302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3B30">
            <w:pPr>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4292.56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D2FB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A57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48B5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4292.56</w:t>
            </w:r>
          </w:p>
        </w:tc>
      </w:tr>
      <w:tr w14:paraId="2C2B78C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17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4BC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908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CC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D8D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C7C7">
            <w:pPr>
              <w:rPr>
                <w:rFonts w:ascii="Times New Roman" w:hAnsi="Times New Roman" w:eastAsia="仿宋_GB2312" w:cs="Times New Roman"/>
                <w:color w:val="000000"/>
                <w:sz w:val="22"/>
              </w:rPr>
            </w:pPr>
          </w:p>
        </w:tc>
      </w:tr>
      <w:tr w14:paraId="03C7DD6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C7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10E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F7C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444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358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3EE36">
            <w:pPr>
              <w:rPr>
                <w:rFonts w:ascii="Times New Roman" w:hAnsi="Times New Roman" w:eastAsia="仿宋_GB2312" w:cs="Times New Roman"/>
                <w:color w:val="000000"/>
                <w:sz w:val="22"/>
              </w:rPr>
            </w:pPr>
          </w:p>
        </w:tc>
      </w:tr>
      <w:tr w14:paraId="5FEB78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EC30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4B0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6340F">
            <w:pPr>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4292.56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B86A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303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9C96">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4292.56</w:t>
            </w:r>
          </w:p>
        </w:tc>
      </w:tr>
    </w:tbl>
    <w:p w14:paraId="1259FBC5">
      <w:pPr>
        <w:widowControl/>
        <w:jc w:val="left"/>
        <w:textAlignment w:val="center"/>
        <w:rPr>
          <w:rFonts w:ascii="Times New Roman" w:hAnsi="Times New Roman" w:eastAsia="宋体" w:cs="Times New Roman"/>
          <w:color w:val="000000"/>
          <w:kern w:val="0"/>
          <w:sz w:val="24"/>
          <w:szCs w:val="24"/>
          <w:lang w:bidi="ar"/>
        </w:rPr>
      </w:pPr>
    </w:p>
    <w:p w14:paraId="7246700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AFA8B1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2F4B730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81B665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3B8DE5B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88F4C0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89DF1C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278F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CD26A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D3BC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331B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E4505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006BA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E4A6D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23E09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9DAC448">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145A6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637C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2EF536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306F84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DC2BF7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63A21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5CE5C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EEA255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79E744C">
            <w:pPr>
              <w:rPr>
                <w:rFonts w:ascii="Times New Roman" w:hAnsi="Times New Roman" w:eastAsia="仿宋_GB2312" w:cs="Times New Roman"/>
                <w:sz w:val="24"/>
                <w:szCs w:val="24"/>
              </w:rPr>
            </w:pPr>
          </w:p>
        </w:tc>
      </w:tr>
      <w:tr w14:paraId="652BC60A">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15D9ABA2">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6D6EEE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22F71D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F4F8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29979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CB5599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4269A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86C3CB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2089CA7">
            <w:pPr>
              <w:rPr>
                <w:rFonts w:ascii="Times New Roman" w:hAnsi="Times New Roman" w:eastAsia="仿宋_GB2312" w:cs="Times New Roman"/>
                <w:sz w:val="24"/>
                <w:szCs w:val="24"/>
              </w:rPr>
            </w:pPr>
          </w:p>
        </w:tc>
      </w:tr>
      <w:tr w14:paraId="3C156AC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C31C1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F9BA6F">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6DFCA">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8491C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1BFE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5E2AE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1AF591">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EB65D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1EC94D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47F86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682C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4292.56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654A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4292.56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B9F5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0E99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2872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8D8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707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B43E0F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78996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75A1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0F4EA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4330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FD1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08E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A29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9B01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DA2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CDA454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23F17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2100403</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CB97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妇幼保健机构</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B08B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3971.03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5316A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3971.03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21E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76E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C1C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91D3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D99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E651D3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60CE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2100408</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2D5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基本公共卫生服务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41A59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C742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32212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224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2CAE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12E8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567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FF19A1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77140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DBA647">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FA80D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592F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6624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3A0F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9D8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82D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B10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5EA53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47F0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5F2AD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0B3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9C11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C21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A4C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C62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6C6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95EF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63435A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2DF3A1">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4436CD">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0324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6123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C17A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F23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57E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57EA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18F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C7F47A1">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119F7D9">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E65E45E">
      <w:pPr>
        <w:widowControl/>
        <w:jc w:val="center"/>
        <w:textAlignment w:val="center"/>
        <w:rPr>
          <w:rFonts w:ascii="Times New Roman" w:hAnsi="Times New Roman" w:eastAsia="黑体" w:cs="Times New Roman"/>
          <w:color w:val="000000"/>
          <w:kern w:val="0"/>
          <w:sz w:val="32"/>
          <w:szCs w:val="32"/>
          <w:lang w:bidi="ar"/>
        </w:rPr>
      </w:pPr>
    </w:p>
    <w:p w14:paraId="454F2EC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D2CB31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90F7F7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7" w:type="pct"/>
        <w:jc w:val="center"/>
        <w:tblLayout w:type="autofit"/>
        <w:tblCellMar>
          <w:top w:w="0" w:type="dxa"/>
          <w:left w:w="108" w:type="dxa"/>
          <w:bottom w:w="0" w:type="dxa"/>
          <w:right w:w="108" w:type="dxa"/>
        </w:tblCellMar>
      </w:tblPr>
      <w:tblGrid>
        <w:gridCol w:w="2331"/>
        <w:gridCol w:w="1976"/>
        <w:gridCol w:w="1785"/>
        <w:gridCol w:w="1242"/>
        <w:gridCol w:w="1243"/>
        <w:gridCol w:w="1786"/>
        <w:gridCol w:w="1243"/>
        <w:gridCol w:w="2605"/>
      </w:tblGrid>
      <w:tr w14:paraId="5DD77A15">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543F11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D7AFE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04818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87176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AF79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FF79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E3E22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2125AF1">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56FA2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03FD4B0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D9B6643">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922135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62CB400">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8303FC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133F747">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89BE820">
            <w:pPr>
              <w:widowControl/>
              <w:jc w:val="left"/>
              <w:rPr>
                <w:rFonts w:ascii="Times New Roman" w:hAnsi="Times New Roman" w:eastAsia="仿宋_GB2312" w:cs="Times New Roman"/>
                <w:b/>
                <w:bCs/>
                <w:kern w:val="0"/>
                <w:sz w:val="24"/>
                <w:szCs w:val="24"/>
              </w:rPr>
            </w:pPr>
          </w:p>
        </w:tc>
      </w:tr>
      <w:tr w14:paraId="42398AF1">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7ECCF345">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48179E23">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CA24F9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461705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F90A790">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E7A41B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F29B26">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6CAD8070">
            <w:pPr>
              <w:widowControl/>
              <w:jc w:val="left"/>
              <w:rPr>
                <w:rFonts w:ascii="Times New Roman" w:hAnsi="Times New Roman" w:eastAsia="仿宋_GB2312" w:cs="Times New Roman"/>
                <w:kern w:val="0"/>
                <w:sz w:val="24"/>
                <w:szCs w:val="24"/>
              </w:rPr>
            </w:pPr>
          </w:p>
        </w:tc>
      </w:tr>
      <w:tr w14:paraId="58ABBC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806EC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759E9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15F572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27979A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B98FC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B0EC1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686537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32FC5FB">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49CB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28B7DE3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4292.56</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CD9D8D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3101.45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5FB7F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1191.11</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42AEFE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E6C8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CB3F3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8578A9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1332139">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470" w:type="pct"/>
            <w:tcBorders>
              <w:top w:val="nil"/>
              <w:left w:val="nil"/>
              <w:bottom w:val="single" w:color="auto" w:sz="4" w:space="0"/>
              <w:right w:val="single" w:color="auto" w:sz="4" w:space="0"/>
            </w:tcBorders>
            <w:shd w:val="clear" w:color="auto" w:fill="auto"/>
            <w:noWrap/>
            <w:vAlign w:val="center"/>
          </w:tcPr>
          <w:p w14:paraId="4629F47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660" w:type="pct"/>
            <w:tcBorders>
              <w:top w:val="nil"/>
              <w:left w:val="nil"/>
              <w:bottom w:val="single" w:color="auto" w:sz="4" w:space="0"/>
              <w:right w:val="single" w:color="auto" w:sz="4" w:space="0"/>
            </w:tcBorders>
            <w:shd w:val="clear" w:color="auto" w:fill="auto"/>
            <w:noWrap/>
            <w:vAlign w:val="center"/>
          </w:tcPr>
          <w:p w14:paraId="7AFE2AE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2978C32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1.73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6E2A9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6759A1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9B157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35BE5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C51AF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7EC41D">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2100403</w:t>
            </w:r>
          </w:p>
        </w:tc>
        <w:tc>
          <w:tcPr>
            <w:tcW w:w="470" w:type="pct"/>
            <w:tcBorders>
              <w:top w:val="nil"/>
              <w:left w:val="nil"/>
              <w:bottom w:val="single" w:color="auto" w:sz="4" w:space="0"/>
              <w:right w:val="single" w:color="auto" w:sz="4" w:space="0"/>
            </w:tcBorders>
            <w:shd w:val="clear" w:color="auto" w:fill="auto"/>
            <w:noWrap/>
            <w:vAlign w:val="center"/>
          </w:tcPr>
          <w:p w14:paraId="79CA5DF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妇幼保健机构</w:t>
            </w:r>
          </w:p>
        </w:tc>
        <w:tc>
          <w:tcPr>
            <w:tcW w:w="660" w:type="pct"/>
            <w:tcBorders>
              <w:top w:val="nil"/>
              <w:left w:val="nil"/>
              <w:bottom w:val="single" w:color="auto" w:sz="4" w:space="0"/>
              <w:right w:val="single" w:color="auto" w:sz="4" w:space="0"/>
            </w:tcBorders>
            <w:shd w:val="clear" w:color="auto" w:fill="auto"/>
            <w:noWrap/>
            <w:vAlign w:val="center"/>
          </w:tcPr>
          <w:p w14:paraId="739644D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3971.03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20DB987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3099.72</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D2A6F3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871.31</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003573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A7645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A7896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FF4D1D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9873E8">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2100408</w:t>
            </w:r>
          </w:p>
        </w:tc>
        <w:tc>
          <w:tcPr>
            <w:tcW w:w="470" w:type="pct"/>
            <w:tcBorders>
              <w:top w:val="nil"/>
              <w:left w:val="nil"/>
              <w:bottom w:val="single" w:color="auto" w:sz="4" w:space="0"/>
              <w:right w:val="single" w:color="auto" w:sz="4" w:space="0"/>
            </w:tcBorders>
            <w:shd w:val="clear" w:color="auto" w:fill="auto"/>
            <w:noWrap/>
            <w:vAlign w:val="center"/>
          </w:tcPr>
          <w:p w14:paraId="17ACA2B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基本公共卫生服务</w:t>
            </w:r>
          </w:p>
        </w:tc>
        <w:tc>
          <w:tcPr>
            <w:tcW w:w="660" w:type="pct"/>
            <w:tcBorders>
              <w:top w:val="nil"/>
              <w:left w:val="nil"/>
              <w:bottom w:val="single" w:color="auto" w:sz="4" w:space="0"/>
              <w:right w:val="single" w:color="auto" w:sz="4" w:space="0"/>
            </w:tcBorders>
            <w:shd w:val="clear" w:color="auto" w:fill="auto"/>
            <w:noWrap/>
            <w:vAlign w:val="center"/>
          </w:tcPr>
          <w:p w14:paraId="3C35410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319.8</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56326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2E145F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319.8</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36FE5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5CB5E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3374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50C80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47A64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045855E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2EE8C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29878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4B7D5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946A0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046BE5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6ECA7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469B4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38203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4576117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3A1F55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831AC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CEEA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9D461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A9FEF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80011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9054C1E">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8BA0E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14:paraId="568495C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504C8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4D5DF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A8A4FA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262252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49524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00910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82412ED">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643C66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9377EA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C8E47A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0FC618D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7B4AE7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931"/>
        <w:gridCol w:w="1715"/>
        <w:gridCol w:w="1573"/>
        <w:gridCol w:w="1686"/>
      </w:tblGrid>
      <w:tr w14:paraId="62A04615">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9F142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1DF90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4EC4E1B">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C5AC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0F2A88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046EB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21759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ED9ED9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0FCC2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A49A14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8C4B6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DC5A4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A284F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D0A1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BA559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1631B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0E721A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5455D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A1AA7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0F2EA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0E61A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4E4D81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17E065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F33A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4EB5F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14F4E7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B737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446701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062720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9FE2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83A0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E2E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A651E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9B5A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1485A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D0BE33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9DF2F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E49EA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5C796D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7EE8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520A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BF24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51EA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5075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8BE26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E73F2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D9DB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42ABE0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F8EB5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0DA3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385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A1A32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FD7E3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0A1B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0512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94B6B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25831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DA166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E35EF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37B4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911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A6B37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E23101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9D2A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5536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5498C1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C765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5F580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715FB2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4905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B415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91A3B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85D7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6498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136A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A8A94B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EA380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633D87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5246B8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1.73</w:t>
            </w:r>
          </w:p>
        </w:tc>
        <w:tc>
          <w:tcPr>
            <w:tcW w:w="0" w:type="auto"/>
            <w:tcBorders>
              <w:top w:val="nil"/>
              <w:left w:val="nil"/>
              <w:bottom w:val="single" w:color="auto" w:sz="4" w:space="0"/>
              <w:right w:val="single" w:color="auto" w:sz="4" w:space="0"/>
            </w:tcBorders>
            <w:shd w:val="clear" w:color="auto" w:fill="auto"/>
            <w:noWrap/>
            <w:vAlign w:val="center"/>
          </w:tcPr>
          <w:p w14:paraId="20F2AD5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E3E5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F6654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E9A89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BCB6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FBC9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BFE81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433F7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2F6C63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E56492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4290.83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9746DD">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4290.83</w:t>
            </w:r>
          </w:p>
        </w:tc>
        <w:tc>
          <w:tcPr>
            <w:tcW w:w="0" w:type="auto"/>
            <w:tcBorders>
              <w:top w:val="nil"/>
              <w:left w:val="nil"/>
              <w:bottom w:val="single" w:color="auto" w:sz="4" w:space="0"/>
              <w:right w:val="single" w:color="auto" w:sz="4" w:space="0"/>
            </w:tcBorders>
            <w:shd w:val="clear" w:color="auto" w:fill="auto"/>
            <w:noWrap/>
            <w:vAlign w:val="center"/>
          </w:tcPr>
          <w:p w14:paraId="432F96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B202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0648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139D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520F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3CA9D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8A283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976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1521C1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B627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1C59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9370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3414D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E3A1B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68D10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8F136D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47468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622EE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35A797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311AF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2F45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FE307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6FBB72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601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CE90D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8383BC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41A8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D640C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09EF83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13B4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3D16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4421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FCD35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E973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FC844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6E206E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81BB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34D8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E25B1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97BA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6761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A3E3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50DE5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0EB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0167A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3D109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0136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30AE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7FD64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8506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7EEF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5210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ED9AD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F25F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43448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885361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B53A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3857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09866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0F55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CB32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34B3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35BEA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B7F0A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4CC37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46278E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1A3006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DE6ED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4880C7D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464472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4292.56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B4067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BBC22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809806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340F024">
      <w:pPr>
        <w:widowControl/>
        <w:jc w:val="center"/>
        <w:rPr>
          <w:rFonts w:ascii="Times New Roman" w:hAnsi="Times New Roman" w:eastAsia="方正小标宋_GBK" w:cs="Times New Roman"/>
          <w:kern w:val="0"/>
          <w:sz w:val="36"/>
          <w:szCs w:val="36"/>
        </w:rPr>
      </w:pPr>
    </w:p>
    <w:p w14:paraId="5C39383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6D6D552">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1B626DE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2160338">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940A63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E8FEB5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0759C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EBAB1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54348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F92CF1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CAFD8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7186BC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25E927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F98FD6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0054CA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8C7807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63908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22787EF">
            <w:pPr>
              <w:widowControl/>
              <w:jc w:val="left"/>
              <w:rPr>
                <w:rFonts w:ascii="Times New Roman" w:hAnsi="Times New Roman" w:eastAsia="仿宋_GB2312" w:cs="Times New Roman"/>
                <w:kern w:val="0"/>
                <w:szCs w:val="21"/>
              </w:rPr>
            </w:pPr>
          </w:p>
        </w:tc>
      </w:tr>
      <w:tr w14:paraId="5988CF7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D7855F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DBFFC1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89083E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4F213A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0A82E81">
            <w:pPr>
              <w:widowControl/>
              <w:jc w:val="left"/>
              <w:rPr>
                <w:rFonts w:ascii="Times New Roman" w:hAnsi="Times New Roman" w:eastAsia="仿宋_GB2312" w:cs="Times New Roman"/>
                <w:kern w:val="0"/>
                <w:szCs w:val="21"/>
              </w:rPr>
            </w:pPr>
          </w:p>
        </w:tc>
      </w:tr>
      <w:tr w14:paraId="4A96FBB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F5D7F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CF386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247023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A7EBD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B655DF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EAA0D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7A1FD96">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4292.56</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11D4719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3101.45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78DD7EB">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1191.11</w:t>
            </w:r>
            <w:r>
              <w:rPr>
                <w:rFonts w:ascii="Times New Roman" w:hAnsi="Times New Roman" w:eastAsia="仿宋_GB2312" w:cs="Times New Roman"/>
                <w:kern w:val="0"/>
                <w:sz w:val="24"/>
                <w:szCs w:val="24"/>
              </w:rPr>
              <w:t>　</w:t>
            </w:r>
          </w:p>
        </w:tc>
      </w:tr>
      <w:tr w14:paraId="593689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62B7722">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3527" w:type="dxa"/>
            <w:tcBorders>
              <w:top w:val="nil"/>
              <w:left w:val="nil"/>
              <w:bottom w:val="single" w:color="auto" w:sz="4" w:space="0"/>
              <w:right w:val="single" w:color="auto" w:sz="4" w:space="0"/>
            </w:tcBorders>
            <w:shd w:val="clear" w:color="auto" w:fill="auto"/>
            <w:vAlign w:val="center"/>
          </w:tcPr>
          <w:p w14:paraId="0D285B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14:paraId="3EAFDB6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1.73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4493D660">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1.73</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0A52F83B">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3DB8BBB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71DD556">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2100403</w:t>
            </w:r>
          </w:p>
        </w:tc>
        <w:tc>
          <w:tcPr>
            <w:tcW w:w="3527" w:type="dxa"/>
            <w:tcBorders>
              <w:top w:val="nil"/>
              <w:left w:val="nil"/>
              <w:bottom w:val="single" w:color="auto" w:sz="4" w:space="0"/>
              <w:right w:val="single" w:color="auto" w:sz="4" w:space="0"/>
            </w:tcBorders>
            <w:shd w:val="clear" w:color="auto" w:fill="auto"/>
            <w:vAlign w:val="center"/>
          </w:tcPr>
          <w:p w14:paraId="162AE5C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妇幼保健机构</w:t>
            </w:r>
          </w:p>
        </w:tc>
        <w:tc>
          <w:tcPr>
            <w:tcW w:w="3000" w:type="dxa"/>
            <w:tcBorders>
              <w:top w:val="nil"/>
              <w:left w:val="nil"/>
              <w:bottom w:val="single" w:color="auto" w:sz="4" w:space="0"/>
              <w:right w:val="single" w:color="auto" w:sz="4" w:space="0"/>
            </w:tcBorders>
            <w:shd w:val="clear" w:color="auto" w:fill="auto"/>
            <w:vAlign w:val="center"/>
          </w:tcPr>
          <w:p w14:paraId="4AA8494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3971.03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B0991F2">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3099.72</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51BD4320">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871.31</w:t>
            </w:r>
            <w:r>
              <w:rPr>
                <w:rFonts w:ascii="Times New Roman" w:hAnsi="Times New Roman" w:eastAsia="仿宋_GB2312" w:cs="Times New Roman"/>
                <w:kern w:val="0"/>
                <w:sz w:val="24"/>
                <w:szCs w:val="24"/>
              </w:rPr>
              <w:t>　</w:t>
            </w:r>
          </w:p>
        </w:tc>
      </w:tr>
      <w:tr w14:paraId="3276AA2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C67765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2100408</w:t>
            </w:r>
          </w:p>
        </w:tc>
        <w:tc>
          <w:tcPr>
            <w:tcW w:w="3527" w:type="dxa"/>
            <w:tcBorders>
              <w:top w:val="nil"/>
              <w:left w:val="nil"/>
              <w:bottom w:val="single" w:color="auto" w:sz="4" w:space="0"/>
              <w:right w:val="single" w:color="auto" w:sz="4" w:space="0"/>
            </w:tcBorders>
            <w:shd w:val="clear" w:color="auto" w:fill="auto"/>
            <w:vAlign w:val="center"/>
          </w:tcPr>
          <w:p w14:paraId="6F9940B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基本公共卫生服务</w:t>
            </w:r>
          </w:p>
        </w:tc>
        <w:tc>
          <w:tcPr>
            <w:tcW w:w="3000" w:type="dxa"/>
            <w:tcBorders>
              <w:top w:val="nil"/>
              <w:left w:val="nil"/>
              <w:bottom w:val="single" w:color="auto" w:sz="4" w:space="0"/>
              <w:right w:val="single" w:color="auto" w:sz="4" w:space="0"/>
            </w:tcBorders>
            <w:shd w:val="clear" w:color="auto" w:fill="auto"/>
            <w:vAlign w:val="center"/>
          </w:tcPr>
          <w:p w14:paraId="57A0A2F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319.8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622ED900">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BAD091A">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319.8</w:t>
            </w:r>
            <w:r>
              <w:rPr>
                <w:rFonts w:ascii="Times New Roman" w:hAnsi="Times New Roman" w:eastAsia="仿宋_GB2312" w:cs="Times New Roman"/>
                <w:kern w:val="0"/>
                <w:sz w:val="24"/>
                <w:szCs w:val="24"/>
              </w:rPr>
              <w:t>　</w:t>
            </w:r>
          </w:p>
        </w:tc>
      </w:tr>
      <w:tr w14:paraId="51B4F9B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54B1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FF93A7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229F226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1AF430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065B2C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3ECAB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81708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6F160F3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5873E9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68C98D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992D63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BF11D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EDE86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7A2B886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266228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4792E0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66071B0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B2372A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ECB9CFF">
      <w:pPr>
        <w:widowControl/>
        <w:jc w:val="left"/>
        <w:rPr>
          <w:rFonts w:ascii="Times New Roman" w:hAnsi="Times New Roman" w:eastAsia="仿宋_GB2312" w:cs="Times New Roman"/>
          <w:bCs/>
          <w:kern w:val="0"/>
          <w:szCs w:val="21"/>
        </w:rPr>
      </w:pPr>
    </w:p>
    <w:p w14:paraId="70D99BB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E2E9BF6">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29FB02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61CFDD6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4ED231C">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913A2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AF524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839976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991246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874A4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AF974B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3BC43D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BC844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C812D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54964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74A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6B67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826945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1948.7</w:t>
            </w:r>
          </w:p>
        </w:tc>
        <w:tc>
          <w:tcPr>
            <w:tcW w:w="1116" w:type="dxa"/>
            <w:tcBorders>
              <w:top w:val="nil"/>
              <w:left w:val="nil"/>
              <w:bottom w:val="single" w:color="auto" w:sz="4" w:space="0"/>
              <w:right w:val="single" w:color="auto" w:sz="4" w:space="0"/>
            </w:tcBorders>
            <w:shd w:val="clear" w:color="auto" w:fill="auto"/>
            <w:noWrap/>
            <w:vAlign w:val="center"/>
          </w:tcPr>
          <w:p w14:paraId="58D569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F479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B839BB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1383.53</w:t>
            </w:r>
          </w:p>
        </w:tc>
        <w:tc>
          <w:tcPr>
            <w:tcW w:w="1217" w:type="dxa"/>
            <w:tcBorders>
              <w:top w:val="nil"/>
              <w:left w:val="nil"/>
              <w:bottom w:val="single" w:color="auto" w:sz="4" w:space="0"/>
              <w:right w:val="single" w:color="auto" w:sz="4" w:space="0"/>
            </w:tcBorders>
            <w:shd w:val="clear" w:color="auto" w:fill="auto"/>
            <w:noWrap/>
            <w:vAlign w:val="center"/>
          </w:tcPr>
          <w:p w14:paraId="65536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36CF6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EBC1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4B77C0">
        <w:tblPrEx>
          <w:tblCellMar>
            <w:top w:w="0" w:type="dxa"/>
            <w:left w:w="108" w:type="dxa"/>
            <w:bottom w:w="0" w:type="dxa"/>
            <w:right w:w="108" w:type="dxa"/>
          </w:tblCellMar>
        </w:tblPrEx>
        <w:trPr>
          <w:trHeight w:val="22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151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1DB85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44E605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599.31</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C7BA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66BF6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A066A8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5.98</w:t>
            </w:r>
          </w:p>
        </w:tc>
        <w:tc>
          <w:tcPr>
            <w:tcW w:w="1217" w:type="dxa"/>
            <w:tcBorders>
              <w:top w:val="nil"/>
              <w:left w:val="nil"/>
              <w:bottom w:val="single" w:color="auto" w:sz="4" w:space="0"/>
              <w:right w:val="single" w:color="auto" w:sz="4" w:space="0"/>
            </w:tcBorders>
            <w:shd w:val="clear" w:color="auto" w:fill="auto"/>
            <w:noWrap/>
            <w:vAlign w:val="center"/>
          </w:tcPr>
          <w:p w14:paraId="29122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6F472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E7CE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E7C2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6793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45793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115B96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247.02</w:t>
            </w:r>
          </w:p>
        </w:tc>
        <w:tc>
          <w:tcPr>
            <w:tcW w:w="1116" w:type="dxa"/>
            <w:tcBorders>
              <w:top w:val="nil"/>
              <w:left w:val="nil"/>
              <w:bottom w:val="single" w:color="auto" w:sz="4" w:space="0"/>
              <w:right w:val="single" w:color="auto" w:sz="4" w:space="0"/>
            </w:tcBorders>
            <w:shd w:val="clear" w:color="auto" w:fill="auto"/>
            <w:noWrap/>
            <w:vAlign w:val="center"/>
          </w:tcPr>
          <w:p w14:paraId="7089D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33664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A99269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15.49</w:t>
            </w:r>
          </w:p>
        </w:tc>
        <w:tc>
          <w:tcPr>
            <w:tcW w:w="1217" w:type="dxa"/>
            <w:tcBorders>
              <w:top w:val="nil"/>
              <w:left w:val="nil"/>
              <w:bottom w:val="single" w:color="auto" w:sz="4" w:space="0"/>
              <w:right w:val="single" w:color="auto" w:sz="4" w:space="0"/>
            </w:tcBorders>
            <w:shd w:val="clear" w:color="auto" w:fill="auto"/>
            <w:noWrap/>
            <w:vAlign w:val="center"/>
          </w:tcPr>
          <w:p w14:paraId="3DD8EB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760E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BA7B4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6076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22F5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7C79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66C161C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136.92</w:t>
            </w:r>
          </w:p>
        </w:tc>
        <w:tc>
          <w:tcPr>
            <w:tcW w:w="1116" w:type="dxa"/>
            <w:tcBorders>
              <w:top w:val="nil"/>
              <w:left w:val="nil"/>
              <w:bottom w:val="single" w:color="auto" w:sz="4" w:space="0"/>
              <w:right w:val="single" w:color="auto" w:sz="4" w:space="0"/>
            </w:tcBorders>
            <w:shd w:val="clear" w:color="auto" w:fill="auto"/>
            <w:noWrap/>
            <w:vAlign w:val="center"/>
          </w:tcPr>
          <w:p w14:paraId="0C80E3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7A4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8A8B6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6AF24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20539B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309BD2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937.52</w:t>
            </w:r>
          </w:p>
        </w:tc>
      </w:tr>
      <w:tr w14:paraId="646974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653D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40E00D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0826467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56.01</w:t>
            </w:r>
          </w:p>
        </w:tc>
        <w:tc>
          <w:tcPr>
            <w:tcW w:w="1116" w:type="dxa"/>
            <w:tcBorders>
              <w:top w:val="nil"/>
              <w:left w:val="nil"/>
              <w:bottom w:val="single" w:color="auto" w:sz="4" w:space="0"/>
              <w:right w:val="single" w:color="auto" w:sz="4" w:space="0"/>
            </w:tcBorders>
            <w:shd w:val="clear" w:color="auto" w:fill="auto"/>
            <w:noWrap/>
            <w:vAlign w:val="center"/>
          </w:tcPr>
          <w:p w14:paraId="1B3991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2AE3E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C7F5D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1915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36A5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778B38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813.4</w:t>
            </w:r>
          </w:p>
        </w:tc>
      </w:tr>
      <w:tr w14:paraId="5F50D3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3D1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726B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743AE0A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234.98</w:t>
            </w:r>
          </w:p>
        </w:tc>
        <w:tc>
          <w:tcPr>
            <w:tcW w:w="1116" w:type="dxa"/>
            <w:tcBorders>
              <w:top w:val="nil"/>
              <w:left w:val="nil"/>
              <w:bottom w:val="single" w:color="auto" w:sz="4" w:space="0"/>
              <w:right w:val="single" w:color="auto" w:sz="4" w:space="0"/>
            </w:tcBorders>
            <w:shd w:val="clear" w:color="auto" w:fill="auto"/>
            <w:noWrap/>
            <w:vAlign w:val="center"/>
          </w:tcPr>
          <w:p w14:paraId="65318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A6D7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A1AB8E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8.26</w:t>
            </w:r>
          </w:p>
        </w:tc>
        <w:tc>
          <w:tcPr>
            <w:tcW w:w="1217" w:type="dxa"/>
            <w:tcBorders>
              <w:top w:val="nil"/>
              <w:left w:val="nil"/>
              <w:bottom w:val="single" w:color="auto" w:sz="4" w:space="0"/>
              <w:right w:val="single" w:color="auto" w:sz="4" w:space="0"/>
            </w:tcBorders>
            <w:shd w:val="clear" w:color="auto" w:fill="auto"/>
            <w:noWrap/>
            <w:vAlign w:val="center"/>
          </w:tcPr>
          <w:p w14:paraId="5273BF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9D7C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DAB380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4.76</w:t>
            </w:r>
          </w:p>
        </w:tc>
      </w:tr>
      <w:tr w14:paraId="51BCAC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7A3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E4931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695F3C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92.01</w:t>
            </w:r>
          </w:p>
        </w:tc>
        <w:tc>
          <w:tcPr>
            <w:tcW w:w="1116" w:type="dxa"/>
            <w:tcBorders>
              <w:top w:val="nil"/>
              <w:left w:val="nil"/>
              <w:bottom w:val="single" w:color="auto" w:sz="4" w:space="0"/>
              <w:right w:val="single" w:color="auto" w:sz="4" w:space="0"/>
            </w:tcBorders>
            <w:shd w:val="clear" w:color="auto" w:fill="auto"/>
            <w:noWrap/>
            <w:vAlign w:val="center"/>
          </w:tcPr>
          <w:p w14:paraId="567A8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5466E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C0B28B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45.73</w:t>
            </w:r>
          </w:p>
        </w:tc>
        <w:tc>
          <w:tcPr>
            <w:tcW w:w="1217" w:type="dxa"/>
            <w:tcBorders>
              <w:top w:val="nil"/>
              <w:left w:val="nil"/>
              <w:bottom w:val="single" w:color="auto" w:sz="4" w:space="0"/>
              <w:right w:val="single" w:color="auto" w:sz="4" w:space="0"/>
            </w:tcBorders>
            <w:shd w:val="clear" w:color="auto" w:fill="auto"/>
            <w:noWrap/>
            <w:vAlign w:val="center"/>
          </w:tcPr>
          <w:p w14:paraId="1EB8F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3EEBA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70024B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52.72</w:t>
            </w:r>
          </w:p>
        </w:tc>
      </w:tr>
      <w:tr w14:paraId="4B10AF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66E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B4BC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33260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B6DC0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214F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FBC299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w:t>
            </w:r>
          </w:p>
        </w:tc>
        <w:tc>
          <w:tcPr>
            <w:tcW w:w="1217" w:type="dxa"/>
            <w:tcBorders>
              <w:top w:val="nil"/>
              <w:left w:val="nil"/>
              <w:bottom w:val="single" w:color="auto" w:sz="4" w:space="0"/>
              <w:right w:val="single" w:color="auto" w:sz="4" w:space="0"/>
            </w:tcBorders>
            <w:shd w:val="clear" w:color="auto" w:fill="auto"/>
            <w:noWrap/>
            <w:vAlign w:val="center"/>
          </w:tcPr>
          <w:p w14:paraId="3D0CA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9E09C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F5C09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2B55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436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8C9D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31C5D0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48.02</w:t>
            </w:r>
          </w:p>
        </w:tc>
        <w:tc>
          <w:tcPr>
            <w:tcW w:w="1116" w:type="dxa"/>
            <w:tcBorders>
              <w:top w:val="nil"/>
              <w:left w:val="nil"/>
              <w:bottom w:val="single" w:color="auto" w:sz="4" w:space="0"/>
              <w:right w:val="single" w:color="auto" w:sz="4" w:space="0"/>
            </w:tcBorders>
            <w:shd w:val="clear" w:color="auto" w:fill="auto"/>
            <w:noWrap/>
            <w:vAlign w:val="center"/>
          </w:tcPr>
          <w:p w14:paraId="248BAD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6BBB5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A5AA4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C88C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66A1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5BF3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F1E6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17D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1BD8D5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A293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831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7B6E1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6958F0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31.43</w:t>
            </w:r>
          </w:p>
        </w:tc>
        <w:tc>
          <w:tcPr>
            <w:tcW w:w="1217" w:type="dxa"/>
            <w:tcBorders>
              <w:top w:val="nil"/>
              <w:left w:val="nil"/>
              <w:bottom w:val="single" w:color="auto" w:sz="4" w:space="0"/>
              <w:right w:val="single" w:color="auto" w:sz="4" w:space="0"/>
            </w:tcBorders>
            <w:shd w:val="clear" w:color="auto" w:fill="auto"/>
            <w:noWrap/>
            <w:vAlign w:val="center"/>
          </w:tcPr>
          <w:p w14:paraId="5DFBDB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567E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4846B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734C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991D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B8E59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5BC7F6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82.83</w:t>
            </w:r>
          </w:p>
        </w:tc>
        <w:tc>
          <w:tcPr>
            <w:tcW w:w="1116" w:type="dxa"/>
            <w:tcBorders>
              <w:top w:val="nil"/>
              <w:left w:val="nil"/>
              <w:bottom w:val="single" w:color="auto" w:sz="4" w:space="0"/>
              <w:right w:val="single" w:color="auto" w:sz="4" w:space="0"/>
            </w:tcBorders>
            <w:shd w:val="clear" w:color="auto" w:fill="auto"/>
            <w:noWrap/>
            <w:vAlign w:val="center"/>
          </w:tcPr>
          <w:p w14:paraId="156636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A78AC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8E73D1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2.46</w:t>
            </w:r>
          </w:p>
        </w:tc>
        <w:tc>
          <w:tcPr>
            <w:tcW w:w="1217" w:type="dxa"/>
            <w:tcBorders>
              <w:top w:val="nil"/>
              <w:left w:val="nil"/>
              <w:bottom w:val="single" w:color="auto" w:sz="4" w:space="0"/>
              <w:right w:val="single" w:color="auto" w:sz="4" w:space="0"/>
            </w:tcBorders>
            <w:shd w:val="clear" w:color="auto" w:fill="auto"/>
            <w:noWrap/>
            <w:vAlign w:val="center"/>
          </w:tcPr>
          <w:p w14:paraId="0FAFB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E833B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4F8623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FA0FA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4B72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5C64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4956F9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57.64</w:t>
            </w:r>
          </w:p>
        </w:tc>
        <w:tc>
          <w:tcPr>
            <w:tcW w:w="1116" w:type="dxa"/>
            <w:tcBorders>
              <w:top w:val="nil"/>
              <w:left w:val="nil"/>
              <w:bottom w:val="single" w:color="auto" w:sz="4" w:space="0"/>
              <w:right w:val="single" w:color="auto" w:sz="4" w:space="0"/>
            </w:tcBorders>
            <w:shd w:val="clear" w:color="auto" w:fill="auto"/>
            <w:noWrap/>
            <w:vAlign w:val="center"/>
          </w:tcPr>
          <w:p w14:paraId="7B586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E575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5AA56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498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40EF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5D87F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66D1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0862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9151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29F60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D5D52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68B44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F0EA52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53.55</w:t>
            </w:r>
          </w:p>
        </w:tc>
        <w:tc>
          <w:tcPr>
            <w:tcW w:w="1217" w:type="dxa"/>
            <w:tcBorders>
              <w:top w:val="nil"/>
              <w:left w:val="nil"/>
              <w:bottom w:val="single" w:color="auto" w:sz="4" w:space="0"/>
              <w:right w:val="single" w:color="auto" w:sz="4" w:space="0"/>
            </w:tcBorders>
            <w:shd w:val="clear" w:color="auto" w:fill="auto"/>
            <w:noWrap/>
            <w:vAlign w:val="center"/>
          </w:tcPr>
          <w:p w14:paraId="49E86B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2B090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F646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5344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C83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D6ED8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BD821D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393.95</w:t>
            </w:r>
          </w:p>
        </w:tc>
        <w:tc>
          <w:tcPr>
            <w:tcW w:w="1116" w:type="dxa"/>
            <w:tcBorders>
              <w:top w:val="nil"/>
              <w:left w:val="nil"/>
              <w:bottom w:val="single" w:color="auto" w:sz="4" w:space="0"/>
              <w:right w:val="single" w:color="auto" w:sz="4" w:space="0"/>
            </w:tcBorders>
            <w:shd w:val="clear" w:color="auto" w:fill="auto"/>
            <w:noWrap/>
            <w:vAlign w:val="center"/>
          </w:tcPr>
          <w:p w14:paraId="10C18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4E4F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B892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6C516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3198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FD1E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6BEF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CD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E6F1F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6BF788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22.81</w:t>
            </w:r>
          </w:p>
        </w:tc>
        <w:tc>
          <w:tcPr>
            <w:tcW w:w="1116" w:type="dxa"/>
            <w:tcBorders>
              <w:top w:val="nil"/>
              <w:left w:val="nil"/>
              <w:bottom w:val="single" w:color="auto" w:sz="4" w:space="0"/>
              <w:right w:val="single" w:color="auto" w:sz="4" w:space="0"/>
            </w:tcBorders>
            <w:shd w:val="clear" w:color="auto" w:fill="auto"/>
            <w:noWrap/>
            <w:vAlign w:val="center"/>
          </w:tcPr>
          <w:p w14:paraId="63F4E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4161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FD6701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4.03</w:t>
            </w:r>
          </w:p>
        </w:tc>
        <w:tc>
          <w:tcPr>
            <w:tcW w:w="1217" w:type="dxa"/>
            <w:tcBorders>
              <w:top w:val="nil"/>
              <w:left w:val="nil"/>
              <w:bottom w:val="single" w:color="auto" w:sz="4" w:space="0"/>
              <w:right w:val="single" w:color="auto" w:sz="4" w:space="0"/>
            </w:tcBorders>
            <w:shd w:val="clear" w:color="auto" w:fill="auto"/>
            <w:noWrap/>
            <w:vAlign w:val="center"/>
          </w:tcPr>
          <w:p w14:paraId="76C5C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6D3F23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58D84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ACDF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93CD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FADCD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CB08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B909C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E4AC8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840A46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11.12</w:t>
            </w:r>
          </w:p>
        </w:tc>
        <w:tc>
          <w:tcPr>
            <w:tcW w:w="1217" w:type="dxa"/>
            <w:tcBorders>
              <w:top w:val="nil"/>
              <w:left w:val="nil"/>
              <w:bottom w:val="single" w:color="auto" w:sz="4" w:space="0"/>
              <w:right w:val="single" w:color="auto" w:sz="4" w:space="0"/>
            </w:tcBorders>
            <w:shd w:val="clear" w:color="auto" w:fill="auto"/>
            <w:noWrap/>
            <w:vAlign w:val="center"/>
          </w:tcPr>
          <w:p w14:paraId="37E1B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B977D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1CDBA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F33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FD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81B2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7CE6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6754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7F5AD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CD66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27CD5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CC669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A3DCF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43AC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F30A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03A60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5C7E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AC2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03A3B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68F8D0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574.36</w:t>
            </w:r>
          </w:p>
        </w:tc>
        <w:tc>
          <w:tcPr>
            <w:tcW w:w="1217" w:type="dxa"/>
            <w:tcBorders>
              <w:top w:val="nil"/>
              <w:left w:val="nil"/>
              <w:bottom w:val="single" w:color="auto" w:sz="4" w:space="0"/>
              <w:right w:val="single" w:color="auto" w:sz="4" w:space="0"/>
            </w:tcBorders>
            <w:shd w:val="clear" w:color="auto" w:fill="auto"/>
            <w:noWrap/>
            <w:vAlign w:val="center"/>
          </w:tcPr>
          <w:p w14:paraId="0F8CD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91DA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10420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64B9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2751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379B6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1599E46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1.73</w:t>
            </w:r>
          </w:p>
        </w:tc>
        <w:tc>
          <w:tcPr>
            <w:tcW w:w="1116" w:type="dxa"/>
            <w:tcBorders>
              <w:top w:val="nil"/>
              <w:left w:val="nil"/>
              <w:bottom w:val="single" w:color="auto" w:sz="4" w:space="0"/>
              <w:right w:val="single" w:color="auto" w:sz="4" w:space="0"/>
            </w:tcBorders>
            <w:shd w:val="clear" w:color="auto" w:fill="auto"/>
            <w:noWrap/>
            <w:vAlign w:val="center"/>
          </w:tcPr>
          <w:p w14:paraId="2D75E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B7574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EC3A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4FFAD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1055E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1F87D9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2.46</w:t>
            </w:r>
          </w:p>
        </w:tc>
      </w:tr>
      <w:tr w14:paraId="464450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DD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15FC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9E9702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15.8</w:t>
            </w:r>
          </w:p>
        </w:tc>
        <w:tc>
          <w:tcPr>
            <w:tcW w:w="1116" w:type="dxa"/>
            <w:tcBorders>
              <w:top w:val="nil"/>
              <w:left w:val="nil"/>
              <w:bottom w:val="single" w:color="auto" w:sz="4" w:space="0"/>
              <w:right w:val="single" w:color="auto" w:sz="4" w:space="0"/>
            </w:tcBorders>
            <w:shd w:val="clear" w:color="auto" w:fill="auto"/>
            <w:noWrap/>
            <w:vAlign w:val="center"/>
          </w:tcPr>
          <w:p w14:paraId="71298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5B92C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DC41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E8C77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EE5BF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4AE9AAE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64.18</w:t>
            </w:r>
          </w:p>
        </w:tc>
      </w:tr>
      <w:tr w14:paraId="6CF496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01A2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84A4D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EAEB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C267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1A5D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D6B27F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2.37</w:t>
            </w:r>
          </w:p>
        </w:tc>
        <w:tc>
          <w:tcPr>
            <w:tcW w:w="1217" w:type="dxa"/>
            <w:tcBorders>
              <w:top w:val="nil"/>
              <w:left w:val="nil"/>
              <w:bottom w:val="single" w:color="auto" w:sz="4" w:space="0"/>
              <w:right w:val="single" w:color="auto" w:sz="4" w:space="0"/>
            </w:tcBorders>
            <w:shd w:val="clear" w:color="auto" w:fill="auto"/>
            <w:noWrap/>
            <w:vAlign w:val="center"/>
          </w:tcPr>
          <w:p w14:paraId="3D9DA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974B9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F2A5D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5809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5F31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F6ED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C4E7DC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w:t>
            </w:r>
          </w:p>
        </w:tc>
        <w:tc>
          <w:tcPr>
            <w:tcW w:w="1116" w:type="dxa"/>
            <w:tcBorders>
              <w:top w:val="nil"/>
              <w:left w:val="nil"/>
              <w:bottom w:val="single" w:color="auto" w:sz="4" w:space="0"/>
              <w:right w:val="single" w:color="auto" w:sz="4" w:space="0"/>
            </w:tcBorders>
            <w:shd w:val="clear" w:color="auto" w:fill="auto"/>
            <w:noWrap/>
            <w:vAlign w:val="center"/>
          </w:tcPr>
          <w:p w14:paraId="3B0C6F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42B32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1362E8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216.04</w:t>
            </w:r>
          </w:p>
        </w:tc>
        <w:tc>
          <w:tcPr>
            <w:tcW w:w="1217" w:type="dxa"/>
            <w:tcBorders>
              <w:top w:val="nil"/>
              <w:left w:val="nil"/>
              <w:bottom w:val="single" w:color="auto" w:sz="4" w:space="0"/>
              <w:right w:val="single" w:color="auto" w:sz="4" w:space="0"/>
            </w:tcBorders>
            <w:shd w:val="clear" w:color="auto" w:fill="auto"/>
            <w:noWrap/>
            <w:vAlign w:val="center"/>
          </w:tcPr>
          <w:p w14:paraId="320F6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04D70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98BC6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CEE5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E72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4220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5366C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249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EEB9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B49E88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40.6</w:t>
            </w:r>
          </w:p>
        </w:tc>
        <w:tc>
          <w:tcPr>
            <w:tcW w:w="1217" w:type="dxa"/>
            <w:tcBorders>
              <w:top w:val="nil"/>
              <w:left w:val="nil"/>
              <w:bottom w:val="single" w:color="auto" w:sz="4" w:space="0"/>
              <w:right w:val="single" w:color="auto" w:sz="4" w:space="0"/>
            </w:tcBorders>
            <w:shd w:val="clear" w:color="auto" w:fill="auto"/>
            <w:noWrap/>
            <w:vAlign w:val="center"/>
          </w:tcPr>
          <w:p w14:paraId="120A8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46C12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4CBAD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9B3C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0DDE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0FDD9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9C832F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3.24</w:t>
            </w:r>
          </w:p>
        </w:tc>
        <w:tc>
          <w:tcPr>
            <w:tcW w:w="1116" w:type="dxa"/>
            <w:tcBorders>
              <w:top w:val="nil"/>
              <w:left w:val="nil"/>
              <w:bottom w:val="single" w:color="auto" w:sz="4" w:space="0"/>
              <w:right w:val="single" w:color="auto" w:sz="4" w:space="0"/>
            </w:tcBorders>
            <w:shd w:val="clear" w:color="auto" w:fill="auto"/>
            <w:noWrap/>
            <w:vAlign w:val="center"/>
          </w:tcPr>
          <w:p w14:paraId="3D09F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A1738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C5DC88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5.86</w:t>
            </w:r>
          </w:p>
        </w:tc>
        <w:tc>
          <w:tcPr>
            <w:tcW w:w="1217" w:type="dxa"/>
            <w:tcBorders>
              <w:top w:val="nil"/>
              <w:left w:val="nil"/>
              <w:bottom w:val="single" w:color="auto" w:sz="4" w:space="0"/>
              <w:right w:val="single" w:color="auto" w:sz="4" w:space="0"/>
            </w:tcBorders>
            <w:shd w:val="clear" w:color="auto" w:fill="auto"/>
            <w:noWrap/>
            <w:vAlign w:val="center"/>
          </w:tcPr>
          <w:p w14:paraId="776BC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E52AF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0134B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2A6FA57">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BE529C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612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4D2C1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384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59CD779">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45D062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63B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F36503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F9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FD028D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C4428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8F70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067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AB9E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4C2DC8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0838F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53B6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A2DFFE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7.97</w:t>
            </w:r>
          </w:p>
        </w:tc>
        <w:tc>
          <w:tcPr>
            <w:tcW w:w="1217" w:type="dxa"/>
            <w:tcBorders>
              <w:top w:val="nil"/>
              <w:left w:val="nil"/>
              <w:bottom w:val="single" w:color="auto" w:sz="4" w:space="0"/>
              <w:right w:val="single" w:color="auto" w:sz="4" w:space="0"/>
            </w:tcBorders>
            <w:shd w:val="clear" w:color="auto" w:fill="auto"/>
            <w:noWrap/>
            <w:vAlign w:val="center"/>
          </w:tcPr>
          <w:p w14:paraId="70F23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786D2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48EC6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BBE1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1CF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7F8E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29B6A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8E2C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7F7B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181B3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16A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72D73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6C9CF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F47E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FD9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EAE8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C083F6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1.94</w:t>
            </w:r>
          </w:p>
        </w:tc>
        <w:tc>
          <w:tcPr>
            <w:tcW w:w="1116" w:type="dxa"/>
            <w:tcBorders>
              <w:top w:val="nil"/>
              <w:left w:val="nil"/>
              <w:bottom w:val="single" w:color="auto" w:sz="4" w:space="0"/>
              <w:right w:val="single" w:color="auto" w:sz="4" w:space="0"/>
            </w:tcBorders>
            <w:shd w:val="clear" w:color="auto" w:fill="auto"/>
            <w:noWrap/>
            <w:vAlign w:val="center"/>
          </w:tcPr>
          <w:p w14:paraId="4B181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DBC31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E279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77EC13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943E06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4926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3FAD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D079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B059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791EF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9401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681A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A3E876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352.76</w:t>
            </w:r>
          </w:p>
        </w:tc>
        <w:tc>
          <w:tcPr>
            <w:tcW w:w="1217" w:type="dxa"/>
            <w:tcBorders>
              <w:top w:val="nil"/>
              <w:left w:val="nil"/>
              <w:bottom w:val="single" w:color="auto" w:sz="4" w:space="0"/>
              <w:right w:val="single" w:color="auto" w:sz="4" w:space="0"/>
            </w:tcBorders>
            <w:shd w:val="clear" w:color="auto" w:fill="auto"/>
            <w:noWrap/>
            <w:vAlign w:val="center"/>
          </w:tcPr>
          <w:p w14:paraId="6ADE6C1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A836E0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DB5D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BF8EA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7CD12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07AB59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1971.51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442D0B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2D74B9E">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2321.05</w:t>
            </w:r>
            <w:r>
              <w:rPr>
                <w:rFonts w:ascii="Times New Roman" w:hAnsi="Times New Roman" w:eastAsia="仿宋_GB2312" w:cs="Times New Roman"/>
                <w:color w:val="000000"/>
                <w:kern w:val="0"/>
                <w:szCs w:val="18"/>
              </w:rPr>
              <w:t>　</w:t>
            </w:r>
          </w:p>
        </w:tc>
      </w:tr>
    </w:tbl>
    <w:p w14:paraId="7750645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E99090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1099DE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F93885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7F4936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F2A3D2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22E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4B0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CB6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0E9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3AC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9AD26C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677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F13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CD77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D40B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1AC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8C4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0A2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D7BF">
            <w:pPr>
              <w:widowControl/>
              <w:jc w:val="center"/>
              <w:rPr>
                <w:rFonts w:ascii="Times New Roman" w:hAnsi="Times New Roman" w:eastAsia="仿宋_GB2312" w:cs="Times New Roman"/>
                <w:color w:val="000000"/>
                <w:sz w:val="24"/>
                <w:szCs w:val="24"/>
              </w:rPr>
            </w:pPr>
          </w:p>
        </w:tc>
      </w:tr>
      <w:tr w14:paraId="61BB8D08">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2C75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43B4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409D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772D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5562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E51E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699F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E6D9E">
            <w:pPr>
              <w:jc w:val="center"/>
              <w:rPr>
                <w:rFonts w:ascii="Times New Roman" w:hAnsi="Times New Roman" w:eastAsia="仿宋_GB2312" w:cs="Times New Roman"/>
                <w:color w:val="000000"/>
                <w:sz w:val="24"/>
                <w:szCs w:val="24"/>
              </w:rPr>
            </w:pPr>
          </w:p>
        </w:tc>
      </w:tr>
      <w:tr w14:paraId="0376E0E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E593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D95C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9C4D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C257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60A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0DC1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87C2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C5D1">
            <w:pPr>
              <w:jc w:val="center"/>
              <w:rPr>
                <w:rFonts w:ascii="Times New Roman" w:hAnsi="Times New Roman" w:eastAsia="仿宋_GB2312" w:cs="Times New Roman"/>
                <w:color w:val="000000"/>
                <w:sz w:val="24"/>
                <w:szCs w:val="24"/>
              </w:rPr>
            </w:pPr>
          </w:p>
        </w:tc>
      </w:tr>
      <w:tr w14:paraId="31DA346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D3F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27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99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40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B8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78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D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4287109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4B1B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8CF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9EE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7EBB">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EB5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39F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281F">
            <w:pPr>
              <w:jc w:val="center"/>
              <w:rPr>
                <w:rFonts w:ascii="Times New Roman" w:hAnsi="Times New Roman" w:eastAsia="仿宋_GB2312" w:cs="Times New Roman"/>
                <w:color w:val="000000"/>
                <w:sz w:val="24"/>
                <w:szCs w:val="24"/>
              </w:rPr>
            </w:pPr>
          </w:p>
        </w:tc>
      </w:tr>
      <w:tr w14:paraId="18092CD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1C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888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4C7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1B1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DD4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B19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754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36B3">
            <w:pPr>
              <w:rPr>
                <w:rFonts w:ascii="Times New Roman" w:hAnsi="Times New Roman" w:eastAsia="仿宋_GB2312" w:cs="Times New Roman"/>
                <w:color w:val="000000"/>
                <w:sz w:val="24"/>
                <w:szCs w:val="24"/>
              </w:rPr>
            </w:pPr>
          </w:p>
        </w:tc>
      </w:tr>
      <w:tr w14:paraId="56F55E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868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01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6E5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8D9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58B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FB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D0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118F">
            <w:pPr>
              <w:rPr>
                <w:rFonts w:ascii="Times New Roman" w:hAnsi="Times New Roman" w:eastAsia="仿宋_GB2312" w:cs="Times New Roman"/>
                <w:color w:val="000000"/>
                <w:sz w:val="24"/>
                <w:szCs w:val="24"/>
              </w:rPr>
            </w:pPr>
          </w:p>
        </w:tc>
      </w:tr>
      <w:tr w14:paraId="18BF389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640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F82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054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985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F62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3F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01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DF51">
            <w:pPr>
              <w:rPr>
                <w:rFonts w:ascii="Times New Roman" w:hAnsi="Times New Roman" w:eastAsia="仿宋_GB2312" w:cs="Times New Roman"/>
                <w:color w:val="000000"/>
                <w:sz w:val="24"/>
                <w:szCs w:val="24"/>
              </w:rPr>
            </w:pPr>
          </w:p>
        </w:tc>
      </w:tr>
      <w:tr w14:paraId="6E00547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90C9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6D9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D13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1D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B50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311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322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D24D">
            <w:pPr>
              <w:rPr>
                <w:rFonts w:ascii="Times New Roman" w:hAnsi="Times New Roman" w:eastAsia="仿宋_GB2312" w:cs="Times New Roman"/>
                <w:color w:val="000000"/>
                <w:sz w:val="24"/>
                <w:szCs w:val="24"/>
              </w:rPr>
            </w:pPr>
          </w:p>
        </w:tc>
      </w:tr>
      <w:tr w14:paraId="64C4717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C2D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229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5B6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BE4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175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8EB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8DD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D74D">
            <w:pPr>
              <w:rPr>
                <w:rFonts w:ascii="Times New Roman" w:hAnsi="Times New Roman" w:eastAsia="仿宋_GB2312" w:cs="Times New Roman"/>
                <w:color w:val="000000"/>
                <w:sz w:val="24"/>
                <w:szCs w:val="24"/>
              </w:rPr>
            </w:pPr>
          </w:p>
        </w:tc>
      </w:tr>
      <w:tr w14:paraId="1A0D883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A32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571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A5A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9D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8F2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59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E1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2F35">
            <w:pPr>
              <w:rPr>
                <w:rFonts w:ascii="Times New Roman" w:hAnsi="Times New Roman" w:eastAsia="仿宋_GB2312" w:cs="Times New Roman"/>
                <w:color w:val="000000"/>
                <w:sz w:val="24"/>
                <w:szCs w:val="24"/>
              </w:rPr>
            </w:pPr>
          </w:p>
        </w:tc>
      </w:tr>
    </w:tbl>
    <w:p w14:paraId="5DC629E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227B12F">
      <w:pPr>
        <w:widowControl/>
        <w:jc w:val="left"/>
        <w:textAlignment w:val="center"/>
        <w:rPr>
          <w:rFonts w:ascii="Times New Roman" w:hAnsi="Times New Roman" w:eastAsia="仿宋_GB2312" w:cs="Times New Roman"/>
          <w:color w:val="000000"/>
          <w:kern w:val="0"/>
          <w:sz w:val="24"/>
          <w:szCs w:val="24"/>
          <w:lang w:bidi="ar"/>
        </w:rPr>
      </w:pPr>
    </w:p>
    <w:p w14:paraId="512458B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EF6108D">
      <w:pPr>
        <w:widowControl/>
        <w:jc w:val="center"/>
        <w:rPr>
          <w:rFonts w:ascii="Times New Roman" w:hAnsi="Times New Roman" w:eastAsia="方正小标宋_GBK" w:cs="Times New Roman"/>
          <w:color w:val="000000"/>
          <w:kern w:val="0"/>
          <w:sz w:val="36"/>
          <w:szCs w:val="36"/>
        </w:rPr>
      </w:pPr>
    </w:p>
    <w:p w14:paraId="4AF3DD5F">
      <w:pPr>
        <w:widowControl/>
        <w:spacing w:line="400" w:lineRule="exact"/>
        <w:textAlignment w:val="center"/>
        <w:rPr>
          <w:rFonts w:ascii="Times New Roman" w:hAnsi="Times New Roman" w:eastAsia="黑体" w:cs="Times New Roman"/>
          <w:color w:val="000000"/>
          <w:kern w:val="0"/>
          <w:sz w:val="36"/>
          <w:szCs w:val="36"/>
          <w:lang w:bidi="ar"/>
        </w:rPr>
      </w:pPr>
    </w:p>
    <w:p w14:paraId="5060FF2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A7F45E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6BE8EC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CE250F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CB8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29E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96499D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A32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CE5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549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222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7C5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385D01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C83A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670F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809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D0D0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20B9B">
            <w:pPr>
              <w:jc w:val="center"/>
              <w:rPr>
                <w:rFonts w:ascii="Times New Roman" w:hAnsi="Times New Roman" w:eastAsia="仿宋_GB2312" w:cs="Times New Roman"/>
                <w:color w:val="000000"/>
                <w:sz w:val="24"/>
                <w:szCs w:val="24"/>
              </w:rPr>
            </w:pPr>
          </w:p>
        </w:tc>
      </w:tr>
      <w:tr w14:paraId="4F3E6A45">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110C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B0FF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8FF4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2FB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F5A1E">
            <w:pPr>
              <w:jc w:val="center"/>
              <w:rPr>
                <w:rFonts w:ascii="Times New Roman" w:hAnsi="Times New Roman" w:eastAsia="仿宋_GB2312" w:cs="Times New Roman"/>
                <w:color w:val="000000"/>
                <w:sz w:val="24"/>
                <w:szCs w:val="24"/>
              </w:rPr>
            </w:pPr>
          </w:p>
        </w:tc>
      </w:tr>
      <w:tr w14:paraId="054276C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7E3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B9A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185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DF0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31F6E1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45B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FF42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FAB1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4A79">
            <w:pPr>
              <w:jc w:val="center"/>
              <w:rPr>
                <w:rFonts w:ascii="Times New Roman" w:hAnsi="Times New Roman" w:eastAsia="仿宋_GB2312" w:cs="Times New Roman"/>
                <w:color w:val="000000"/>
                <w:sz w:val="24"/>
                <w:szCs w:val="24"/>
              </w:rPr>
            </w:pPr>
          </w:p>
        </w:tc>
      </w:tr>
      <w:tr w14:paraId="304EC2F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676F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C152">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781F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70C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462E2">
            <w:pPr>
              <w:rPr>
                <w:rFonts w:ascii="Times New Roman" w:hAnsi="Times New Roman" w:eastAsia="仿宋_GB2312" w:cs="Times New Roman"/>
                <w:color w:val="000000"/>
                <w:sz w:val="24"/>
                <w:szCs w:val="24"/>
              </w:rPr>
            </w:pPr>
          </w:p>
        </w:tc>
      </w:tr>
      <w:tr w14:paraId="4ACBDA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B7E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06B7">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41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A5BD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96C3">
            <w:pPr>
              <w:rPr>
                <w:rFonts w:ascii="Times New Roman" w:hAnsi="Times New Roman" w:eastAsia="仿宋_GB2312" w:cs="Times New Roman"/>
                <w:color w:val="000000"/>
                <w:sz w:val="24"/>
                <w:szCs w:val="24"/>
              </w:rPr>
            </w:pPr>
          </w:p>
        </w:tc>
      </w:tr>
      <w:tr w14:paraId="6ACAF21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AA14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537F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D2A3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7A04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ACFC">
            <w:pPr>
              <w:rPr>
                <w:rFonts w:ascii="Times New Roman" w:hAnsi="Times New Roman" w:eastAsia="宋体" w:cs="Times New Roman"/>
                <w:color w:val="000000"/>
                <w:sz w:val="24"/>
                <w:szCs w:val="24"/>
              </w:rPr>
            </w:pPr>
          </w:p>
        </w:tc>
      </w:tr>
      <w:tr w14:paraId="0531018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A799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E1B5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5838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C563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37298">
            <w:pPr>
              <w:rPr>
                <w:rFonts w:ascii="Times New Roman" w:hAnsi="Times New Roman" w:eastAsia="宋体" w:cs="Times New Roman"/>
                <w:color w:val="000000"/>
                <w:sz w:val="24"/>
                <w:szCs w:val="24"/>
              </w:rPr>
            </w:pPr>
          </w:p>
        </w:tc>
      </w:tr>
      <w:tr w14:paraId="2BBDE35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CDC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B6E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1C4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C595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9025">
            <w:pPr>
              <w:rPr>
                <w:rFonts w:ascii="Times New Roman" w:hAnsi="Times New Roman" w:eastAsia="宋体" w:cs="Times New Roman"/>
                <w:color w:val="000000"/>
                <w:sz w:val="24"/>
                <w:szCs w:val="24"/>
              </w:rPr>
            </w:pPr>
          </w:p>
        </w:tc>
      </w:tr>
      <w:tr w14:paraId="240D8F1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383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D98A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3AF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8141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CAB38">
            <w:pPr>
              <w:rPr>
                <w:rFonts w:ascii="Times New Roman" w:hAnsi="Times New Roman" w:eastAsia="宋体" w:cs="Times New Roman"/>
                <w:color w:val="000000"/>
                <w:sz w:val="24"/>
                <w:szCs w:val="24"/>
              </w:rPr>
            </w:pPr>
          </w:p>
        </w:tc>
      </w:tr>
    </w:tbl>
    <w:p w14:paraId="17BE27F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E41A91E">
      <w:pPr>
        <w:widowControl/>
        <w:jc w:val="left"/>
        <w:textAlignment w:val="center"/>
        <w:rPr>
          <w:rFonts w:ascii="Times New Roman" w:hAnsi="Times New Roman" w:eastAsia="宋体" w:cs="Times New Roman"/>
          <w:color w:val="000000"/>
          <w:kern w:val="0"/>
          <w:sz w:val="24"/>
          <w:szCs w:val="24"/>
          <w:lang w:bidi="ar"/>
        </w:rPr>
      </w:pPr>
    </w:p>
    <w:p w14:paraId="6E53320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5BF31EF">
      <w:pPr>
        <w:widowControl/>
        <w:jc w:val="center"/>
        <w:rPr>
          <w:rFonts w:ascii="Times New Roman" w:hAnsi="Times New Roman" w:eastAsia="方正小标宋_GBK" w:cs="Times New Roman"/>
          <w:color w:val="000000"/>
          <w:kern w:val="0"/>
          <w:sz w:val="36"/>
          <w:szCs w:val="36"/>
        </w:rPr>
      </w:pPr>
    </w:p>
    <w:p w14:paraId="759105C3">
      <w:pPr>
        <w:pStyle w:val="7"/>
        <w:spacing w:line="400" w:lineRule="exact"/>
        <w:rPr>
          <w:rFonts w:ascii="Times New Roman" w:hAnsi="Times New Roman" w:eastAsia="华文中宋" w:cs="Times New Roman"/>
          <w:color w:val="000000"/>
          <w:kern w:val="0"/>
          <w:sz w:val="32"/>
          <w:szCs w:val="32"/>
          <w:lang w:bidi="ar"/>
        </w:rPr>
      </w:pPr>
    </w:p>
    <w:p w14:paraId="2837588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8AC09B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EAC0AE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350C78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FA89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EA17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2F0294E">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A053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664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0A8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956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451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2EF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A87F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76E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B5B2E9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45BA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D05E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D19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B0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76D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572A7">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614A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D2466">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C30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DD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00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69579">
            <w:pPr>
              <w:jc w:val="center"/>
              <w:rPr>
                <w:rFonts w:ascii="Times New Roman" w:hAnsi="Times New Roman" w:eastAsia="仿宋_GB2312" w:cs="Times New Roman"/>
                <w:color w:val="000000"/>
                <w:sz w:val="22"/>
              </w:rPr>
            </w:pPr>
          </w:p>
        </w:tc>
      </w:tr>
      <w:tr w14:paraId="1720C40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A31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BB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C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E3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C6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9B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F6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E7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3B1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E0B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2EA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45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4692F0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691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42D8B">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36E4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1264">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8D04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069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CA9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9516">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1DF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5094C">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1ED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7.97</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56F35">
            <w:pPr>
              <w:rPr>
                <w:rFonts w:ascii="Times New Roman" w:hAnsi="Times New Roman" w:eastAsia="仿宋_GB2312" w:cs="Times New Roman"/>
                <w:color w:val="000000"/>
                <w:sz w:val="22"/>
              </w:rPr>
            </w:pPr>
          </w:p>
        </w:tc>
      </w:tr>
    </w:tbl>
    <w:p w14:paraId="3A51098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32281DE">
      <w:pPr>
        <w:autoSpaceDE w:val="0"/>
        <w:autoSpaceDN w:val="0"/>
        <w:adjustRightInd w:val="0"/>
        <w:ind w:left="315" w:leftChars="150"/>
        <w:jc w:val="left"/>
        <w:rPr>
          <w:rFonts w:ascii="Times New Roman" w:hAnsi="Times New Roman" w:eastAsia="宋体" w:cs="Times New Roman"/>
          <w:kern w:val="0"/>
          <w:sz w:val="24"/>
          <w:szCs w:val="24"/>
        </w:rPr>
      </w:pPr>
    </w:p>
    <w:p w14:paraId="415970CF">
      <w:pPr>
        <w:autoSpaceDE w:val="0"/>
        <w:autoSpaceDN w:val="0"/>
        <w:adjustRightInd w:val="0"/>
        <w:ind w:left="315" w:leftChars="150"/>
        <w:jc w:val="left"/>
        <w:rPr>
          <w:rFonts w:ascii="Times New Roman" w:hAnsi="Times New Roman" w:eastAsia="宋体" w:cs="Times New Roman"/>
          <w:kern w:val="0"/>
          <w:sz w:val="24"/>
          <w:szCs w:val="24"/>
        </w:rPr>
      </w:pPr>
    </w:p>
    <w:p w14:paraId="59AF1916">
      <w:pPr>
        <w:autoSpaceDE w:val="0"/>
        <w:autoSpaceDN w:val="0"/>
        <w:adjustRightInd w:val="0"/>
        <w:ind w:left="315" w:leftChars="150"/>
        <w:jc w:val="left"/>
        <w:rPr>
          <w:rFonts w:ascii="Times New Roman" w:hAnsi="Times New Roman" w:eastAsia="宋体" w:cs="Times New Roman"/>
          <w:kern w:val="0"/>
          <w:sz w:val="24"/>
          <w:szCs w:val="24"/>
        </w:rPr>
      </w:pPr>
    </w:p>
    <w:p w14:paraId="09534A5B">
      <w:pPr>
        <w:autoSpaceDE w:val="0"/>
        <w:autoSpaceDN w:val="0"/>
        <w:adjustRightInd w:val="0"/>
        <w:ind w:left="315" w:leftChars="150"/>
        <w:jc w:val="left"/>
        <w:rPr>
          <w:rFonts w:ascii="Times New Roman" w:hAnsi="Times New Roman" w:eastAsia="宋体" w:cs="Times New Roman"/>
          <w:kern w:val="0"/>
          <w:sz w:val="24"/>
          <w:szCs w:val="24"/>
        </w:rPr>
      </w:pPr>
    </w:p>
    <w:p w14:paraId="47282193">
      <w:pPr>
        <w:autoSpaceDE w:val="0"/>
        <w:autoSpaceDN w:val="0"/>
        <w:adjustRightInd w:val="0"/>
        <w:ind w:left="315" w:leftChars="150"/>
        <w:jc w:val="left"/>
        <w:rPr>
          <w:rFonts w:ascii="Times New Roman" w:hAnsi="Times New Roman" w:eastAsia="宋体" w:cs="Times New Roman"/>
          <w:kern w:val="0"/>
          <w:sz w:val="24"/>
          <w:szCs w:val="24"/>
        </w:rPr>
      </w:pPr>
    </w:p>
    <w:p w14:paraId="41A751C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4AFD66D">
      <w:pPr>
        <w:pStyle w:val="13"/>
        <w:rPr>
          <w:rFonts w:ascii="Times New Roman" w:hAnsi="Times New Roman" w:cs="Times New Roman"/>
          <w:sz w:val="72"/>
          <w:szCs w:val="72"/>
        </w:rPr>
      </w:pPr>
    </w:p>
    <w:p w14:paraId="21CB2628">
      <w:pPr>
        <w:pStyle w:val="13"/>
        <w:rPr>
          <w:rFonts w:ascii="Times New Roman" w:hAnsi="Times New Roman" w:cs="Times New Roman"/>
          <w:sz w:val="72"/>
          <w:szCs w:val="72"/>
        </w:rPr>
      </w:pPr>
    </w:p>
    <w:p w14:paraId="620B684C">
      <w:pPr>
        <w:pStyle w:val="13"/>
        <w:rPr>
          <w:rFonts w:ascii="Times New Roman" w:hAnsi="Times New Roman" w:cs="Times New Roman"/>
          <w:sz w:val="72"/>
          <w:szCs w:val="72"/>
        </w:rPr>
      </w:pPr>
    </w:p>
    <w:p w14:paraId="3B70A77B">
      <w:pPr>
        <w:pStyle w:val="13"/>
        <w:jc w:val="center"/>
        <w:rPr>
          <w:rFonts w:ascii="Times New Roman" w:hAnsi="Times New Roman" w:cs="Times New Roman"/>
          <w:sz w:val="72"/>
          <w:szCs w:val="72"/>
        </w:rPr>
      </w:pPr>
    </w:p>
    <w:p w14:paraId="185E916F">
      <w:pPr>
        <w:pStyle w:val="13"/>
        <w:jc w:val="center"/>
        <w:rPr>
          <w:rFonts w:ascii="Times New Roman" w:hAnsi="Times New Roman" w:eastAsia="方正小标宋_GBK" w:cs="Times New Roman"/>
          <w:sz w:val="72"/>
          <w:szCs w:val="72"/>
        </w:rPr>
      </w:pPr>
    </w:p>
    <w:p w14:paraId="52CC19D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68982D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230688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FFE35C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4E207C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812.95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业务收入下降，单位2025年度厉行节约</w:t>
      </w:r>
      <w:r>
        <w:rPr>
          <w:rFonts w:hint="eastAsia" w:ascii="Times New Roman" w:hAnsi="Times New Roman" w:eastAsia="仿宋_GB2312" w:cs="Times New Roman"/>
          <w:sz w:val="32"/>
          <w:szCs w:val="32"/>
          <w:lang w:eastAsia="zh-CN"/>
        </w:rPr>
        <w:t>。</w:t>
      </w:r>
    </w:p>
    <w:p w14:paraId="2458FFB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办公基本运转</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专项开支</w:t>
      </w:r>
      <w:r>
        <w:rPr>
          <w:rFonts w:hint="eastAsia" w:ascii="Times New Roman" w:hAnsi="Times New Roman" w:eastAsia="仿宋_GB2312" w:cs="Times New Roman"/>
          <w:sz w:val="32"/>
          <w:szCs w:val="32"/>
          <w:lang w:eastAsia="zh-CN"/>
        </w:rPr>
        <w:t>等重点支出，体现在有关支出科目中。</w:t>
      </w:r>
    </w:p>
    <w:p w14:paraId="25C7AC9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40DFF7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2360.91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1933.75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45.05</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w:t>
      </w:r>
    </w:p>
    <w:p w14:paraId="65B4EBA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E0B6E8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3101.45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72.25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1191.11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27.75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A2D7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786091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812.95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业务收入下降。</w:t>
      </w:r>
    </w:p>
    <w:p w14:paraId="6C0C35E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AF1E35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02ADCF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%，与上年相比，财政拨款支出增加减少</w:t>
      </w:r>
      <w:r>
        <w:rPr>
          <w:rFonts w:hint="eastAsia" w:ascii="Times New Roman" w:hAnsi="Times New Roman" w:eastAsia="仿宋_GB2312" w:cs="Times New Roman"/>
          <w:sz w:val="32"/>
          <w:szCs w:val="32"/>
          <w:lang w:val="en-US" w:eastAsia="zh-CN"/>
        </w:rPr>
        <w:t>812.95</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15.92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2025年度厉行节约，落实“过紧日子”要求。</w:t>
      </w:r>
    </w:p>
    <w:p w14:paraId="35749B4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A981A2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1.73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4290.83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FF7E22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4F0AA8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4296.8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%，其中：</w:t>
      </w:r>
    </w:p>
    <w:p w14:paraId="04E430D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14:paraId="7803C93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BD670A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妇幼保健机构</w:t>
      </w:r>
      <w:r>
        <w:rPr>
          <w:rFonts w:ascii="Times New Roman" w:hAnsi="Times New Roman" w:eastAsia="仿宋_GB2312" w:cs="Times New Roman"/>
          <w:sz w:val="32"/>
          <w:szCs w:val="32"/>
        </w:rPr>
        <w:t>（项）。</w:t>
      </w:r>
    </w:p>
    <w:p w14:paraId="185538EA">
      <w:pPr>
        <w:pStyle w:val="13"/>
        <w:overflowPunct w:val="0"/>
        <w:autoSpaceDE/>
        <w:autoSpaceDN/>
        <w:spacing w:line="600" w:lineRule="exact"/>
        <w:ind w:firstLine="640" w:firstLineChars="200"/>
        <w:jc w:val="both"/>
        <w:rPr>
          <w:rFonts w:hint="default" w:ascii="Times New Roman" w:hAnsi="Times New Roman" w:eastAsia="楷体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3971.03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厉行节约，开支严格按照预算执行。2025年度开支主要用于新院搬迁项目建设871.3万元，占财政拨款支出总额20.3%。</w:t>
      </w:r>
    </w:p>
    <w:p w14:paraId="0EB9FBDF">
      <w:pPr>
        <w:pStyle w:val="13"/>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公共卫生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基本公共卫生服务构</w:t>
      </w:r>
      <w:r>
        <w:rPr>
          <w:rFonts w:ascii="Times New Roman" w:hAnsi="Times New Roman" w:eastAsia="仿宋_GB2312" w:cs="Times New Roman"/>
          <w:sz w:val="32"/>
          <w:szCs w:val="32"/>
        </w:rPr>
        <w:t>（项）。</w:t>
      </w:r>
    </w:p>
    <w:p w14:paraId="16A7C879">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320.08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厉行节约，开支严格按照预算执行。</w:t>
      </w:r>
    </w:p>
    <w:p w14:paraId="0BCAE6CD">
      <w:pPr>
        <w:pStyle w:val="13"/>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p>
    <w:p w14:paraId="4EC70FE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C12EF4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3101.45</w:t>
      </w:r>
      <w:r>
        <w:rPr>
          <w:rFonts w:ascii="Times New Roman" w:hAnsi="Times New Roman" w:eastAsia="仿宋_GB2312" w:cs="Times New Roman"/>
          <w:sz w:val="32"/>
          <w:szCs w:val="32"/>
        </w:rPr>
        <w:t>万元，其中：</w:t>
      </w:r>
    </w:p>
    <w:p w14:paraId="086FBBBE">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1968.6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63.47</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599.31万元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247.02万元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136.92万元</w:t>
      </w:r>
      <w:r>
        <w:rPr>
          <w:rFonts w:ascii="Times New Roman" w:hAnsi="Times New Roman" w:eastAsia="仿宋_GB2312" w:cs="Times New Roman"/>
          <w:sz w:val="32"/>
          <w:szCs w:val="32"/>
        </w:rPr>
        <w:t>、伙食补助</w:t>
      </w:r>
      <w:r>
        <w:rPr>
          <w:rFonts w:hint="eastAsia" w:ascii="Times New Roman" w:hAnsi="Times New Roman" w:eastAsia="仿宋_GB2312" w:cs="Times New Roman"/>
          <w:sz w:val="32"/>
          <w:szCs w:val="32"/>
          <w:lang w:val="en-US" w:eastAsia="zh-CN"/>
        </w:rPr>
        <w:t>56.01万元，绩效234.98万元，社保280.5万元，其他工资福利支出393.96万元，对个人和家庭的补助支出19.9万元</w:t>
      </w:r>
    </w:p>
    <w:p w14:paraId="0C13FC9C">
      <w:pPr>
        <w:pStyle w:val="13"/>
        <w:overflowPunct w:val="0"/>
        <w:autoSpaceDE/>
        <w:autoSpaceDN/>
        <w:spacing w:line="600" w:lineRule="exact"/>
        <w:ind w:firstLine="640" w:firstLineChars="200"/>
        <w:jc w:val="both"/>
        <w:rPr>
          <w:rFonts w:hint="default" w:ascii="Times New Roman" w:hAnsi="Times New Roman" w:eastAsia="仿宋_GB2312" w:cs="Times New Roman"/>
          <w:b/>
          <w:sz w:val="32"/>
          <w:szCs w:val="32"/>
          <w:lang w:val="en-US"/>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886.13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28.57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3.51万元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8.64万元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水费8.26万元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电费45.73万元，邮电费5.48万元，物业管理费31.43万元，差旅费2.24万元，维修维护费50.39万元，会议费3.15万元，培训费9.65万元，专用材料费404.97万元，劳务费2.27万元，委托业务费139.68万元，工会经费40.6万元，福利费5.86万元，公务用车运行维护费7.97万元，其他商品服务支出311.63万元，办公设备购置4.75万元，专用设备购置37.9万元，无形资产购置2.46万元，其他资本性支出6.28万元。</w:t>
      </w:r>
    </w:p>
    <w:p w14:paraId="487DC4E0">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2AE3A1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43FEB11">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54.97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33.76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80.92</w:t>
      </w:r>
      <w:r>
        <w:rPr>
          <w:rFonts w:ascii="Times New Roman" w:hAnsi="Times New Roman" w:eastAsia="仿宋_GB2312" w:cs="Times New Roman"/>
          <w:sz w:val="32"/>
          <w:szCs w:val="32"/>
        </w:rPr>
        <w:t>%。决算数小于算数的主要原因是</w:t>
      </w:r>
      <w:r>
        <w:rPr>
          <w:rFonts w:hint="eastAsia" w:ascii="Times New Roman" w:hAnsi="Times New Roman" w:eastAsia="仿宋_GB2312" w:cs="Times New Roman"/>
          <w:sz w:val="32"/>
          <w:szCs w:val="32"/>
          <w:lang w:val="en-US" w:eastAsia="zh-CN"/>
        </w:rPr>
        <w:t>2025年未发生公务接待开支</w:t>
      </w:r>
      <w:r>
        <w:rPr>
          <w:rFonts w:ascii="Times New Roman" w:hAnsi="Times New Roman" w:eastAsia="仿宋_GB2312" w:cs="Times New Roman"/>
          <w:sz w:val="32"/>
          <w:szCs w:val="32"/>
        </w:rPr>
        <w:t>。决算数小于年数的主要原因是</w:t>
      </w:r>
      <w:r>
        <w:rPr>
          <w:rFonts w:hint="eastAsia" w:ascii="Times New Roman" w:hAnsi="Times New Roman" w:eastAsia="仿宋_GB2312" w:cs="Times New Roman"/>
          <w:sz w:val="32"/>
          <w:szCs w:val="32"/>
          <w:lang w:val="en-US" w:eastAsia="zh-CN"/>
        </w:rPr>
        <w:t>2024年度发生公务用车购置费28.02万元，2025年度未发生公务接待费用</w:t>
      </w:r>
      <w:r>
        <w:rPr>
          <w:rFonts w:ascii="Times New Roman" w:hAnsi="Times New Roman" w:eastAsia="仿宋_GB2312" w:cs="Times New Roman"/>
          <w:sz w:val="32"/>
          <w:szCs w:val="32"/>
        </w:rPr>
        <w:t>。</w:t>
      </w:r>
    </w:p>
    <w:p w14:paraId="104D798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4A70956">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14:paraId="0236B7F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54.97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30.82</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79.45</w:t>
      </w:r>
      <w:r>
        <w:rPr>
          <w:rFonts w:ascii="Times New Roman" w:hAnsi="Times New Roman" w:eastAsia="仿宋_GB2312" w:cs="Times New Roman"/>
          <w:sz w:val="32"/>
          <w:szCs w:val="32"/>
        </w:rPr>
        <w:t>%。其中：</w:t>
      </w:r>
    </w:p>
    <w:p w14:paraId="7843FCC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ascii="Times New Roman" w:hAnsi="Times New Roman" w:eastAsia="仿宋_GB2312" w:cs="Times New Roman"/>
          <w:color w:val="000000" w:themeColor="text1"/>
          <w:sz w:val="32"/>
          <w:szCs w:val="32"/>
          <w14:textFill>
            <w14:solidFill>
              <w14:schemeClr w14:val="tx1"/>
            </w14:solidFill>
          </w14:textFill>
        </w:rPr>
        <w:t>。</w:t>
      </w:r>
    </w:p>
    <w:p w14:paraId="05FA2F5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7.97</w:t>
      </w:r>
      <w:r>
        <w:rPr>
          <w:rFonts w:ascii="Times New Roman" w:hAnsi="Times New Roman" w:eastAsia="仿宋_GB2312" w:cs="Times New Roman"/>
          <w:sz w:val="32"/>
          <w:szCs w:val="32"/>
        </w:rPr>
        <w:t>万元，</w:t>
      </w:r>
    </w:p>
    <w:p w14:paraId="328F1841">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车辆保险费，加油费等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69.3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26.02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节约用车开支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公务用车比上年有所减少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14:paraId="009F6DA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w:t>
      </w:r>
      <w:r>
        <w:rPr>
          <w:rFonts w:hint="eastAsia" w:ascii="Times New Roman" w:hAnsi="Times New Roman" w:eastAsia="仿宋_GB2312" w:cs="Times New Roman"/>
          <w:sz w:val="32"/>
          <w:szCs w:val="32"/>
          <w:lang w:val="en-US" w:eastAsia="zh-CN"/>
        </w:rPr>
        <w:t>预</w:t>
      </w:r>
      <w:r>
        <w:rPr>
          <w:rFonts w:ascii="Times New Roman" w:hAnsi="Times New Roman" w:eastAsia="仿宋_GB2312" w:cs="Times New Roman"/>
          <w:sz w:val="32"/>
          <w:szCs w:val="32"/>
        </w:rPr>
        <w:t>算数的主要原因是</w:t>
      </w:r>
      <w:r>
        <w:rPr>
          <w:rFonts w:hint="eastAsia" w:ascii="Times New Roman" w:hAnsi="Times New Roman" w:eastAsia="仿宋_GB2312" w:cs="Times New Roman"/>
          <w:sz w:val="32"/>
          <w:szCs w:val="32"/>
          <w:lang w:val="en-US" w:eastAsia="zh-CN"/>
        </w:rPr>
        <w:t>2025年未发生公务接待开支</w:t>
      </w:r>
      <w:r>
        <w:rPr>
          <w:rFonts w:ascii="Times New Roman" w:hAnsi="Times New Roman" w:eastAsia="仿宋_GB2312" w:cs="Times New Roman"/>
          <w:sz w:val="32"/>
          <w:szCs w:val="32"/>
        </w:rPr>
        <w:t>。</w:t>
      </w:r>
      <w:r>
        <w:rPr>
          <w:rFonts w:ascii="Times New Roman" w:hAnsi="Times New Roman" w:cs="Times New Roman"/>
          <w:bCs/>
          <w:sz w:val="32"/>
          <w:szCs w:val="32"/>
        </w:rPr>
        <w:t>八、政府性基金预算收入支出决算情况</w:t>
      </w:r>
    </w:p>
    <w:p w14:paraId="221290C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万元。具体情况如下：本单位无政府性基金收支</w:t>
      </w:r>
      <w:r>
        <w:rPr>
          <w:rFonts w:hint="eastAsia" w:ascii="Times New Roman" w:hAnsi="Times New Roman" w:eastAsia="仿宋_GB2312" w:cs="Times New Roman"/>
          <w:sz w:val="32"/>
          <w:szCs w:val="32"/>
          <w:lang w:eastAsia="zh-CN"/>
        </w:rPr>
        <w:t>。</w:t>
      </w:r>
    </w:p>
    <w:p w14:paraId="64ACDF0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37B6760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6AEFDB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，比年初预算数（或者上年决算数）增加（减少）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本单位无机关运行经费支出</w:t>
      </w:r>
      <w:r>
        <w:rPr>
          <w:rFonts w:ascii="Times New Roman" w:hAnsi="Times New Roman" w:eastAsia="仿宋_GB2312" w:cs="Times New Roman"/>
          <w:sz w:val="32"/>
          <w:szCs w:val="32"/>
        </w:rPr>
        <w:t>。</w:t>
      </w:r>
    </w:p>
    <w:p w14:paraId="087CB4B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E39147D">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4.03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业务培训</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艾梅乙督导会议、儿保康复专业会议、优生优育妇产大会会议等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11.12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母婴安全培训、儿童保健技术培训、专业继续教育</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p>
    <w:p w14:paraId="3167E63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A20845D">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F99EFF2">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8DA5E06">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单位用皮卡车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7</w:t>
      </w:r>
      <w:r>
        <w:rPr>
          <w:rFonts w:ascii="Times New Roman" w:hAnsi="Times New Roman" w:eastAsia="仿宋_GB2312" w:cs="Times New Roman"/>
          <w:color w:val="auto"/>
          <w:sz w:val="32"/>
          <w:szCs w:val="32"/>
        </w:rPr>
        <w:t>台（套）。</w:t>
      </w:r>
    </w:p>
    <w:p w14:paraId="25919020">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E37858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147D7FBE">
      <w:pPr>
        <w:overflowPunct w:val="0"/>
        <w:spacing w:line="600" w:lineRule="exact"/>
        <w:ind w:firstLine="640" w:firstLineChars="200"/>
        <w:rPr>
          <w:rFonts w:hint="default" w:ascii="Times New Roman" w:hAnsi="Times New Roman" w:eastAsia="仿宋_GB2312" w:cs="黑体"/>
          <w:color w:val="000000"/>
          <w:kern w:val="0"/>
          <w:sz w:val="32"/>
          <w:szCs w:val="32"/>
          <w:lang w:val="en-US" w:eastAsia="zh-CN" w:bidi="ar-SA"/>
        </w:rPr>
      </w:pPr>
      <w:r>
        <w:rPr>
          <w:rFonts w:ascii="Times New Roman" w:hAnsi="Times New Roman" w:eastAsia="仿宋_GB2312" w:cs="Times New Roman"/>
          <w:b/>
          <w:bCs/>
          <w:kern w:val="0"/>
          <w:sz w:val="32"/>
          <w:szCs w:val="32"/>
        </w:rPr>
        <w:t>一</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167.9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167.9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我院对照年度妇幼公卫项目绩效和上级考核要求，对</w:t>
      </w:r>
      <w:r>
        <w:rPr>
          <w:rFonts w:hint="eastAsia" w:ascii="Times New Roman" w:hAnsi="Times New Roman" w:eastAsia="仿宋_GB2312" w:cs="黑体"/>
          <w:color w:val="000000"/>
          <w:kern w:val="0"/>
          <w:sz w:val="32"/>
          <w:szCs w:val="32"/>
          <w:lang w:val="en-US" w:eastAsia="zh-CN" w:bidi="ar-SA"/>
        </w:rPr>
        <w:t>“艾梅乙防治”“农村适龄妇女两癌免费筛查”“孕产妇免费产前筛查和新生儿先天性心脏病筛查”“降消项目”“免费婚前医学检查”等5个项目开展了绩效自评。我院成立绩效自评工作小组，由分管副院长牵头保健科、医务科、财务科、体检科、门诊妇产科共同参与。以项目资金台账、服务登记表、信息系统数据、随访记录、实验室检测记录为依据，核对“数量-质量-时效-成本-效益-满意度”六类指标，对5个项目分别填写《项目支出绩效自评表》形成“一个项目一套台账、一张指标表、一份问题清单”，重点核查是否存在虚报筛查人数、随访闭环不完整、资金拨付不及时、系统数据与纸质资料不一致等问题。经自评，5个项目年度产出任务总体完成，艾梅乙应筛尽筛、两癌和产筛完成上级下达任务、婚检率稳中有升、降消核心指标保持达标。</w:t>
      </w:r>
    </w:p>
    <w:p w14:paraId="3C04EC23">
      <w:pPr>
        <w:overflowPunct w:val="0"/>
        <w:spacing w:line="600" w:lineRule="exact"/>
        <w:ind w:firstLine="640" w:firstLineChars="200"/>
        <w:rPr>
          <w:rFonts w:hint="default" w:ascii="Times New Roman" w:hAnsi="Times New Roman" w:eastAsia="仿宋_GB2312" w:cs="Times New Roman"/>
          <w:kern w:val="0"/>
          <w:sz w:val="32"/>
          <w:szCs w:val="32"/>
          <w:lang w:val="en-US" w:eastAsia="zh-CN"/>
        </w:rPr>
      </w:pPr>
      <w:r>
        <w:rPr>
          <w:rFonts w:ascii="Times New Roman" w:hAnsi="Times New Roman" w:eastAsia="仿宋_GB2312" w:cs="Times New Roman"/>
          <w:b/>
          <w:bCs/>
          <w:kern w:val="0"/>
          <w:sz w:val="32"/>
          <w:szCs w:val="32"/>
        </w:rPr>
        <w:t>二</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b/>
          <w:bCs/>
          <w:kern w:val="0"/>
          <w:sz w:val="32"/>
          <w:szCs w:val="32"/>
          <w:lang w:eastAsia="zh-CN"/>
        </w:rPr>
        <w:t>。</w:t>
      </w:r>
      <w:r>
        <w:rPr>
          <w:rFonts w:hint="eastAsia" w:ascii="Times New Roman" w:hAnsi="Times New Roman" w:eastAsia="仿宋_GB2312" w:cs="Times New Roman"/>
          <w:b w:val="0"/>
          <w:bCs w:val="0"/>
          <w:kern w:val="0"/>
          <w:sz w:val="32"/>
          <w:szCs w:val="32"/>
          <w:lang w:val="en-US" w:eastAsia="zh-CN"/>
        </w:rPr>
        <w:t>由道县卫生健康局及财政局</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val="en-US" w:eastAsia="zh-CN"/>
        </w:rPr>
        <w:t>我</w:t>
      </w:r>
      <w:r>
        <w:rPr>
          <w:rFonts w:ascii="Times New Roman" w:hAnsi="Times New Roman" w:eastAsia="仿宋_GB2312" w:cs="Times New Roman"/>
          <w:kern w:val="0"/>
          <w:sz w:val="32"/>
          <w:szCs w:val="32"/>
        </w:rPr>
        <w:t>单位</w:t>
      </w:r>
      <w:r>
        <w:rPr>
          <w:rFonts w:hint="eastAsia" w:ascii="Times New Roman" w:hAnsi="Times New Roman" w:eastAsia="仿宋_GB2312" w:cs="Times New Roman"/>
          <w:kern w:val="0"/>
          <w:sz w:val="32"/>
          <w:szCs w:val="32"/>
          <w:lang w:val="en-US" w:eastAsia="zh-CN"/>
        </w:rPr>
        <w:t>5个妇幼项目开展部门绩效评价。评价方式有1、听取妇幼保健院项目汇报；2、查阅项目实施方案、资金文件、筛查名册、阳性病例随访表；3、电话回访服务对象、开展知晓率和满意度调查等。评价内容覆盖组织管理、资金管理、项目执行、项目效果、群众满意度与社会效益。</w:t>
      </w:r>
    </w:p>
    <w:p w14:paraId="63827C38">
      <w:pPr>
        <w:overflowPunct w:val="0"/>
        <w:spacing w:line="600" w:lineRule="exact"/>
        <w:ind w:firstLine="640" w:firstLineChars="200"/>
        <w:rPr>
          <w:rFonts w:hint="default" w:ascii="Times New Roman" w:hAnsi="Times New Roman" w:eastAsia="仿宋_GB2312" w:cs="Times New Roman"/>
          <w:b/>
          <w:bCs/>
          <w:kern w:val="0"/>
          <w:sz w:val="32"/>
          <w:szCs w:val="32"/>
          <w:lang w:val="en-US" w:eastAsia="zh-CN"/>
        </w:rPr>
      </w:pPr>
      <w:r>
        <w:rPr>
          <w:rFonts w:ascii="Times New Roman" w:hAnsi="Times New Roman" w:eastAsia="仿宋_GB2312" w:cs="Times New Roman"/>
          <w:b/>
          <w:bCs/>
          <w:kern w:val="0"/>
          <w:sz w:val="32"/>
          <w:szCs w:val="32"/>
        </w:rPr>
        <w:t>三</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b w:val="0"/>
          <w:bCs w:val="0"/>
          <w:kern w:val="0"/>
          <w:sz w:val="32"/>
          <w:szCs w:val="32"/>
          <w:lang w:val="en-US" w:eastAsia="zh-CN"/>
        </w:rPr>
        <w:t>对年度妇幼项目开展事前绩效评估，1、项目立项必要性评估：是否属于妇幼民生刚需，是否对接上级政策（母婴安全、出生缺陷防治、健康中国）；2、投入经济性评估：人均筛查成本、试剂耗材、随访人力、交通宣教费用等；3、方案可行性评估：基层采样能力、实验室资质、阳性转诊通道、数据系统支撑；4、风险与可持续性评估：假阴性风险、随访失联风险、财政持续报账能力；5、产出效益预测：预计筛查人、阳性检出人、阻断成功率，群众满意度。结论：我单位5类项目立项依据充分、绩效目标清晰、资金测算合理、具备实施条件；对婚检动员不足，基层产筛随访力量薄弱等风险提出前置整改措施。</w:t>
      </w:r>
    </w:p>
    <w:p w14:paraId="13C3F852">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42FB5608">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kern w:val="0"/>
          <w:sz w:val="32"/>
          <w:szCs w:val="32"/>
        </w:rPr>
        <w:t>一</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4354.4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4292.56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98.58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其中</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91.84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艾梅乙防治，自评得分93.72分，等级优，孕产妇三病检测率100%，母婴阻断规范开展</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两癌筛查，自评得分93.14分，等级优，完成7051人，宫颈癌/乳腺癌早诊率达标；三是产前筛查，自评得分93.12分，等级优，产筛人数2938人，高风险随访率100%；四是降消项目，自评得分94.66分，等级优，孕产妇死亡率0%，消除新生儿破伤风险；五是婚检项目，自评得分96.86分，等级优，婚检率97.35%，宣传动员有待加强</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婚检人群覆盖率波动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部分阳性病例随访时限偏长、基层台账书写不规范</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阳性案例加强规范工作，积极指导基层台账登记</w:t>
      </w:r>
      <w:r>
        <w:rPr>
          <w:rFonts w:ascii="Times New Roman" w:hAnsi="Times New Roman" w:eastAsia="仿宋_GB2312" w:cs="Times New Roman"/>
          <w:sz w:val="32"/>
          <w:szCs w:val="32"/>
        </w:rPr>
        <w:t>。</w:t>
      </w:r>
    </w:p>
    <w:p w14:paraId="65824B43">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lang w:val="en-US" w:eastAsia="zh-CN"/>
        </w:rPr>
        <w:t>5类</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215.3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77.98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91.84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项目组织管理和资金执行总体规范</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个别基层机构在系统录入滞后、随访记录不够规范</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加强基层工作，积极指导改进</w:t>
      </w:r>
      <w:r>
        <w:rPr>
          <w:rFonts w:ascii="Times New Roman" w:hAnsi="Times New Roman" w:eastAsia="仿宋_GB2312" w:cs="Times New Roman"/>
          <w:kern w:val="0"/>
          <w:sz w:val="32"/>
          <w:szCs w:val="32"/>
        </w:rPr>
        <w:t>。</w:t>
      </w:r>
    </w:p>
    <w:p w14:paraId="26EAE6DA">
      <w:pPr>
        <w:overflowPunct w:val="0"/>
        <w:spacing w:line="600" w:lineRule="exact"/>
        <w:ind w:firstLine="640" w:firstLineChars="200"/>
        <w:rPr>
          <w:rFonts w:hint="default" w:ascii="Times New Roman" w:hAnsi="Times New Roman" w:eastAsia="仿宋_GB2312" w:cs="Times New Roman"/>
          <w:bCs/>
          <w:sz w:val="32"/>
          <w:szCs w:val="32"/>
          <w:lang w:val="en-US" w:eastAsia="zh-CN"/>
        </w:rPr>
      </w:pPr>
      <w:r>
        <w:rPr>
          <w:rFonts w:ascii="Times New Roman" w:hAnsi="Times New Roman" w:eastAsia="仿宋_GB2312" w:cs="Times New Roman"/>
          <w:b/>
          <w:bCs/>
          <w:kern w:val="0"/>
          <w:sz w:val="32"/>
          <w:szCs w:val="32"/>
        </w:rPr>
        <w:t>三</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167.9</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5个项目均应纳入年度预算保障，但需压缩低效宣教支出、增加随访和阳性管理经费。</w:t>
      </w:r>
    </w:p>
    <w:p w14:paraId="02BE67A6">
      <w:pPr>
        <w:pStyle w:val="13"/>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2B715BF8">
      <w:pPr>
        <w:pStyle w:val="13"/>
        <w:overflowPunct w:val="0"/>
        <w:autoSpaceDE/>
        <w:autoSpaceDN/>
        <w:spacing w:line="600" w:lineRule="exact"/>
        <w:ind w:firstLine="640" w:firstLineChars="200"/>
        <w:jc w:val="both"/>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1、与预算安排挂钩：对评“优”的艾梅乙、降消、两癌、产筛项目，下一年度优先保障；</w:t>
      </w:r>
    </w:p>
    <w:p w14:paraId="45CE48DB">
      <w:pPr>
        <w:pStyle w:val="13"/>
        <w:overflowPunct w:val="0"/>
        <w:autoSpaceDE/>
        <w:autoSpaceDN/>
        <w:spacing w:line="600" w:lineRule="exact"/>
        <w:ind w:firstLine="640" w:firstLineChars="200"/>
        <w:jc w:val="both"/>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2、有问题整改挂钩：针对部门评价反馈，建立“问题清单+责任科室+整改时限”台账，已完成婚检台账、产筛随访表、两癌阳性转诊单统一规范；</w:t>
      </w:r>
    </w:p>
    <w:p w14:paraId="5AB3203C">
      <w:pPr>
        <w:pStyle w:val="13"/>
        <w:overflowPunct w:val="0"/>
        <w:autoSpaceDE/>
        <w:autoSpaceDN/>
        <w:spacing w:line="600" w:lineRule="exact"/>
        <w:ind w:firstLine="640" w:firstLineChars="200"/>
        <w:jc w:val="both"/>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3、与绩效问责挂钩：对数据错报、随访漏登记的科室进行通报批评，纳入科室年度绩效考核；</w:t>
      </w:r>
    </w:p>
    <w:p w14:paraId="58936571">
      <w:pPr>
        <w:pStyle w:val="13"/>
        <w:overflowPunct w:val="0"/>
        <w:autoSpaceDE/>
        <w:autoSpaceDN/>
        <w:spacing w:line="600" w:lineRule="exact"/>
        <w:ind w:firstLine="640" w:firstLineChars="200"/>
        <w:jc w:val="both"/>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4、与流程优化挂钩：推动婚检+孕优+叶酸+艾梅乙检测“一站式”服务；两癌阳性病例开通绿色转诊通道；</w:t>
      </w:r>
    </w:p>
    <w:p w14:paraId="6CB82514">
      <w:pPr>
        <w:pStyle w:val="13"/>
        <w:overflowPunct w:val="0"/>
        <w:autoSpaceDE/>
        <w:autoSpaceDN/>
        <w:spacing w:line="600" w:lineRule="exact"/>
        <w:ind w:firstLine="640" w:firstLineChars="200"/>
        <w:jc w:val="both"/>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5、与能力提升挂钩：用评价结果倒各项目积极进行培训；</w:t>
      </w:r>
    </w:p>
    <w:p w14:paraId="6B0C8D73">
      <w:pPr>
        <w:pStyle w:val="13"/>
        <w:overflowPunct w:val="0"/>
        <w:autoSpaceDE/>
        <w:autoSpaceDN/>
        <w:spacing w:line="600" w:lineRule="exact"/>
        <w:ind w:firstLine="640" w:firstLineChars="200"/>
        <w:jc w:val="both"/>
        <w:rPr>
          <w:rFonts w:ascii="Times New Roman" w:hAnsi="Times New Roman" w:cs="Times New Roman"/>
          <w:sz w:val="72"/>
          <w:szCs w:val="72"/>
        </w:rPr>
      </w:pPr>
      <w:r>
        <w:rPr>
          <w:rFonts w:hint="eastAsia" w:ascii="Times New Roman" w:hAnsi="Times New Roman" w:eastAsia="仿宋_GB2312" w:cs="Times New Roman"/>
          <w:b w:val="0"/>
          <w:bCs w:val="0"/>
          <w:color w:val="auto"/>
          <w:sz w:val="32"/>
          <w:szCs w:val="32"/>
          <w:lang w:val="en-US" w:eastAsia="zh-CN"/>
        </w:rPr>
        <w:t>6、与群众满意度提升挂钩：根据回访结果，延长婚检、两癌服务时间，提升满意度。</w:t>
      </w:r>
    </w:p>
    <w:p w14:paraId="1D4DD75F">
      <w:pPr>
        <w:pStyle w:val="13"/>
        <w:jc w:val="both"/>
        <w:rPr>
          <w:rFonts w:ascii="Times New Roman" w:hAnsi="Times New Roman" w:cs="Times New Roman"/>
          <w:sz w:val="72"/>
          <w:szCs w:val="72"/>
        </w:rPr>
      </w:pPr>
    </w:p>
    <w:p w14:paraId="2262F95E">
      <w:pPr>
        <w:pStyle w:val="13"/>
        <w:jc w:val="both"/>
        <w:rPr>
          <w:rFonts w:ascii="Times New Roman" w:hAnsi="Times New Roman" w:cs="Times New Roman"/>
          <w:sz w:val="72"/>
          <w:szCs w:val="72"/>
        </w:rPr>
      </w:pPr>
    </w:p>
    <w:p w14:paraId="2AF0B91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8AAD57C">
      <w:pPr>
        <w:widowControl/>
        <w:jc w:val="left"/>
        <w:rPr>
          <w:rFonts w:ascii="Times New Roman" w:hAnsi="Times New Roman" w:cs="Times New Roman"/>
          <w:color w:val="000000"/>
          <w:kern w:val="0"/>
          <w:sz w:val="32"/>
          <w:szCs w:val="32"/>
        </w:rPr>
      </w:pPr>
    </w:p>
    <w:p w14:paraId="01FB3BC1">
      <w:pPr>
        <w:pStyle w:val="21"/>
        <w:numPr>
          <w:ilvl w:val="0"/>
          <w:numId w:val="2"/>
        </w:numPr>
        <w:shd w:val="clear" w:color="auto" w:fill="FFFFFF"/>
        <w:ind w:firstLine="640" w:firstLineChars="200"/>
        <w:rPr>
          <w:rFonts w:ascii="黑体" w:hAnsi="黑体" w:eastAsia="黑体" w:cs="黑体"/>
          <w:color w:val="000000"/>
        </w:rPr>
      </w:pPr>
      <w:r>
        <w:rPr>
          <w:rFonts w:hint="eastAsia" w:ascii="黑体" w:hAnsi="黑体" w:eastAsia="黑体" w:cs="黑体"/>
          <w:b/>
          <w:bCs/>
          <w:color w:val="000000"/>
        </w:rPr>
        <w:t>机关运行经费</w:t>
      </w:r>
    </w:p>
    <w:p w14:paraId="2F89DE14">
      <w:pPr>
        <w:pStyle w:val="21"/>
        <w:shd w:val="clear" w:color="auto" w:fill="FFFFFF"/>
        <w:ind w:firstLine="640" w:firstLineChars="200"/>
        <w:rPr>
          <w:rFonts w:ascii="黑体" w:hAnsi="黑体" w:eastAsia="黑体" w:cs="黑体"/>
          <w:color w:val="000000"/>
        </w:rPr>
      </w:pPr>
      <w:r>
        <w:rPr>
          <w:rFonts w:hint="eastAsia" w:ascii="仿宋_GB2312" w:hAnsi="仿宋_GB2312" w:cs="仿宋_GB2312"/>
          <w:color w:val="000000"/>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1FEEBA32">
      <w:pPr>
        <w:pStyle w:val="21"/>
        <w:numPr>
          <w:ilvl w:val="0"/>
          <w:numId w:val="2"/>
        </w:numPr>
        <w:shd w:val="clear" w:color="auto" w:fill="FFFFFF"/>
        <w:ind w:firstLine="640" w:firstLineChars="200"/>
        <w:rPr>
          <w:rFonts w:ascii="黑体" w:hAnsi="黑体" w:eastAsia="黑体" w:cs="黑体"/>
          <w:b/>
          <w:bCs/>
          <w:color w:val="000000"/>
        </w:rPr>
      </w:pPr>
      <w:r>
        <w:rPr>
          <w:rFonts w:hint="eastAsia" w:ascii="黑体" w:hAnsi="黑体" w:eastAsia="黑体" w:cs="黑体"/>
          <w:b/>
          <w:bCs/>
          <w:color w:val="000000"/>
          <w:lang w:eastAsia="zh-CN"/>
        </w:rPr>
        <w:t>“</w:t>
      </w:r>
      <w:r>
        <w:rPr>
          <w:rFonts w:hint="eastAsia" w:ascii="黑体" w:hAnsi="黑体" w:eastAsia="黑体" w:cs="黑体"/>
          <w:b/>
          <w:bCs/>
          <w:color w:val="000000"/>
        </w:rPr>
        <w:t>三公”经费</w:t>
      </w:r>
    </w:p>
    <w:p w14:paraId="07C07F32">
      <w:pPr>
        <w:pStyle w:val="21"/>
        <w:shd w:val="clear" w:color="auto" w:fill="FFFFFF"/>
        <w:ind w:firstLine="640" w:firstLineChars="200"/>
        <w:rPr>
          <w:rFonts w:ascii="仿宋_GB2312" w:hAnsi="仿宋_GB2312" w:cs="仿宋_GB2312"/>
          <w:color w:val="000000"/>
        </w:rPr>
      </w:pPr>
      <w:r>
        <w:rPr>
          <w:rFonts w:hint="eastAsia" w:ascii="仿宋_GB2312" w:hAnsi="仿宋_GB2312" w:cs="仿宋_GB2312"/>
          <w:color w:val="000000"/>
        </w:rPr>
        <w:t>纳入省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CAB15C3">
      <w:pPr>
        <w:numPr>
          <w:ilvl w:val="0"/>
          <w:numId w:val="3"/>
        </w:numPr>
        <w:spacing w:line="600" w:lineRule="exact"/>
        <w:rPr>
          <w:rFonts w:ascii="黑体" w:hAnsi="黑体" w:eastAsia="黑体"/>
          <w:b/>
          <w:bCs/>
          <w:sz w:val="32"/>
          <w:szCs w:val="32"/>
        </w:rPr>
      </w:pPr>
      <w:r>
        <w:rPr>
          <w:rFonts w:hint="eastAsia" w:ascii="黑体" w:hAnsi="黑体" w:eastAsia="黑体"/>
          <w:b/>
          <w:bCs/>
          <w:sz w:val="32"/>
          <w:szCs w:val="32"/>
        </w:rPr>
        <w:t>艾梅乙</w:t>
      </w:r>
    </w:p>
    <w:p w14:paraId="2905C927">
      <w:pPr>
        <w:spacing w:line="600" w:lineRule="exact"/>
        <w:ind w:left="160"/>
        <w:rPr>
          <w:rFonts w:eastAsia="仿宋_GB2312"/>
          <w:sz w:val="32"/>
          <w:szCs w:val="32"/>
        </w:rPr>
      </w:pPr>
      <w:r>
        <w:rPr>
          <w:rFonts w:hint="eastAsia" w:ascii="仿宋_GB2312" w:hAnsi="仿宋_GB2312" w:eastAsia="仿宋_GB2312" w:cs="仿宋_GB2312"/>
          <w:color w:val="000000"/>
          <w:sz w:val="32"/>
          <w:szCs w:val="32"/>
        </w:rPr>
        <w:t>预防艾滋病、梅毒、乙肝母婴传播。</w:t>
      </w:r>
    </w:p>
    <w:p w14:paraId="4DE86925">
      <w:pPr>
        <w:numPr>
          <w:ilvl w:val="0"/>
          <w:numId w:val="3"/>
        </w:numPr>
        <w:spacing w:line="600" w:lineRule="exact"/>
        <w:rPr>
          <w:rFonts w:ascii="黑体" w:hAnsi="黑体" w:eastAsia="黑体"/>
          <w:b/>
          <w:bCs/>
          <w:sz w:val="32"/>
          <w:szCs w:val="32"/>
        </w:rPr>
      </w:pPr>
      <w:r>
        <w:rPr>
          <w:rFonts w:hint="eastAsia" w:ascii="黑体" w:hAnsi="黑体" w:eastAsia="黑体"/>
          <w:b/>
          <w:bCs/>
          <w:sz w:val="32"/>
          <w:szCs w:val="32"/>
        </w:rPr>
        <w:t>降消</w:t>
      </w:r>
    </w:p>
    <w:p w14:paraId="2DF7ACFE">
      <w:pPr>
        <w:spacing w:line="600" w:lineRule="exact"/>
        <w:ind w:left="160"/>
        <w:rPr>
          <w:rFonts w:eastAsia="仿宋_GB2312"/>
          <w:sz w:val="32"/>
          <w:szCs w:val="32"/>
        </w:rPr>
      </w:pPr>
      <w:r>
        <w:rPr>
          <w:rFonts w:hint="eastAsia" w:ascii="仿宋_GB2312" w:hAnsi="仿宋_GB2312" w:eastAsia="仿宋_GB2312" w:cs="仿宋_GB2312"/>
          <w:color w:val="000000"/>
          <w:sz w:val="32"/>
          <w:szCs w:val="32"/>
        </w:rPr>
        <w:t>降低孕产妇新生儿死亡率消除新生儿破伤风。</w:t>
      </w:r>
    </w:p>
    <w:p w14:paraId="7D2A98C4">
      <w:pPr>
        <w:numPr>
          <w:ilvl w:val="0"/>
          <w:numId w:val="3"/>
        </w:numPr>
        <w:spacing w:line="600" w:lineRule="exact"/>
        <w:rPr>
          <w:rFonts w:ascii="黑体" w:hAnsi="黑体" w:eastAsia="黑体"/>
          <w:b/>
          <w:bCs/>
          <w:sz w:val="32"/>
          <w:szCs w:val="32"/>
        </w:rPr>
      </w:pPr>
      <w:r>
        <w:rPr>
          <w:rFonts w:hint="eastAsia" w:ascii="黑体" w:hAnsi="黑体" w:eastAsia="黑体"/>
          <w:b/>
          <w:bCs/>
          <w:sz w:val="32"/>
          <w:szCs w:val="32"/>
        </w:rPr>
        <w:t>两癌</w:t>
      </w:r>
    </w:p>
    <w:p w14:paraId="0898080E">
      <w:pPr>
        <w:spacing w:line="600" w:lineRule="exact"/>
        <w:rPr>
          <w:rFonts w:ascii="黑体" w:hAnsi="黑体" w:eastAsia="黑体"/>
          <w:b/>
          <w:bCs/>
          <w:sz w:val="32"/>
          <w:szCs w:val="32"/>
        </w:rPr>
      </w:pPr>
      <w:r>
        <w:rPr>
          <w:rFonts w:hint="eastAsia" w:ascii="仿宋_GB2312" w:hAnsi="黑体" w:eastAsia="仿宋_GB2312"/>
          <w:sz w:val="32"/>
          <w:szCs w:val="32"/>
        </w:rPr>
        <w:t>开展农村适龄妇女宫颈癌、乳腺癌筛查工作.</w:t>
      </w:r>
    </w:p>
    <w:p w14:paraId="49CC5832">
      <w:pPr>
        <w:numPr>
          <w:ilvl w:val="0"/>
          <w:numId w:val="3"/>
        </w:numPr>
        <w:spacing w:line="600" w:lineRule="exact"/>
        <w:rPr>
          <w:rFonts w:ascii="黑体" w:hAnsi="黑体" w:eastAsia="黑体"/>
          <w:b/>
          <w:bCs/>
          <w:sz w:val="32"/>
          <w:szCs w:val="32"/>
        </w:rPr>
      </w:pPr>
      <w:r>
        <w:rPr>
          <w:rFonts w:hint="eastAsia" w:ascii="黑体" w:hAnsi="黑体" w:eastAsia="黑体"/>
          <w:b/>
          <w:bCs/>
          <w:sz w:val="32"/>
          <w:szCs w:val="32"/>
        </w:rPr>
        <w:t>孕前优生</w:t>
      </w:r>
    </w:p>
    <w:p w14:paraId="56BFF0A0">
      <w:pPr>
        <w:spacing w:line="600" w:lineRule="exact"/>
        <w:ind w:left="-8"/>
        <w:rPr>
          <w:rFonts w:ascii="黑体" w:hAnsi="黑体" w:eastAsia="黑体"/>
          <w:b/>
          <w:bCs/>
          <w:sz w:val="32"/>
          <w:szCs w:val="32"/>
        </w:rPr>
      </w:pPr>
      <w:r>
        <w:rPr>
          <w:rFonts w:hint="eastAsia" w:ascii="仿宋_GB2312" w:hAnsi="仿宋_GB2312" w:eastAsia="仿宋_GB2312" w:cs="仿宋_GB2312"/>
          <w:sz w:val="32"/>
          <w:szCs w:val="32"/>
        </w:rPr>
        <w:t>国家免费孕前优生健康检查项目</w:t>
      </w:r>
    </w:p>
    <w:p w14:paraId="50F1D77D">
      <w:pPr>
        <w:numPr>
          <w:ilvl w:val="0"/>
          <w:numId w:val="3"/>
        </w:numPr>
        <w:spacing w:line="600" w:lineRule="exact"/>
        <w:rPr>
          <w:rFonts w:ascii="黑体" w:hAnsi="黑体" w:eastAsia="黑体"/>
          <w:b/>
          <w:bCs/>
          <w:sz w:val="32"/>
          <w:szCs w:val="32"/>
        </w:rPr>
      </w:pPr>
      <w:r>
        <w:rPr>
          <w:rFonts w:hint="eastAsia" w:ascii="黑体" w:hAnsi="黑体" w:eastAsia="黑体"/>
          <w:b/>
          <w:bCs/>
          <w:sz w:val="32"/>
          <w:szCs w:val="32"/>
        </w:rPr>
        <w:t>专用材料费</w:t>
      </w:r>
    </w:p>
    <w:p w14:paraId="23678B36">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指本单位开展医疗服务所发生的药品耗材及外送检验项目。</w:t>
      </w:r>
    </w:p>
    <w:p w14:paraId="7A2C9C81">
      <w:pPr>
        <w:pStyle w:val="13"/>
        <w:jc w:val="center"/>
        <w:rPr>
          <w:rFonts w:ascii="Times New Roman" w:hAnsi="Times New Roman" w:cs="Times New Roman"/>
          <w:sz w:val="72"/>
          <w:szCs w:val="72"/>
        </w:rPr>
      </w:pPr>
    </w:p>
    <w:p w14:paraId="20E6A081">
      <w:pPr>
        <w:pStyle w:val="13"/>
        <w:jc w:val="center"/>
        <w:rPr>
          <w:rFonts w:ascii="Times New Roman" w:hAnsi="Times New Roman" w:cs="Times New Roman"/>
          <w:sz w:val="72"/>
          <w:szCs w:val="72"/>
        </w:rPr>
      </w:pPr>
    </w:p>
    <w:p w14:paraId="52D7CC45">
      <w:pPr>
        <w:pStyle w:val="13"/>
        <w:jc w:val="center"/>
        <w:rPr>
          <w:rFonts w:ascii="Times New Roman" w:hAnsi="Times New Roman" w:cs="Times New Roman"/>
          <w:sz w:val="72"/>
          <w:szCs w:val="72"/>
        </w:rPr>
      </w:pPr>
    </w:p>
    <w:p w14:paraId="3E990D93">
      <w:pPr>
        <w:pStyle w:val="13"/>
        <w:jc w:val="center"/>
        <w:rPr>
          <w:rFonts w:ascii="Times New Roman" w:hAnsi="Times New Roman" w:cs="Times New Roman"/>
          <w:sz w:val="72"/>
          <w:szCs w:val="72"/>
        </w:rPr>
      </w:pPr>
    </w:p>
    <w:p w14:paraId="1BF9E301">
      <w:pPr>
        <w:pStyle w:val="13"/>
        <w:jc w:val="center"/>
        <w:rPr>
          <w:rFonts w:ascii="Times New Roman" w:hAnsi="Times New Roman" w:cs="Times New Roman"/>
          <w:sz w:val="72"/>
          <w:szCs w:val="72"/>
        </w:rPr>
      </w:pPr>
    </w:p>
    <w:p w14:paraId="1202BC08">
      <w:pPr>
        <w:pStyle w:val="13"/>
        <w:jc w:val="center"/>
        <w:rPr>
          <w:rFonts w:ascii="Times New Roman" w:hAnsi="Times New Roman" w:cs="Times New Roman"/>
          <w:sz w:val="72"/>
          <w:szCs w:val="72"/>
        </w:rPr>
      </w:pPr>
    </w:p>
    <w:p w14:paraId="64E8C6F3">
      <w:pPr>
        <w:pStyle w:val="13"/>
        <w:jc w:val="center"/>
        <w:rPr>
          <w:rFonts w:ascii="Times New Roman" w:hAnsi="Times New Roman" w:cs="Times New Roman"/>
          <w:sz w:val="72"/>
          <w:szCs w:val="72"/>
        </w:rPr>
      </w:pPr>
    </w:p>
    <w:p w14:paraId="3751C023">
      <w:pPr>
        <w:pStyle w:val="13"/>
        <w:jc w:val="center"/>
        <w:rPr>
          <w:rFonts w:ascii="Times New Roman" w:hAnsi="Times New Roman" w:cs="Times New Roman"/>
          <w:sz w:val="72"/>
          <w:szCs w:val="72"/>
        </w:rPr>
      </w:pPr>
    </w:p>
    <w:p w14:paraId="2C68AADF">
      <w:pPr>
        <w:pStyle w:val="13"/>
        <w:jc w:val="center"/>
        <w:rPr>
          <w:rFonts w:ascii="Times New Roman" w:hAnsi="Times New Roman" w:cs="Times New Roman"/>
          <w:sz w:val="72"/>
          <w:szCs w:val="72"/>
        </w:rPr>
      </w:pPr>
    </w:p>
    <w:p w14:paraId="4677E780">
      <w:pPr>
        <w:pStyle w:val="13"/>
        <w:jc w:val="center"/>
        <w:rPr>
          <w:rFonts w:ascii="Times New Roman" w:hAnsi="Times New Roman" w:cs="Times New Roman"/>
          <w:sz w:val="72"/>
          <w:szCs w:val="72"/>
        </w:rPr>
      </w:pPr>
    </w:p>
    <w:p w14:paraId="468D455C">
      <w:pPr>
        <w:pStyle w:val="13"/>
        <w:jc w:val="center"/>
        <w:rPr>
          <w:rFonts w:ascii="Times New Roman" w:hAnsi="Times New Roman" w:cs="Times New Roman"/>
          <w:sz w:val="72"/>
          <w:szCs w:val="72"/>
        </w:rPr>
      </w:pPr>
    </w:p>
    <w:p w14:paraId="3AA4D0CF">
      <w:pPr>
        <w:pStyle w:val="13"/>
        <w:jc w:val="center"/>
        <w:rPr>
          <w:rFonts w:ascii="Times New Roman" w:hAnsi="Times New Roman" w:cs="Times New Roman"/>
          <w:sz w:val="72"/>
          <w:szCs w:val="72"/>
        </w:rPr>
      </w:pPr>
    </w:p>
    <w:p w14:paraId="3B38C568">
      <w:pPr>
        <w:pStyle w:val="13"/>
        <w:jc w:val="both"/>
        <w:rPr>
          <w:rFonts w:ascii="Times New Roman" w:hAnsi="Times New Roman" w:cs="Times New Roman"/>
          <w:sz w:val="72"/>
          <w:szCs w:val="72"/>
        </w:rPr>
      </w:pPr>
    </w:p>
    <w:p w14:paraId="5BEA951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8BE95A8">
      <w:pPr>
        <w:rPr>
          <w:rFonts w:ascii="Times New Roman" w:hAnsi="Times New Roman" w:cs="Times New Roman"/>
          <w:sz w:val="72"/>
          <w:szCs w:val="72"/>
        </w:rPr>
      </w:pPr>
    </w:p>
    <w:p w14:paraId="37B8975D">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道县妇幼保健和计划生育服务中心</w:t>
      </w:r>
      <w:r>
        <w:rPr>
          <w:rFonts w:ascii="Times New Roman" w:hAnsi="Times New Roman" w:eastAsia="仿宋_GB2312" w:cs="Times New Roman"/>
          <w:sz w:val="32"/>
          <w:szCs w:val="32"/>
        </w:rPr>
        <w:t>整体支出绩效自评报告。</w:t>
      </w:r>
    </w:p>
    <w:p w14:paraId="652BA5A6">
      <w:pPr>
        <w:ind w:right="11" w:firstLine="800" w:firstLineChars="200"/>
        <w:rPr>
          <w:rFonts w:hint="default" w:ascii="宋体" w:hAnsi="宋体" w:eastAsia="宋体"/>
          <w:b/>
          <w:sz w:val="40"/>
          <w:szCs w:val="40"/>
          <w:highlight w:val="none"/>
          <w:lang w:val="en-US" w:eastAsia="zh-CN"/>
        </w:rPr>
      </w:pPr>
      <w:r>
        <w:rPr>
          <w:rFonts w:hint="eastAsia" w:ascii="宋体" w:hAnsi="宋体"/>
          <w:b/>
          <w:sz w:val="40"/>
          <w:szCs w:val="40"/>
          <w:highlight w:val="none"/>
        </w:rPr>
        <w:t>一、</w:t>
      </w:r>
      <w:r>
        <w:rPr>
          <w:rFonts w:hint="eastAsia" w:ascii="宋体" w:hAnsi="宋体"/>
          <w:b/>
          <w:sz w:val="30"/>
          <w:szCs w:val="30"/>
          <w:highlight w:val="none"/>
          <w:lang w:val="en-US" w:eastAsia="zh-CN"/>
        </w:rPr>
        <w:t>基本情况</w:t>
      </w:r>
    </w:p>
    <w:p w14:paraId="6C977F62">
      <w:pPr>
        <w:ind w:left="142" w:right="11" w:firstLine="560" w:firstLineChars="200"/>
        <w:rPr>
          <w:rFonts w:ascii="宋体" w:hAnsi="宋体"/>
          <w:sz w:val="28"/>
          <w:szCs w:val="28"/>
          <w:highlight w:val="none"/>
        </w:rPr>
      </w:pPr>
      <w:r>
        <w:rPr>
          <w:rFonts w:hint="eastAsia" w:ascii="宋体" w:hAnsi="宋体"/>
          <w:sz w:val="28"/>
          <w:szCs w:val="28"/>
          <w:highlight w:val="none"/>
        </w:rPr>
        <w:t>（一）部门基本情况：</w:t>
      </w:r>
    </w:p>
    <w:p w14:paraId="1707368F">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1．主要职能</w:t>
      </w:r>
    </w:p>
    <w:p w14:paraId="1B311FE2">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本单位主要工作职能是：医疗保健和医疗服务。主要工作任务及目标是：重点做好孕产妇系统管理、高危产妇筛查管理、控制孕产妇和五岁以下儿童死亡率、婚前医学检查、孕产妇艾滋病、梅毒和乙肝表面抗原检测、0-7岁儿童系统管理、乡镇妇产科医生和妇幼专干、村级保健员的培训等工作。继续开展农村妇女病查治工作，争取开展乳腺癌的筛查。加强婚前医学检查。规范妇产科住院部管理，不断</w:t>
      </w:r>
      <w:r>
        <w:rPr>
          <w:rFonts w:hint="eastAsia" w:ascii="宋体" w:hAnsi="宋体"/>
          <w:kern w:val="2"/>
          <w:sz w:val="30"/>
          <w:szCs w:val="30"/>
          <w:highlight w:val="none"/>
          <w:lang w:val="en-US" w:eastAsia="zh-CN"/>
        </w:rPr>
        <w:t>提升</w:t>
      </w:r>
      <w:r>
        <w:rPr>
          <w:rFonts w:hint="eastAsia" w:ascii="宋体" w:hAnsi="宋体"/>
          <w:kern w:val="2"/>
          <w:sz w:val="30"/>
          <w:szCs w:val="30"/>
          <w:highlight w:val="none"/>
        </w:rPr>
        <w:t>医疗水平与服务质量。</w:t>
      </w:r>
    </w:p>
    <w:p w14:paraId="5E5F5FC5">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2．机构情况</w:t>
      </w:r>
    </w:p>
    <w:p w14:paraId="713510F7">
      <w:pPr>
        <w:ind w:right="11" w:firstLine="450" w:firstLineChars="150"/>
        <w:rPr>
          <w:rFonts w:hint="eastAsia" w:ascii="宋体" w:hAnsi="宋体"/>
          <w:kern w:val="2"/>
          <w:sz w:val="30"/>
          <w:szCs w:val="30"/>
          <w:highlight w:val="none"/>
        </w:rPr>
      </w:pPr>
      <w:r>
        <w:rPr>
          <w:rFonts w:hint="eastAsia" w:ascii="宋体" w:hAnsi="宋体"/>
          <w:kern w:val="2"/>
          <w:sz w:val="30"/>
          <w:szCs w:val="30"/>
        </w:rPr>
        <w:t>我单位是副科级全额拨款公共卫生一类单位，2015年11月与计生指导站合并，全院下设办公室（含保卫室）、总务科、财务科、医务科、护理部、院感科、保健部（含基层保健科、妇女保健科、儿童保健科）、计划生育服务部（含计划生育科、孕前优生健康检查科、婚前医学检查科）、门诊部（含门诊妇</w:t>
      </w:r>
      <w:r>
        <w:rPr>
          <w:rFonts w:hint="eastAsia" w:ascii="宋体" w:hAnsi="宋体"/>
          <w:kern w:val="2"/>
          <w:sz w:val="30"/>
          <w:szCs w:val="30"/>
          <w:lang w:val="en-US" w:eastAsia="zh-CN"/>
        </w:rPr>
        <w:t>科、门诊</w:t>
      </w:r>
      <w:r>
        <w:rPr>
          <w:rFonts w:hint="eastAsia" w:ascii="宋体" w:hAnsi="宋体"/>
          <w:kern w:val="2"/>
          <w:sz w:val="30"/>
          <w:szCs w:val="30"/>
        </w:rPr>
        <w:t>产科、内儿科、检验室、药剂科、超声科、门诊导诊、门诊输</w:t>
      </w:r>
      <w:r>
        <w:rPr>
          <w:rFonts w:hint="eastAsia" w:ascii="宋体" w:hAnsi="宋体"/>
          <w:kern w:val="2"/>
          <w:sz w:val="30"/>
          <w:szCs w:val="30"/>
          <w:highlight w:val="none"/>
        </w:rPr>
        <w:t>液室）、住院部（含麻醉科、手术室）、生殖科</w:t>
      </w:r>
      <w:r>
        <w:rPr>
          <w:rFonts w:hint="eastAsia" w:ascii="宋体" w:hAnsi="宋体"/>
          <w:kern w:val="2"/>
          <w:sz w:val="30"/>
          <w:szCs w:val="30"/>
          <w:highlight w:val="none"/>
          <w:lang w:eastAsia="zh-CN"/>
        </w:rPr>
        <w:t>、</w:t>
      </w:r>
      <w:r>
        <w:rPr>
          <w:rFonts w:hint="eastAsia" w:ascii="宋体" w:hAnsi="宋体"/>
          <w:kern w:val="2"/>
          <w:sz w:val="30"/>
          <w:szCs w:val="30"/>
          <w:highlight w:val="none"/>
          <w:lang w:val="en-US" w:eastAsia="zh-CN"/>
        </w:rPr>
        <w:t>体检科</w:t>
      </w:r>
      <w:r>
        <w:rPr>
          <w:rFonts w:hint="eastAsia" w:ascii="宋体" w:hAnsi="宋体"/>
          <w:kern w:val="2"/>
          <w:sz w:val="30"/>
          <w:szCs w:val="30"/>
          <w:highlight w:val="none"/>
        </w:rPr>
        <w:t>。</w:t>
      </w:r>
    </w:p>
    <w:p w14:paraId="657732CF">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3．人员情况</w:t>
      </w:r>
    </w:p>
    <w:p w14:paraId="431E5B7A">
      <w:pPr>
        <w:ind w:right="11" w:firstLine="450" w:firstLineChars="150"/>
        <w:rPr>
          <w:rFonts w:hint="eastAsia" w:ascii="宋体" w:hAnsi="宋体" w:eastAsia="宋体" w:cs="宋体"/>
          <w:kern w:val="2"/>
          <w:sz w:val="30"/>
          <w:szCs w:val="30"/>
          <w:highlight w:val="none"/>
        </w:rPr>
      </w:pPr>
      <w:r>
        <w:rPr>
          <w:rFonts w:hint="eastAsia" w:ascii="宋体" w:hAnsi="宋体" w:eastAsia="宋体" w:cs="宋体"/>
          <w:kern w:val="2"/>
          <w:sz w:val="30"/>
          <w:szCs w:val="30"/>
          <w:highlight w:val="none"/>
          <w:lang w:val="en-US" w:eastAsia="zh-CN"/>
        </w:rPr>
        <w:t>202</w:t>
      </w:r>
      <w:r>
        <w:rPr>
          <w:rFonts w:hint="eastAsia" w:ascii="宋体" w:hAnsi="宋体" w:cs="宋体"/>
          <w:kern w:val="2"/>
          <w:sz w:val="30"/>
          <w:szCs w:val="30"/>
          <w:highlight w:val="none"/>
          <w:lang w:val="en-US" w:eastAsia="zh-CN"/>
        </w:rPr>
        <w:t>5</w:t>
      </w:r>
      <w:r>
        <w:rPr>
          <w:rFonts w:hint="eastAsia" w:ascii="宋体" w:hAnsi="宋体" w:eastAsia="宋体" w:cs="宋体"/>
          <w:kern w:val="2"/>
          <w:sz w:val="30"/>
          <w:szCs w:val="30"/>
          <w:highlight w:val="none"/>
          <w:lang w:val="en-US" w:eastAsia="zh-CN"/>
        </w:rPr>
        <w:t>年</w:t>
      </w:r>
      <w:r>
        <w:rPr>
          <w:rFonts w:hint="eastAsia" w:ascii="宋体" w:hAnsi="宋体" w:eastAsia="宋体" w:cs="宋体"/>
          <w:sz w:val="30"/>
          <w:szCs w:val="30"/>
          <w:highlight w:val="none"/>
        </w:rPr>
        <w:t>本单位现有在职工</w:t>
      </w:r>
      <w:r>
        <w:rPr>
          <w:rFonts w:hint="eastAsia" w:ascii="宋体" w:hAnsi="宋体" w:cs="宋体"/>
          <w:sz w:val="30"/>
          <w:szCs w:val="30"/>
          <w:highlight w:val="none"/>
          <w:lang w:val="en-US" w:eastAsia="zh-CN"/>
        </w:rPr>
        <w:t>153</w:t>
      </w:r>
      <w:r>
        <w:rPr>
          <w:rFonts w:hint="eastAsia" w:ascii="宋体" w:hAnsi="宋体" w:eastAsia="宋体" w:cs="宋体"/>
          <w:sz w:val="30"/>
          <w:szCs w:val="30"/>
          <w:highlight w:val="none"/>
        </w:rPr>
        <w:t>人，其中在编正式职工</w:t>
      </w:r>
      <w:r>
        <w:rPr>
          <w:rFonts w:hint="eastAsia" w:ascii="宋体" w:hAnsi="宋体" w:cs="宋体"/>
          <w:sz w:val="30"/>
          <w:szCs w:val="30"/>
          <w:highlight w:val="none"/>
          <w:lang w:val="en-US" w:eastAsia="zh-CN"/>
        </w:rPr>
        <w:t>75</w:t>
      </w:r>
      <w:r>
        <w:rPr>
          <w:rFonts w:hint="eastAsia" w:ascii="宋体" w:hAnsi="宋体" w:eastAsia="宋体" w:cs="宋体"/>
          <w:sz w:val="30"/>
          <w:szCs w:val="30"/>
          <w:highlight w:val="none"/>
        </w:rPr>
        <w:t>人，聘用人员</w:t>
      </w:r>
      <w:r>
        <w:rPr>
          <w:rFonts w:hint="eastAsia" w:ascii="宋体" w:hAnsi="宋体" w:cs="宋体"/>
          <w:sz w:val="30"/>
          <w:szCs w:val="30"/>
          <w:highlight w:val="none"/>
          <w:lang w:val="en-US" w:eastAsia="zh-CN"/>
        </w:rPr>
        <w:t>78</w:t>
      </w:r>
      <w:r>
        <w:rPr>
          <w:rFonts w:hint="eastAsia" w:ascii="宋体" w:hAnsi="宋体" w:eastAsia="宋体" w:cs="宋体"/>
          <w:sz w:val="30"/>
          <w:szCs w:val="30"/>
          <w:highlight w:val="none"/>
        </w:rPr>
        <w:t>人，退休职工</w:t>
      </w:r>
      <w:r>
        <w:rPr>
          <w:rFonts w:hint="eastAsia" w:ascii="宋体" w:hAnsi="宋体" w:eastAsia="宋体" w:cs="宋体"/>
          <w:sz w:val="30"/>
          <w:szCs w:val="30"/>
          <w:highlight w:val="none"/>
          <w:lang w:val="en-US" w:eastAsia="zh-CN"/>
        </w:rPr>
        <w:t>6</w:t>
      </w:r>
      <w:r>
        <w:rPr>
          <w:rFonts w:hint="eastAsia" w:ascii="宋体" w:hAnsi="宋体" w:cs="宋体"/>
          <w:sz w:val="30"/>
          <w:szCs w:val="30"/>
          <w:highlight w:val="none"/>
          <w:lang w:val="en-US" w:eastAsia="zh-CN"/>
        </w:rPr>
        <w:t>6</w:t>
      </w:r>
      <w:r>
        <w:rPr>
          <w:rFonts w:hint="eastAsia" w:ascii="宋体" w:hAnsi="宋体" w:eastAsia="宋体" w:cs="宋体"/>
          <w:sz w:val="30"/>
          <w:szCs w:val="30"/>
          <w:highlight w:val="none"/>
        </w:rPr>
        <w:t>人</w:t>
      </w:r>
      <w:r>
        <w:rPr>
          <w:rFonts w:hint="eastAsia" w:ascii="宋体" w:hAnsi="宋体" w:eastAsia="宋体" w:cs="宋体"/>
          <w:kern w:val="2"/>
          <w:sz w:val="30"/>
          <w:szCs w:val="30"/>
          <w:highlight w:val="none"/>
        </w:rPr>
        <w:t>。</w:t>
      </w:r>
    </w:p>
    <w:p w14:paraId="1F8AEC60">
      <w:pPr>
        <w:numPr>
          <w:ilvl w:val="0"/>
          <w:numId w:val="4"/>
        </w:numPr>
        <w:ind w:right="11" w:firstLine="450" w:firstLineChars="150"/>
        <w:rPr>
          <w:rFonts w:hint="eastAsia" w:ascii="宋体" w:hAnsi="宋体" w:cs="宋体"/>
          <w:kern w:val="2"/>
          <w:sz w:val="30"/>
          <w:szCs w:val="30"/>
          <w:highlight w:val="none"/>
          <w:lang w:val="en-US" w:eastAsia="zh-CN"/>
        </w:rPr>
      </w:pPr>
      <w:r>
        <w:rPr>
          <w:rFonts w:hint="eastAsia" w:ascii="宋体" w:hAnsi="宋体" w:cs="宋体"/>
          <w:kern w:val="2"/>
          <w:sz w:val="30"/>
          <w:szCs w:val="30"/>
          <w:highlight w:val="none"/>
          <w:lang w:val="en-US" w:eastAsia="zh-CN"/>
        </w:rPr>
        <w:t>部门年度整体支出绩效目标</w:t>
      </w:r>
    </w:p>
    <w:p w14:paraId="1B93FF97">
      <w:pPr>
        <w:keepNext w:val="0"/>
        <w:keepLines w:val="0"/>
        <w:pageBreakBefore w:val="0"/>
        <w:widowControl w:val="0"/>
        <w:numPr>
          <w:ilvl w:val="0"/>
          <w:numId w:val="0"/>
        </w:numPr>
        <w:kinsoku/>
        <w:wordWrap/>
        <w:overflowPunct/>
        <w:topLinePunct w:val="0"/>
        <w:autoSpaceDE/>
        <w:autoSpaceDN/>
        <w:bidi w:val="0"/>
        <w:adjustRightInd/>
        <w:snapToGrid/>
        <w:ind w:right="11" w:rightChars="0" w:firstLine="600" w:firstLineChars="200"/>
        <w:textAlignment w:val="auto"/>
        <w:rPr>
          <w:rFonts w:hint="default" w:ascii="宋体" w:hAnsi="宋体" w:cs="宋体"/>
          <w:kern w:val="2"/>
          <w:sz w:val="30"/>
          <w:szCs w:val="30"/>
          <w:highlight w:val="none"/>
          <w:lang w:val="en-US" w:eastAsia="zh-CN"/>
        </w:rPr>
      </w:pPr>
      <w:r>
        <w:rPr>
          <w:rFonts w:hint="default" w:ascii="宋体" w:hAnsi="宋体" w:cs="宋体"/>
          <w:kern w:val="2"/>
          <w:sz w:val="30"/>
          <w:szCs w:val="30"/>
          <w:lang w:val="en-US" w:eastAsia="zh-CN"/>
        </w:rPr>
        <w:t>道县下发了《道县202</w:t>
      </w:r>
      <w:r>
        <w:rPr>
          <w:rFonts w:hint="eastAsia" w:ascii="宋体" w:hAnsi="宋体" w:cs="宋体"/>
          <w:kern w:val="2"/>
          <w:sz w:val="30"/>
          <w:szCs w:val="30"/>
          <w:lang w:val="en-US" w:eastAsia="zh-CN"/>
        </w:rPr>
        <w:t>5</w:t>
      </w:r>
      <w:r>
        <w:rPr>
          <w:rFonts w:hint="default" w:ascii="宋体" w:hAnsi="宋体" w:cs="宋体"/>
          <w:kern w:val="2"/>
          <w:sz w:val="30"/>
          <w:szCs w:val="30"/>
          <w:lang w:val="en-US" w:eastAsia="zh-CN"/>
        </w:rPr>
        <w:t>年妇幼健康服务工作主要量化指标及工作要求》对全县妇幼健康服务工作进行了具体而细致的安排，实行指标任务分解，明确了工作任务。特别对于新冠肺炎疫情常态化管理下如何保障孕产妇儿童安全进行了统筹安排与规划。积极开展适龄妇女“两癌”筛查</w:t>
      </w:r>
      <w:r>
        <w:rPr>
          <w:rFonts w:hint="eastAsia" w:ascii="宋体" w:hAnsi="宋体" w:cs="宋体"/>
          <w:kern w:val="2"/>
          <w:sz w:val="30"/>
          <w:szCs w:val="30"/>
          <w:lang w:val="en-US" w:eastAsia="zh-CN"/>
        </w:rPr>
        <w:t>，</w:t>
      </w:r>
      <w:r>
        <w:rPr>
          <w:rFonts w:hint="default" w:ascii="宋体" w:hAnsi="宋体" w:cs="宋体"/>
          <w:kern w:val="2"/>
          <w:sz w:val="30"/>
          <w:szCs w:val="30"/>
          <w:lang w:val="en-US" w:eastAsia="zh-CN"/>
        </w:rPr>
        <w:t>202</w:t>
      </w:r>
      <w:r>
        <w:rPr>
          <w:rFonts w:hint="eastAsia" w:ascii="宋体" w:hAnsi="宋体" w:cs="宋体"/>
          <w:kern w:val="2"/>
          <w:sz w:val="30"/>
          <w:szCs w:val="30"/>
          <w:lang w:val="en-US" w:eastAsia="zh-CN"/>
        </w:rPr>
        <w:t>5</w:t>
      </w:r>
      <w:r>
        <w:rPr>
          <w:rFonts w:hint="default" w:ascii="宋体" w:hAnsi="宋体" w:cs="宋体"/>
          <w:kern w:val="2"/>
          <w:sz w:val="30"/>
          <w:szCs w:val="30"/>
          <w:lang w:val="en-US" w:eastAsia="zh-CN"/>
        </w:rPr>
        <w:t>年“两癌”筛查的目标数为</w:t>
      </w:r>
      <w:r>
        <w:rPr>
          <w:rFonts w:hint="eastAsia" w:ascii="宋体" w:hAnsi="宋体" w:cs="宋体"/>
          <w:kern w:val="2"/>
          <w:sz w:val="30"/>
          <w:szCs w:val="30"/>
          <w:lang w:val="en-US" w:eastAsia="zh-CN"/>
        </w:rPr>
        <w:t>7</w:t>
      </w:r>
      <w:r>
        <w:rPr>
          <w:rFonts w:hint="default" w:ascii="宋体" w:hAnsi="宋体" w:cs="宋体"/>
          <w:kern w:val="2"/>
          <w:sz w:val="30"/>
          <w:szCs w:val="30"/>
          <w:lang w:val="en-US" w:eastAsia="zh-CN"/>
        </w:rPr>
        <w:t>000例</w:t>
      </w:r>
      <w:r>
        <w:rPr>
          <w:rFonts w:hint="eastAsia" w:ascii="宋体" w:hAnsi="宋体" w:cs="宋体"/>
          <w:kern w:val="2"/>
          <w:sz w:val="30"/>
          <w:szCs w:val="30"/>
          <w:lang w:val="en-US" w:eastAsia="zh-CN"/>
        </w:rPr>
        <w:t>；规范开展孕产妇免费产前筛查项目，2025年度道县全年任务数为3010例；规范开展新生儿先天性心脏病筛查项目，2025年全县新生儿先天性心脏病免费筛查任务为2800个；预防艾滋病、梅毒和乙肝母婴传播项目顺利实施；免费婚前医学检查率、孕</w:t>
      </w:r>
      <w:r>
        <w:rPr>
          <w:rFonts w:hint="eastAsia" w:ascii="宋体" w:hAnsi="宋体" w:cs="宋体"/>
          <w:kern w:val="2"/>
          <w:sz w:val="30"/>
          <w:szCs w:val="30"/>
          <w:highlight w:val="none"/>
          <w:lang w:val="en-US" w:eastAsia="zh-CN"/>
        </w:rPr>
        <w:t>前优生健康检查率不断提高。</w:t>
      </w:r>
    </w:p>
    <w:p w14:paraId="5FB2A92D">
      <w:pPr>
        <w:numPr>
          <w:ilvl w:val="0"/>
          <w:numId w:val="5"/>
        </w:numPr>
        <w:ind w:left="901" w:leftChars="0" w:right="11" w:firstLine="0" w:firstLineChars="0"/>
        <w:rPr>
          <w:rFonts w:hint="eastAsia" w:ascii="宋体" w:hAnsi="宋体"/>
          <w:b/>
          <w:sz w:val="30"/>
          <w:szCs w:val="30"/>
          <w:highlight w:val="none"/>
        </w:rPr>
      </w:pPr>
      <w:r>
        <w:rPr>
          <w:rFonts w:hint="eastAsia" w:ascii="宋体" w:hAnsi="宋体"/>
          <w:b/>
          <w:sz w:val="30"/>
          <w:szCs w:val="30"/>
          <w:highlight w:val="none"/>
        </w:rPr>
        <w:t>一般公共预算支出情况</w:t>
      </w:r>
    </w:p>
    <w:p w14:paraId="09A37EC7">
      <w:pPr>
        <w:ind w:right="11" w:firstLine="600" w:firstLineChars="200"/>
        <w:rPr>
          <w:rFonts w:hint="eastAsia" w:ascii="宋体" w:hAnsi="宋体"/>
          <w:b/>
          <w:color w:val="auto"/>
          <w:sz w:val="30"/>
          <w:szCs w:val="30"/>
          <w:highlight w:val="none"/>
        </w:rPr>
      </w:pPr>
      <w:r>
        <w:rPr>
          <w:rFonts w:hint="eastAsia" w:ascii="宋体" w:hAnsi="宋体" w:cs="宋体"/>
          <w:color w:val="auto"/>
          <w:kern w:val="1"/>
          <w:sz w:val="30"/>
          <w:szCs w:val="30"/>
          <w:highlight w:val="none"/>
          <w:lang w:eastAsia="zh-CN"/>
        </w:rPr>
        <w:t>202</w:t>
      </w:r>
      <w:r>
        <w:rPr>
          <w:rFonts w:hint="eastAsia" w:ascii="宋体" w:hAnsi="宋体" w:cs="宋体"/>
          <w:color w:val="auto"/>
          <w:kern w:val="1"/>
          <w:sz w:val="30"/>
          <w:szCs w:val="30"/>
          <w:highlight w:val="none"/>
          <w:lang w:val="en-US" w:eastAsia="zh-CN"/>
        </w:rPr>
        <w:t>5</w:t>
      </w:r>
      <w:r>
        <w:rPr>
          <w:rFonts w:hint="eastAsia" w:ascii="宋体" w:hAnsi="宋体" w:cs="宋体"/>
          <w:color w:val="auto"/>
          <w:kern w:val="1"/>
          <w:sz w:val="30"/>
          <w:szCs w:val="30"/>
          <w:highlight w:val="none"/>
          <w:lang w:eastAsia="zh-CN"/>
        </w:rPr>
        <w:t>年</w:t>
      </w:r>
      <w:r>
        <w:rPr>
          <w:rFonts w:hint="eastAsia" w:ascii="宋体" w:hAnsi="宋体" w:cs="宋体"/>
          <w:color w:val="auto"/>
          <w:kern w:val="1"/>
          <w:sz w:val="30"/>
          <w:szCs w:val="30"/>
          <w:highlight w:val="none"/>
          <w:lang w:val="en-US" w:eastAsia="zh-CN"/>
        </w:rPr>
        <w:t>一般公共预算支出合计882.97万元，其中</w:t>
      </w:r>
      <w:r>
        <w:rPr>
          <w:rFonts w:hint="eastAsia" w:ascii="宋体" w:hAnsi="宋体" w:cs="宋体"/>
          <w:color w:val="auto"/>
          <w:kern w:val="1"/>
          <w:sz w:val="30"/>
          <w:szCs w:val="30"/>
          <w:highlight w:val="none"/>
        </w:rPr>
        <w:t>基本支出总计</w:t>
      </w:r>
      <w:r>
        <w:rPr>
          <w:rFonts w:hint="eastAsia" w:ascii="宋体" w:hAnsi="宋体" w:cs="宋体"/>
          <w:color w:val="auto"/>
          <w:kern w:val="1"/>
          <w:sz w:val="30"/>
          <w:szCs w:val="30"/>
          <w:highlight w:val="none"/>
          <w:lang w:val="en-US" w:eastAsia="zh-CN"/>
        </w:rPr>
        <w:t>685.06</w:t>
      </w:r>
      <w:r>
        <w:rPr>
          <w:rFonts w:hint="eastAsia" w:ascii="宋体" w:hAnsi="宋体" w:cs="宋体"/>
          <w:color w:val="auto"/>
          <w:kern w:val="1"/>
          <w:sz w:val="30"/>
          <w:szCs w:val="30"/>
          <w:highlight w:val="none"/>
        </w:rPr>
        <w:t>万元，项目支出</w:t>
      </w:r>
      <w:r>
        <w:rPr>
          <w:rFonts w:hint="eastAsia" w:ascii="宋体" w:hAnsi="宋体" w:cs="宋体"/>
          <w:color w:val="auto"/>
          <w:kern w:val="1"/>
          <w:sz w:val="30"/>
          <w:szCs w:val="30"/>
          <w:highlight w:val="none"/>
          <w:lang w:val="en-US" w:eastAsia="zh-CN"/>
        </w:rPr>
        <w:t>197.91</w:t>
      </w:r>
      <w:r>
        <w:rPr>
          <w:rFonts w:hint="eastAsia" w:ascii="宋体" w:hAnsi="宋体" w:cs="宋体"/>
          <w:color w:val="auto"/>
          <w:kern w:val="1"/>
          <w:sz w:val="30"/>
          <w:szCs w:val="30"/>
          <w:highlight w:val="none"/>
        </w:rPr>
        <w:t>万元。</w:t>
      </w:r>
    </w:p>
    <w:p w14:paraId="052CAAE7">
      <w:pPr>
        <w:numPr>
          <w:ilvl w:val="0"/>
          <w:numId w:val="6"/>
        </w:numPr>
        <w:ind w:left="901" w:leftChars="0" w:right="11" w:rightChars="0"/>
        <w:rPr>
          <w:rFonts w:hint="eastAsia" w:ascii="宋体" w:hAnsi="宋体"/>
          <w:color w:val="010101"/>
          <w:sz w:val="30"/>
          <w:szCs w:val="30"/>
          <w:highlight w:val="none"/>
        </w:rPr>
      </w:pPr>
      <w:r>
        <w:rPr>
          <w:rFonts w:hint="eastAsia" w:ascii="宋体" w:hAnsi="宋体"/>
          <w:color w:val="010101"/>
          <w:sz w:val="30"/>
          <w:szCs w:val="30"/>
          <w:highlight w:val="none"/>
        </w:rPr>
        <w:t>基本支出</w:t>
      </w:r>
      <w:r>
        <w:rPr>
          <w:rFonts w:hint="eastAsia" w:ascii="宋体" w:hAnsi="宋体"/>
          <w:color w:val="010101"/>
          <w:sz w:val="30"/>
          <w:szCs w:val="30"/>
          <w:highlight w:val="none"/>
          <w:lang w:eastAsia="zh-CN"/>
        </w:rPr>
        <w:t>情况</w:t>
      </w:r>
    </w:p>
    <w:p w14:paraId="0741E3AC">
      <w:pPr>
        <w:ind w:right="11" w:firstLine="600" w:firstLineChars="200"/>
        <w:rPr>
          <w:rFonts w:hint="eastAsia" w:ascii="宋体" w:hAnsi="宋体" w:cs="宋体"/>
          <w:color w:val="000000" w:themeColor="text1"/>
          <w:kern w:val="1"/>
          <w:sz w:val="30"/>
          <w:szCs w:val="30"/>
          <w:highlight w:val="none"/>
          <w14:textFill>
            <w14:solidFill>
              <w14:schemeClr w14:val="tx1"/>
            </w14:solidFill>
          </w14:textFill>
        </w:rPr>
      </w:pPr>
      <w:r>
        <w:rPr>
          <w:rFonts w:hint="eastAsia" w:ascii="宋体" w:hAnsi="宋体" w:cs="宋体"/>
          <w:kern w:val="1"/>
          <w:sz w:val="30"/>
          <w:szCs w:val="30"/>
          <w:highlight w:val="none"/>
        </w:rPr>
        <w:t>1、工</w:t>
      </w:r>
      <w:r>
        <w:rPr>
          <w:rFonts w:hint="eastAsia" w:ascii="宋体" w:hAnsi="宋体" w:cs="宋体"/>
          <w:color w:val="000000" w:themeColor="text1"/>
          <w:kern w:val="1"/>
          <w:sz w:val="30"/>
          <w:szCs w:val="30"/>
          <w:highlight w:val="none"/>
          <w14:textFill>
            <w14:solidFill>
              <w14:schemeClr w14:val="tx1"/>
            </w14:solidFill>
          </w14:textFill>
        </w:rPr>
        <w:t>资福利支出</w:t>
      </w:r>
      <w:r>
        <w:rPr>
          <w:rFonts w:hint="eastAsia" w:ascii="宋体" w:hAnsi="宋体" w:cs="宋体"/>
          <w:color w:val="000000" w:themeColor="text1"/>
          <w:kern w:val="1"/>
          <w:sz w:val="30"/>
          <w:szCs w:val="30"/>
          <w:highlight w:val="none"/>
          <w:lang w:val="en-US" w:eastAsia="zh-CN"/>
          <w14:textFill>
            <w14:solidFill>
              <w14:schemeClr w14:val="tx1"/>
            </w14:solidFill>
          </w14:textFill>
        </w:rPr>
        <w:t>441.2</w:t>
      </w:r>
      <w:r>
        <w:rPr>
          <w:rFonts w:hint="eastAsia" w:ascii="宋体" w:hAnsi="宋体" w:cs="宋体"/>
          <w:color w:val="000000" w:themeColor="text1"/>
          <w:kern w:val="1"/>
          <w:sz w:val="30"/>
          <w:szCs w:val="30"/>
          <w:highlight w:val="none"/>
          <w14:textFill>
            <w14:solidFill>
              <w14:schemeClr w14:val="tx1"/>
            </w14:solidFill>
          </w14:textFill>
        </w:rPr>
        <w:t>万元：基本工资</w:t>
      </w:r>
      <w:r>
        <w:rPr>
          <w:rFonts w:hint="eastAsia" w:ascii="宋体" w:hAnsi="宋体" w:cs="宋体"/>
          <w:color w:val="000000" w:themeColor="text1"/>
          <w:kern w:val="1"/>
          <w:sz w:val="30"/>
          <w:szCs w:val="30"/>
          <w:highlight w:val="none"/>
          <w:lang w:val="en-US" w:eastAsia="zh-CN"/>
          <w14:textFill>
            <w14:solidFill>
              <w14:schemeClr w14:val="tx1"/>
            </w14:solidFill>
          </w14:textFill>
        </w:rPr>
        <w:t>33.58</w:t>
      </w:r>
      <w:r>
        <w:rPr>
          <w:rFonts w:hint="eastAsia" w:ascii="宋体" w:hAnsi="宋体" w:cs="宋体"/>
          <w:color w:val="000000" w:themeColor="text1"/>
          <w:kern w:val="1"/>
          <w:sz w:val="30"/>
          <w:szCs w:val="30"/>
          <w:highlight w:val="none"/>
          <w14:textFill>
            <w14:solidFill>
              <w14:schemeClr w14:val="tx1"/>
            </w14:solidFill>
          </w14:textFill>
        </w:rPr>
        <w:t>万元、</w:t>
      </w:r>
      <w:r>
        <w:rPr>
          <w:rFonts w:hint="eastAsia" w:ascii="宋体" w:hAnsi="宋体" w:cs="宋体"/>
          <w:color w:val="000000" w:themeColor="text1"/>
          <w:kern w:val="1"/>
          <w:sz w:val="30"/>
          <w:szCs w:val="30"/>
          <w:highlight w:val="none"/>
          <w:lang w:val="en-US" w:eastAsia="zh-CN"/>
          <w14:textFill>
            <w14:solidFill>
              <w14:schemeClr w14:val="tx1"/>
            </w14:solidFill>
          </w14:textFill>
        </w:rPr>
        <w:t>津补</w:t>
      </w:r>
      <w:r>
        <w:rPr>
          <w:rFonts w:hint="eastAsia" w:ascii="宋体" w:hAnsi="宋体" w:cs="宋体"/>
          <w:color w:val="000000" w:themeColor="text1"/>
          <w:kern w:val="1"/>
          <w:sz w:val="30"/>
          <w:szCs w:val="30"/>
          <w:highlight w:val="none"/>
          <w14:textFill>
            <w14:solidFill>
              <w14:schemeClr w14:val="tx1"/>
            </w14:solidFill>
          </w14:textFill>
        </w:rPr>
        <w:t>绩效工资</w:t>
      </w:r>
      <w:r>
        <w:rPr>
          <w:rFonts w:hint="eastAsia" w:ascii="宋体" w:hAnsi="宋体" w:cs="宋体"/>
          <w:color w:val="000000" w:themeColor="text1"/>
          <w:kern w:val="1"/>
          <w:sz w:val="30"/>
          <w:szCs w:val="30"/>
          <w:highlight w:val="none"/>
          <w:lang w:val="en-US" w:eastAsia="zh-CN"/>
          <w14:textFill>
            <w14:solidFill>
              <w14:schemeClr w14:val="tx1"/>
            </w14:solidFill>
          </w14:textFill>
        </w:rPr>
        <w:t>201.9</w:t>
      </w:r>
      <w:r>
        <w:rPr>
          <w:rFonts w:hint="eastAsia" w:ascii="宋体" w:hAnsi="宋体" w:cs="宋体"/>
          <w:color w:val="000000" w:themeColor="text1"/>
          <w:kern w:val="1"/>
          <w:sz w:val="30"/>
          <w:szCs w:val="30"/>
          <w:highlight w:val="none"/>
          <w14:textFill>
            <w14:solidFill>
              <w14:schemeClr w14:val="tx1"/>
            </w14:solidFill>
          </w14:textFill>
        </w:rPr>
        <w:t>万元、机关事业单位养老保险</w:t>
      </w:r>
      <w:r>
        <w:rPr>
          <w:rFonts w:hint="eastAsia" w:ascii="宋体" w:hAnsi="宋体" w:cs="宋体"/>
          <w:color w:val="000000" w:themeColor="text1"/>
          <w:kern w:val="1"/>
          <w:sz w:val="30"/>
          <w:szCs w:val="30"/>
          <w:highlight w:val="none"/>
          <w:lang w:val="en-US" w:eastAsia="zh-CN"/>
          <w14:textFill>
            <w14:solidFill>
              <w14:schemeClr w14:val="tx1"/>
            </w14:solidFill>
          </w14:textFill>
        </w:rPr>
        <w:t>87.62</w:t>
      </w:r>
      <w:r>
        <w:rPr>
          <w:rFonts w:hint="eastAsia" w:ascii="宋体" w:hAnsi="宋体" w:cs="宋体"/>
          <w:color w:val="000000" w:themeColor="text1"/>
          <w:kern w:val="1"/>
          <w:sz w:val="30"/>
          <w:szCs w:val="30"/>
          <w:highlight w:val="none"/>
          <w14:textFill>
            <w14:solidFill>
              <w14:schemeClr w14:val="tx1"/>
            </w14:solidFill>
          </w14:textFill>
        </w:rPr>
        <w:t>万元、医疗保险</w:t>
      </w:r>
      <w:r>
        <w:rPr>
          <w:rFonts w:hint="eastAsia" w:ascii="宋体" w:hAnsi="宋体" w:cs="宋体"/>
          <w:color w:val="000000" w:themeColor="text1"/>
          <w:kern w:val="1"/>
          <w:sz w:val="30"/>
          <w:szCs w:val="30"/>
          <w:highlight w:val="none"/>
          <w:lang w:val="en-US" w:eastAsia="zh-CN"/>
          <w14:textFill>
            <w14:solidFill>
              <w14:schemeClr w14:val="tx1"/>
            </w14:solidFill>
          </w14:textFill>
        </w:rPr>
        <w:t>47.64</w:t>
      </w:r>
      <w:r>
        <w:rPr>
          <w:rFonts w:hint="eastAsia" w:ascii="宋体" w:hAnsi="宋体" w:cs="宋体"/>
          <w:color w:val="000000" w:themeColor="text1"/>
          <w:kern w:val="1"/>
          <w:sz w:val="30"/>
          <w:szCs w:val="30"/>
          <w:highlight w:val="none"/>
          <w14:textFill>
            <w14:solidFill>
              <w14:schemeClr w14:val="tx1"/>
            </w14:solidFill>
          </w14:textFill>
        </w:rPr>
        <w:t>万元</w:t>
      </w:r>
      <w:r>
        <w:rPr>
          <w:rFonts w:hint="eastAsia" w:ascii="宋体" w:hAnsi="宋体" w:cs="宋体"/>
          <w:color w:val="000000" w:themeColor="text1"/>
          <w:kern w:val="1"/>
          <w:sz w:val="30"/>
          <w:szCs w:val="30"/>
          <w:highlight w:val="none"/>
          <w:lang w:eastAsia="zh-CN"/>
          <w14:textFill>
            <w14:solidFill>
              <w14:schemeClr w14:val="tx1"/>
            </w14:solidFill>
          </w14:textFill>
        </w:rPr>
        <w:t>、</w:t>
      </w:r>
      <w:r>
        <w:rPr>
          <w:rFonts w:hint="eastAsia" w:ascii="宋体" w:hAnsi="宋体" w:cs="宋体"/>
          <w:color w:val="000000" w:themeColor="text1"/>
          <w:kern w:val="1"/>
          <w:sz w:val="30"/>
          <w:szCs w:val="30"/>
          <w:highlight w:val="none"/>
          <w:lang w:val="en-US" w:eastAsia="zh-CN"/>
          <w14:textFill>
            <w14:solidFill>
              <w14:schemeClr w14:val="tx1"/>
            </w14:solidFill>
          </w14:textFill>
        </w:rPr>
        <w:t>其他社会保险费70.46万元。</w:t>
      </w:r>
    </w:p>
    <w:p w14:paraId="744E0BBD">
      <w:pPr>
        <w:ind w:right="11" w:firstLine="600" w:firstLineChars="200"/>
        <w:rPr>
          <w:rFonts w:hint="eastAsia" w:ascii="宋体" w:hAnsi="宋体" w:cs="宋体"/>
          <w:kern w:val="1"/>
          <w:sz w:val="30"/>
          <w:szCs w:val="30"/>
        </w:rPr>
      </w:pPr>
      <w:r>
        <w:rPr>
          <w:rFonts w:hint="eastAsia" w:ascii="宋体" w:hAnsi="宋体" w:cs="宋体"/>
          <w:kern w:val="1"/>
          <w:sz w:val="30"/>
          <w:szCs w:val="30"/>
          <w:highlight w:val="none"/>
        </w:rPr>
        <w:t>2、商品和服务支出</w:t>
      </w:r>
      <w:r>
        <w:rPr>
          <w:rFonts w:hint="eastAsia" w:ascii="宋体" w:hAnsi="宋体" w:cs="宋体"/>
          <w:kern w:val="1"/>
          <w:sz w:val="30"/>
          <w:szCs w:val="30"/>
          <w:highlight w:val="none"/>
          <w:lang w:val="en-US" w:eastAsia="zh-CN"/>
        </w:rPr>
        <w:t>228.47</w:t>
      </w:r>
      <w:r>
        <w:rPr>
          <w:rFonts w:hint="eastAsia" w:ascii="宋体" w:hAnsi="宋体" w:cs="宋体"/>
          <w:kern w:val="1"/>
          <w:sz w:val="30"/>
          <w:szCs w:val="30"/>
          <w:highlight w:val="none"/>
        </w:rPr>
        <w:t>万元：其中</w:t>
      </w:r>
      <w:r>
        <w:rPr>
          <w:rFonts w:hint="eastAsia" w:ascii="宋体" w:hAnsi="宋体" w:cs="宋体"/>
          <w:kern w:val="1"/>
          <w:sz w:val="30"/>
          <w:szCs w:val="30"/>
          <w:highlight w:val="none"/>
          <w:lang w:val="en-US" w:eastAsia="zh-CN"/>
        </w:rPr>
        <w:t>办公</w:t>
      </w:r>
      <w:r>
        <w:rPr>
          <w:rFonts w:hint="eastAsia" w:ascii="宋体" w:hAnsi="宋体" w:cs="宋体"/>
          <w:kern w:val="1"/>
          <w:sz w:val="30"/>
          <w:szCs w:val="30"/>
          <w:lang w:val="en-US" w:eastAsia="zh-CN"/>
        </w:rPr>
        <w:t>费0.07万元，差旅费1.03万元，</w:t>
      </w:r>
      <w:r>
        <w:rPr>
          <w:rFonts w:hint="eastAsia" w:ascii="宋体" w:hAnsi="宋体" w:cs="宋体"/>
          <w:kern w:val="1"/>
          <w:sz w:val="30"/>
          <w:szCs w:val="30"/>
        </w:rPr>
        <w:t>水费</w:t>
      </w:r>
      <w:r>
        <w:rPr>
          <w:rFonts w:hint="eastAsia" w:ascii="宋体" w:hAnsi="宋体" w:cs="宋体"/>
          <w:kern w:val="1"/>
          <w:sz w:val="30"/>
          <w:szCs w:val="30"/>
          <w:lang w:val="en-US" w:eastAsia="zh-CN"/>
        </w:rPr>
        <w:t>2.31</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rPr>
        <w:t>电费</w:t>
      </w:r>
      <w:r>
        <w:rPr>
          <w:rFonts w:hint="eastAsia" w:ascii="宋体" w:hAnsi="宋体" w:cs="宋体"/>
          <w:kern w:val="1"/>
          <w:sz w:val="30"/>
          <w:szCs w:val="30"/>
          <w:lang w:val="en-US" w:eastAsia="zh-CN"/>
        </w:rPr>
        <w:t>18.67</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邮电费0.95万元，物业管理费13.91万元，</w:t>
      </w:r>
      <w:r>
        <w:rPr>
          <w:rFonts w:hint="eastAsia" w:ascii="宋体" w:hAnsi="宋体" w:cs="宋体"/>
          <w:kern w:val="1"/>
          <w:sz w:val="30"/>
          <w:szCs w:val="30"/>
        </w:rPr>
        <w:t>维护费</w:t>
      </w:r>
      <w:r>
        <w:rPr>
          <w:rFonts w:hint="eastAsia" w:ascii="宋体" w:hAnsi="宋体" w:cs="宋体"/>
          <w:kern w:val="1"/>
          <w:sz w:val="30"/>
          <w:szCs w:val="30"/>
          <w:lang w:val="en-US" w:eastAsia="zh-CN"/>
        </w:rPr>
        <w:t>5.88</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会议费0.13万元，</w:t>
      </w:r>
      <w:r>
        <w:rPr>
          <w:rFonts w:hint="eastAsia" w:ascii="宋体" w:hAnsi="宋体" w:cs="宋体"/>
          <w:kern w:val="1"/>
          <w:sz w:val="30"/>
          <w:szCs w:val="30"/>
        </w:rPr>
        <w:t>培训费</w:t>
      </w:r>
      <w:r>
        <w:rPr>
          <w:rFonts w:hint="eastAsia" w:ascii="宋体" w:hAnsi="宋体" w:cs="宋体"/>
          <w:kern w:val="1"/>
          <w:sz w:val="30"/>
          <w:szCs w:val="30"/>
          <w:lang w:val="en-US" w:eastAsia="zh-CN"/>
        </w:rPr>
        <w:t>2.35</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公务用车运行维护费7.21万元，其他商品服务支出7.45万元。，其他支出</w:t>
      </w:r>
      <w:r>
        <w:rPr>
          <w:rFonts w:hint="eastAsia" w:ascii="宋体" w:hAnsi="宋体" w:cs="宋体"/>
          <w:kern w:val="1"/>
          <w:sz w:val="30"/>
          <w:szCs w:val="30"/>
        </w:rPr>
        <w:t xml:space="preserve"> </w:t>
      </w:r>
      <w:r>
        <w:rPr>
          <w:rFonts w:hint="eastAsia" w:ascii="宋体" w:hAnsi="宋体" w:cs="宋体"/>
          <w:kern w:val="1"/>
          <w:sz w:val="30"/>
          <w:szCs w:val="30"/>
          <w:lang w:val="en-US" w:eastAsia="zh-CN"/>
        </w:rPr>
        <w:t>168.51万元。</w:t>
      </w:r>
      <w:r>
        <w:rPr>
          <w:rFonts w:hint="eastAsia" w:ascii="宋体" w:hAnsi="宋体" w:cs="宋体"/>
          <w:kern w:val="1"/>
          <w:sz w:val="30"/>
          <w:szCs w:val="30"/>
        </w:rPr>
        <w:t xml:space="preserve">                          </w:t>
      </w:r>
    </w:p>
    <w:p w14:paraId="32EFAE1B">
      <w:pPr>
        <w:ind w:right="11" w:firstLine="600" w:firstLineChars="200"/>
        <w:rPr>
          <w:rFonts w:hint="eastAsia" w:ascii="宋体" w:hAnsi="宋体" w:cs="宋体"/>
          <w:kern w:val="1"/>
          <w:sz w:val="30"/>
          <w:szCs w:val="30"/>
          <w:highlight w:val="none"/>
        </w:rPr>
      </w:pPr>
      <w:r>
        <w:rPr>
          <w:rFonts w:hint="eastAsia" w:ascii="宋体" w:hAnsi="宋体" w:cs="宋体"/>
          <w:kern w:val="1"/>
          <w:sz w:val="30"/>
          <w:szCs w:val="30"/>
          <w:highlight w:val="none"/>
        </w:rPr>
        <w:t>3、对个人和家庭的补助</w:t>
      </w:r>
      <w:r>
        <w:rPr>
          <w:rFonts w:hint="eastAsia" w:ascii="宋体" w:hAnsi="宋体" w:cs="宋体"/>
          <w:kern w:val="1"/>
          <w:sz w:val="30"/>
          <w:szCs w:val="30"/>
          <w:highlight w:val="none"/>
          <w:lang w:val="en-US" w:eastAsia="zh-CN"/>
        </w:rPr>
        <w:t>15.39</w:t>
      </w:r>
      <w:r>
        <w:rPr>
          <w:rFonts w:hint="eastAsia" w:ascii="宋体" w:hAnsi="宋体" w:cs="宋体"/>
          <w:kern w:val="1"/>
          <w:sz w:val="30"/>
          <w:szCs w:val="30"/>
          <w:highlight w:val="none"/>
        </w:rPr>
        <w:t>万元：</w:t>
      </w:r>
      <w:r>
        <w:rPr>
          <w:rFonts w:hint="eastAsia" w:ascii="宋体" w:hAnsi="宋体" w:cs="宋体"/>
          <w:kern w:val="1"/>
          <w:sz w:val="30"/>
          <w:szCs w:val="30"/>
          <w:highlight w:val="none"/>
          <w:lang w:val="en-US" w:eastAsia="zh-CN"/>
        </w:rPr>
        <w:t>其中抚恤金2.56万元，退休人员生活补助12.83万元</w:t>
      </w:r>
      <w:r>
        <w:rPr>
          <w:rFonts w:hint="eastAsia" w:ascii="宋体" w:hAnsi="宋体" w:cs="宋体"/>
          <w:kern w:val="1"/>
          <w:sz w:val="30"/>
          <w:szCs w:val="30"/>
          <w:highlight w:val="none"/>
        </w:rPr>
        <w:t>。</w:t>
      </w:r>
    </w:p>
    <w:p w14:paraId="50DBEBA5">
      <w:pPr>
        <w:ind w:right="11" w:firstLine="600" w:firstLineChars="200"/>
        <w:rPr>
          <w:rFonts w:hint="default" w:ascii="宋体" w:hAnsi="宋体" w:eastAsia="宋体" w:cs="宋体"/>
          <w:kern w:val="1"/>
          <w:sz w:val="30"/>
          <w:szCs w:val="30"/>
          <w:highlight w:val="none"/>
          <w:lang w:val="en-US" w:eastAsia="zh-CN"/>
        </w:rPr>
      </w:pPr>
    </w:p>
    <w:p w14:paraId="3B7EB54E">
      <w:pPr>
        <w:ind w:right="11" w:firstLine="600" w:firstLineChars="200"/>
        <w:rPr>
          <w:rFonts w:hint="eastAsia" w:ascii="宋体" w:hAnsi="宋体" w:eastAsia="宋体"/>
          <w:sz w:val="30"/>
          <w:szCs w:val="30"/>
          <w:highlight w:val="none"/>
          <w:lang w:eastAsia="zh-CN"/>
        </w:rPr>
      </w:pPr>
      <w:r>
        <w:rPr>
          <w:rFonts w:hint="eastAsia" w:ascii="宋体" w:hAnsi="宋体"/>
          <w:color w:val="010101"/>
          <w:sz w:val="30"/>
          <w:szCs w:val="30"/>
          <w:highlight w:val="none"/>
        </w:rPr>
        <w:t>（二）</w:t>
      </w:r>
      <w:r>
        <w:rPr>
          <w:rFonts w:hint="eastAsia" w:ascii="宋体" w:hAnsi="宋体"/>
          <w:sz w:val="30"/>
          <w:szCs w:val="30"/>
          <w:highlight w:val="none"/>
        </w:rPr>
        <w:t>项目支出</w:t>
      </w:r>
      <w:r>
        <w:rPr>
          <w:rFonts w:hint="eastAsia" w:ascii="宋体" w:hAnsi="宋体"/>
          <w:sz w:val="30"/>
          <w:szCs w:val="30"/>
          <w:highlight w:val="none"/>
          <w:lang w:eastAsia="zh-CN"/>
        </w:rPr>
        <w:t>情况</w:t>
      </w:r>
    </w:p>
    <w:p w14:paraId="08159AFD">
      <w:pPr>
        <w:ind w:right="11" w:firstLine="600" w:firstLineChars="200"/>
        <w:rPr>
          <w:rFonts w:hint="eastAsia" w:ascii="宋体" w:hAnsi="宋体"/>
          <w:sz w:val="30"/>
          <w:szCs w:val="30"/>
          <w:highlight w:val="none"/>
        </w:rPr>
      </w:pPr>
      <w:r>
        <w:rPr>
          <w:rFonts w:hint="eastAsia" w:ascii="宋体" w:hAnsi="宋体"/>
          <w:sz w:val="30"/>
          <w:szCs w:val="30"/>
          <w:highlight w:val="none"/>
        </w:rPr>
        <w:t>一般公共预算财政拨款项目支</w:t>
      </w:r>
      <w:r>
        <w:rPr>
          <w:rFonts w:hint="eastAsia" w:ascii="宋体" w:hAnsi="宋体"/>
          <w:color w:val="000000" w:themeColor="text1"/>
          <w:sz w:val="30"/>
          <w:szCs w:val="30"/>
          <w:highlight w:val="none"/>
          <w14:textFill>
            <w14:solidFill>
              <w14:schemeClr w14:val="tx1"/>
            </w14:solidFill>
          </w14:textFill>
        </w:rPr>
        <w:t>出</w:t>
      </w:r>
      <w:r>
        <w:rPr>
          <w:rFonts w:hint="eastAsia" w:ascii="宋体" w:hAnsi="宋体" w:cs="宋体"/>
          <w:color w:val="000000" w:themeColor="text1"/>
          <w:kern w:val="1"/>
          <w:sz w:val="30"/>
          <w:szCs w:val="30"/>
          <w:highlight w:val="none"/>
          <w:lang w:val="en-US" w:eastAsia="zh-CN"/>
          <w14:textFill>
            <w14:solidFill>
              <w14:schemeClr w14:val="tx1"/>
            </w14:solidFill>
          </w14:textFill>
        </w:rPr>
        <w:t>197.91</w:t>
      </w:r>
      <w:r>
        <w:rPr>
          <w:rFonts w:hint="eastAsia" w:ascii="宋体" w:hAnsi="宋体"/>
          <w:color w:val="000000" w:themeColor="text1"/>
          <w:sz w:val="30"/>
          <w:szCs w:val="30"/>
          <w:highlight w:val="none"/>
          <w14:textFill>
            <w14:solidFill>
              <w14:schemeClr w14:val="tx1"/>
            </w14:solidFill>
          </w14:textFill>
        </w:rPr>
        <w:t>万元，具体</w:t>
      </w:r>
      <w:r>
        <w:rPr>
          <w:rFonts w:hint="eastAsia" w:ascii="宋体" w:hAnsi="宋体"/>
          <w:sz w:val="30"/>
          <w:szCs w:val="30"/>
          <w:highlight w:val="none"/>
        </w:rPr>
        <w:t>使用情况如下:</w:t>
      </w:r>
    </w:p>
    <w:p w14:paraId="0C500C21">
      <w:pPr>
        <w:ind w:right="11" w:firstLine="600" w:firstLineChars="200"/>
        <w:rPr>
          <w:rFonts w:hint="eastAsia" w:ascii="宋体" w:hAnsi="宋体" w:cs="宋体"/>
          <w:kern w:val="1"/>
          <w:sz w:val="30"/>
          <w:szCs w:val="30"/>
          <w:lang w:val="en-US" w:eastAsia="zh-CN"/>
        </w:rPr>
      </w:pPr>
      <w:r>
        <w:rPr>
          <w:rFonts w:hint="eastAsia" w:ascii="宋体" w:hAnsi="宋体"/>
          <w:sz w:val="30"/>
          <w:szCs w:val="30"/>
          <w:highlight w:val="none"/>
          <w:lang w:val="en-US" w:eastAsia="zh-CN"/>
        </w:rPr>
        <w:t>商品和服务支出187.08万元：其中</w:t>
      </w:r>
      <w:r>
        <w:rPr>
          <w:rFonts w:hint="eastAsia" w:ascii="宋体" w:hAnsi="宋体" w:cs="宋体"/>
          <w:kern w:val="1"/>
          <w:sz w:val="30"/>
          <w:szCs w:val="30"/>
        </w:rPr>
        <w:t>办公费</w:t>
      </w:r>
      <w:r>
        <w:rPr>
          <w:rFonts w:hint="eastAsia" w:ascii="宋体" w:hAnsi="宋体" w:cs="宋体"/>
          <w:kern w:val="1"/>
          <w:sz w:val="30"/>
          <w:szCs w:val="30"/>
          <w:lang w:val="en-US" w:eastAsia="zh-CN"/>
        </w:rPr>
        <w:t>5.64</w:t>
      </w:r>
      <w:r>
        <w:rPr>
          <w:rFonts w:hint="eastAsia" w:ascii="宋体" w:hAnsi="宋体" w:cs="宋体"/>
          <w:kern w:val="1"/>
          <w:sz w:val="30"/>
          <w:szCs w:val="30"/>
        </w:rPr>
        <w:t>万元，印刷费</w:t>
      </w:r>
      <w:r>
        <w:rPr>
          <w:rFonts w:hint="eastAsia" w:ascii="宋体" w:hAnsi="宋体" w:cs="宋体"/>
          <w:kern w:val="1"/>
          <w:sz w:val="30"/>
          <w:szCs w:val="30"/>
          <w:lang w:val="en-US" w:eastAsia="zh-CN"/>
        </w:rPr>
        <w:t>0.7</w:t>
      </w:r>
      <w:r>
        <w:rPr>
          <w:rFonts w:hint="eastAsia" w:ascii="宋体" w:hAnsi="宋体" w:cs="宋体"/>
          <w:kern w:val="1"/>
          <w:sz w:val="30"/>
          <w:szCs w:val="30"/>
        </w:rPr>
        <w:t>万元，</w:t>
      </w:r>
      <w:r>
        <w:rPr>
          <w:rFonts w:hint="eastAsia" w:ascii="宋体" w:hAnsi="宋体" w:cs="宋体"/>
          <w:kern w:val="1"/>
          <w:sz w:val="30"/>
          <w:szCs w:val="30"/>
          <w:lang w:val="en-US" w:eastAsia="zh-CN"/>
        </w:rPr>
        <w:t>劳务费1.32</w:t>
      </w:r>
      <w:r>
        <w:rPr>
          <w:rFonts w:hint="eastAsia" w:ascii="宋体" w:hAnsi="宋体" w:cs="宋体"/>
          <w:kern w:val="1"/>
          <w:sz w:val="30"/>
          <w:szCs w:val="30"/>
        </w:rPr>
        <w:t>万元，维（护）修费</w:t>
      </w:r>
      <w:r>
        <w:rPr>
          <w:rFonts w:hint="eastAsia" w:ascii="宋体" w:hAnsi="宋体" w:cs="宋体"/>
          <w:kern w:val="1"/>
          <w:sz w:val="30"/>
          <w:szCs w:val="30"/>
          <w:lang w:val="en-US" w:eastAsia="zh-CN"/>
        </w:rPr>
        <w:t>3.77</w:t>
      </w:r>
      <w:r>
        <w:rPr>
          <w:rFonts w:hint="eastAsia" w:ascii="宋体" w:hAnsi="宋体" w:cs="宋体"/>
          <w:kern w:val="1"/>
          <w:sz w:val="30"/>
          <w:szCs w:val="30"/>
        </w:rPr>
        <w:t>万元，培训费</w:t>
      </w:r>
      <w:r>
        <w:rPr>
          <w:rFonts w:hint="eastAsia" w:ascii="宋体" w:hAnsi="宋体" w:cs="宋体"/>
          <w:kern w:val="1"/>
          <w:sz w:val="30"/>
          <w:szCs w:val="30"/>
          <w:lang w:val="en-US" w:eastAsia="zh-CN"/>
        </w:rPr>
        <w:t>0.5</w:t>
      </w:r>
      <w:r>
        <w:rPr>
          <w:rFonts w:hint="eastAsia" w:ascii="宋体" w:hAnsi="宋体" w:cs="宋体"/>
          <w:kern w:val="1"/>
          <w:sz w:val="30"/>
          <w:szCs w:val="30"/>
        </w:rPr>
        <w:t>万元，专用材料费</w:t>
      </w:r>
      <w:r>
        <w:rPr>
          <w:rFonts w:hint="eastAsia" w:ascii="宋体" w:hAnsi="宋体" w:cs="宋体"/>
          <w:kern w:val="1"/>
          <w:sz w:val="30"/>
          <w:szCs w:val="30"/>
          <w:lang w:val="en-US" w:eastAsia="zh-CN"/>
        </w:rPr>
        <w:t>124.05</w:t>
      </w:r>
      <w:r>
        <w:rPr>
          <w:rFonts w:hint="eastAsia" w:ascii="宋体" w:hAnsi="宋体" w:cs="宋体"/>
          <w:kern w:val="1"/>
          <w:sz w:val="30"/>
          <w:szCs w:val="30"/>
        </w:rPr>
        <w:t>万元，</w:t>
      </w:r>
      <w:r>
        <w:rPr>
          <w:rFonts w:hint="eastAsia" w:ascii="宋体" w:hAnsi="宋体" w:cs="宋体"/>
          <w:kern w:val="1"/>
          <w:sz w:val="30"/>
          <w:szCs w:val="30"/>
          <w:lang w:eastAsia="zh-CN"/>
        </w:rPr>
        <w:t>委托业务费</w:t>
      </w:r>
      <w:r>
        <w:rPr>
          <w:rFonts w:hint="eastAsia" w:ascii="宋体" w:hAnsi="宋体" w:cs="宋体"/>
          <w:kern w:val="1"/>
          <w:sz w:val="30"/>
          <w:szCs w:val="30"/>
          <w:lang w:val="en-US" w:eastAsia="zh-CN"/>
        </w:rPr>
        <w:t>30.95万元，其他商品服务支出20.15万元。</w:t>
      </w:r>
    </w:p>
    <w:p w14:paraId="39BBCB15">
      <w:pPr>
        <w:ind w:right="11" w:firstLine="600" w:firstLineChars="200"/>
        <w:rPr>
          <w:rFonts w:hint="eastAsia" w:ascii="宋体" w:hAnsi="宋体"/>
          <w:sz w:val="30"/>
          <w:szCs w:val="30"/>
          <w:highlight w:val="none"/>
        </w:rPr>
      </w:pPr>
      <w:r>
        <w:rPr>
          <w:rFonts w:hint="eastAsia" w:ascii="宋体" w:hAnsi="宋体"/>
          <w:sz w:val="30"/>
          <w:szCs w:val="30"/>
          <w:highlight w:val="none"/>
          <w:lang w:val="en-US" w:eastAsia="zh-CN"/>
        </w:rPr>
        <w:t>其他对个人和家庭的补助支出0.03万元。设备购置10.8万元。</w:t>
      </w:r>
    </w:p>
    <w:p w14:paraId="67272664">
      <w:pPr>
        <w:pStyle w:val="8"/>
        <w:widowControl/>
        <w:numPr>
          <w:ilvl w:val="0"/>
          <w:numId w:val="5"/>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财政专户管理资金支出</w:t>
      </w:r>
    </w:p>
    <w:p w14:paraId="42C3DC25">
      <w:pPr>
        <w:ind w:right="11"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2025年纳入专户管理的资金支出合计1839.09万元，支出情况如下：</w:t>
      </w:r>
    </w:p>
    <w:p w14:paraId="0C3F5744">
      <w:pPr>
        <w:numPr>
          <w:ilvl w:val="0"/>
          <w:numId w:val="7"/>
        </w:numPr>
        <w:ind w:right="11" w:firstLine="600" w:firstLineChars="200"/>
        <w:rPr>
          <w:rFonts w:hint="eastAsia" w:ascii="宋体" w:hAnsi="宋体" w:eastAsia="宋体" w:cs="宋体"/>
          <w:b w:val="0"/>
          <w:kern w:val="1"/>
          <w:sz w:val="30"/>
          <w:szCs w:val="30"/>
          <w:highlight w:val="none"/>
          <w:lang w:val="en-US" w:eastAsia="zh-CN" w:bidi="ar-SA"/>
        </w:rPr>
      </w:pPr>
      <w:r>
        <w:rPr>
          <w:rFonts w:hint="eastAsia" w:ascii="宋体" w:hAnsi="宋体" w:eastAsia="宋体" w:cs="宋体"/>
          <w:b w:val="0"/>
          <w:kern w:val="1"/>
          <w:sz w:val="30"/>
          <w:szCs w:val="30"/>
          <w:highlight w:val="none"/>
          <w:lang w:val="en-US" w:eastAsia="zh-CN" w:bidi="ar-SA"/>
        </w:rPr>
        <w:t>工资福利支出973.87万元：基本工资124.58万元、津补贴106.56万元、伙食补助54.85万元，绩效工资178.65万元、机关事业单位养老保险4.39万元、医疗保险0.38万元、公积金37.59万元，其他社会保险缴费81.53万元，其他工资福利支出385.34万元。</w:t>
      </w:r>
    </w:p>
    <w:p w14:paraId="31FDEA22">
      <w:pPr>
        <w:numPr>
          <w:ilvl w:val="0"/>
          <w:numId w:val="7"/>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highlight w:val="none"/>
          <w:lang w:val="en-US" w:eastAsia="zh-CN"/>
        </w:rPr>
        <w:t>商品和服务支出809.66万元：</w:t>
      </w:r>
      <w:r>
        <w:rPr>
          <w:rFonts w:hint="eastAsia" w:ascii="宋体" w:hAnsi="宋体" w:cs="宋体"/>
          <w:kern w:val="1"/>
          <w:sz w:val="30"/>
          <w:szCs w:val="30"/>
          <w:highlight w:val="none"/>
        </w:rPr>
        <w:t>其中</w:t>
      </w:r>
      <w:r>
        <w:rPr>
          <w:rFonts w:hint="eastAsia" w:ascii="宋体" w:hAnsi="宋体" w:cs="宋体"/>
          <w:kern w:val="1"/>
          <w:sz w:val="30"/>
          <w:szCs w:val="30"/>
          <w:highlight w:val="none"/>
          <w:lang w:val="en-US" w:eastAsia="zh-CN"/>
        </w:rPr>
        <w:t>办公</w:t>
      </w:r>
      <w:r>
        <w:rPr>
          <w:rFonts w:hint="eastAsia" w:ascii="宋体" w:hAnsi="宋体" w:cs="宋体"/>
          <w:kern w:val="1"/>
          <w:sz w:val="30"/>
          <w:szCs w:val="30"/>
          <w:lang w:val="en-US" w:eastAsia="zh-CN"/>
        </w:rPr>
        <w:t>费3.51万元，印刷费8.64万元，差旅费2.19万元，</w:t>
      </w:r>
      <w:r>
        <w:rPr>
          <w:rFonts w:hint="eastAsia" w:ascii="宋体" w:hAnsi="宋体" w:cs="宋体"/>
          <w:kern w:val="1"/>
          <w:sz w:val="30"/>
          <w:szCs w:val="30"/>
        </w:rPr>
        <w:t>水费</w:t>
      </w:r>
      <w:r>
        <w:rPr>
          <w:rFonts w:hint="eastAsia" w:ascii="宋体" w:hAnsi="宋体" w:cs="宋体"/>
          <w:kern w:val="1"/>
          <w:sz w:val="30"/>
          <w:szCs w:val="30"/>
          <w:lang w:val="en-US" w:eastAsia="zh-CN"/>
        </w:rPr>
        <w:t>4.32</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rPr>
        <w:t>电费</w:t>
      </w:r>
      <w:r>
        <w:rPr>
          <w:rFonts w:hint="eastAsia" w:ascii="宋体" w:hAnsi="宋体" w:cs="宋体"/>
          <w:kern w:val="1"/>
          <w:sz w:val="30"/>
          <w:szCs w:val="30"/>
          <w:lang w:val="en-US" w:eastAsia="zh-CN"/>
        </w:rPr>
        <w:t>27.06</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邮电费4.53万元，物业管理费26.43万元，</w:t>
      </w:r>
      <w:r>
        <w:rPr>
          <w:rFonts w:hint="eastAsia" w:ascii="宋体" w:hAnsi="宋体" w:cs="宋体"/>
          <w:kern w:val="1"/>
          <w:sz w:val="30"/>
          <w:szCs w:val="30"/>
        </w:rPr>
        <w:t>维护费</w:t>
      </w:r>
      <w:r>
        <w:rPr>
          <w:rFonts w:hint="eastAsia" w:ascii="宋体" w:hAnsi="宋体" w:cs="宋体"/>
          <w:kern w:val="1"/>
          <w:sz w:val="30"/>
          <w:szCs w:val="30"/>
          <w:lang w:val="en-US" w:eastAsia="zh-CN"/>
        </w:rPr>
        <w:t>45.18</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会议费2.58万元，</w:t>
      </w:r>
      <w:r>
        <w:rPr>
          <w:rFonts w:hint="eastAsia" w:ascii="宋体" w:hAnsi="宋体" w:cs="宋体"/>
          <w:kern w:val="1"/>
          <w:sz w:val="30"/>
          <w:szCs w:val="30"/>
        </w:rPr>
        <w:t>培训费</w:t>
      </w:r>
      <w:r>
        <w:rPr>
          <w:rFonts w:hint="eastAsia" w:ascii="宋体" w:hAnsi="宋体" w:cs="宋体"/>
          <w:kern w:val="1"/>
          <w:sz w:val="30"/>
          <w:szCs w:val="30"/>
          <w:lang w:val="en-US" w:eastAsia="zh-CN"/>
        </w:rPr>
        <w:t>6.57</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专用材料费356.61万元，劳务费2.26万元，委托业务费137.1万元，工会经费40.6万元，福利费5.86万元，公务用车运行维护费0.75万元，其他商品服务支出135.47万元。</w:t>
      </w:r>
    </w:p>
    <w:p w14:paraId="4C46669C">
      <w:pPr>
        <w:numPr>
          <w:ilvl w:val="0"/>
          <w:numId w:val="7"/>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对个人和家庭的生活补助支出4.1万元，其中奖励金3.24万元，艾梅乙补助支出0.06万元，退休人员生活补助0.8万元。</w:t>
      </w:r>
    </w:p>
    <w:p w14:paraId="06CAA388">
      <w:pPr>
        <w:numPr>
          <w:ilvl w:val="0"/>
          <w:numId w:val="7"/>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资本性支出51.39万元，其中新院搬迁建设支出6.28万元，固定资产设备购置45.11万元。</w:t>
      </w:r>
    </w:p>
    <w:p w14:paraId="54BAE95C">
      <w:pPr>
        <w:numPr>
          <w:ilvl w:val="0"/>
          <w:numId w:val="7"/>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其他支出：0.07万元</w:t>
      </w:r>
    </w:p>
    <w:p w14:paraId="3F61EA6C">
      <w:pPr>
        <w:pStyle w:val="8"/>
        <w:widowControl/>
        <w:numPr>
          <w:ilvl w:val="0"/>
          <w:numId w:val="5"/>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专项债券资金支出</w:t>
      </w:r>
    </w:p>
    <w:p w14:paraId="0B1B6D49">
      <w:pPr>
        <w:ind w:right="11"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2025年专项债券资金支出合计871.31万元：新院搬迁项目专项债资金支出871.31万元。</w:t>
      </w:r>
    </w:p>
    <w:p w14:paraId="59DE86DC">
      <w:pPr>
        <w:pStyle w:val="8"/>
        <w:widowControl/>
        <w:numPr>
          <w:ilvl w:val="0"/>
          <w:numId w:val="5"/>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单位往来资金支出</w:t>
      </w:r>
    </w:p>
    <w:p w14:paraId="5A2FF48D">
      <w:pPr>
        <w:ind w:right="11"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2025年单位往来资金支出合计296.09万元，支出情况如下：</w:t>
      </w:r>
    </w:p>
    <w:p w14:paraId="73B7A71C">
      <w:pPr>
        <w:ind w:right="11"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1、</w:t>
      </w:r>
      <w:r>
        <w:rPr>
          <w:rFonts w:hint="eastAsia" w:ascii="宋体" w:hAnsi="宋体" w:cs="宋体"/>
          <w:kern w:val="1"/>
          <w:sz w:val="30"/>
          <w:szCs w:val="30"/>
          <w:highlight w:val="none"/>
          <w:lang w:val="en-US" w:eastAsia="zh-CN"/>
        </w:rPr>
        <w:t>基本工资9.37万元，社保支出12.18万元，其他工资福利支出68.24万元，办公</w:t>
      </w:r>
      <w:r>
        <w:rPr>
          <w:rFonts w:hint="eastAsia" w:ascii="宋体" w:hAnsi="宋体" w:cs="宋体"/>
          <w:kern w:val="1"/>
          <w:sz w:val="30"/>
          <w:szCs w:val="30"/>
          <w:lang w:val="en-US" w:eastAsia="zh-CN"/>
        </w:rPr>
        <w:t>费0.87万元，印刷费3.27万元，维修维护费0.5万元，差旅费0.18万元，会议费0.7万元，</w:t>
      </w:r>
      <w:r>
        <w:rPr>
          <w:rFonts w:hint="eastAsia" w:ascii="宋体" w:hAnsi="宋体" w:cs="宋体"/>
          <w:kern w:val="1"/>
          <w:sz w:val="30"/>
          <w:szCs w:val="30"/>
        </w:rPr>
        <w:t>培训费</w:t>
      </w:r>
      <w:r>
        <w:rPr>
          <w:rFonts w:hint="eastAsia" w:ascii="宋体" w:hAnsi="宋体" w:cs="宋体"/>
          <w:kern w:val="1"/>
          <w:sz w:val="30"/>
          <w:szCs w:val="30"/>
          <w:lang w:val="en-US" w:eastAsia="zh-CN"/>
        </w:rPr>
        <w:t>1.93</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委托业务费89.77万元，专用材料费93万元，其他商品服务支出14万元，对个人和家庭的补助支出0.74万元，资本性支出1.34万元。</w:t>
      </w:r>
    </w:p>
    <w:p w14:paraId="62EEC161">
      <w:pPr>
        <w:pStyle w:val="8"/>
        <w:widowControl/>
        <w:numPr>
          <w:ilvl w:val="0"/>
          <w:numId w:val="5"/>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rPr>
        <w:t>政府性基金预算支出情况</w:t>
      </w:r>
    </w:p>
    <w:p w14:paraId="76466B17">
      <w:pPr>
        <w:ind w:right="11" w:firstLine="600" w:firstLineChars="200"/>
        <w:rPr>
          <w:rFonts w:hint="eastAsia"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妇幼保健和计划生育服务中心2025年无政府性基金预算。</w:t>
      </w:r>
    </w:p>
    <w:p w14:paraId="1EDF5826">
      <w:pPr>
        <w:numPr>
          <w:ilvl w:val="0"/>
          <w:numId w:val="0"/>
        </w:numPr>
        <w:ind w:right="11" w:rightChars="0" w:firstLine="900" w:firstLineChars="300"/>
        <w:rPr>
          <w:rFonts w:hint="default" w:ascii="宋体" w:hAnsi="宋体"/>
          <w:b/>
          <w:bCs/>
          <w:color w:val="010101"/>
          <w:sz w:val="30"/>
          <w:szCs w:val="30"/>
          <w:highlight w:val="none"/>
          <w:lang w:val="en-US" w:eastAsia="zh-CN"/>
        </w:rPr>
      </w:pPr>
      <w:r>
        <w:rPr>
          <w:rFonts w:hint="eastAsia" w:ascii="宋体" w:hAnsi="宋体"/>
          <w:b/>
          <w:bCs/>
          <w:color w:val="010101"/>
          <w:sz w:val="30"/>
          <w:szCs w:val="30"/>
          <w:highlight w:val="none"/>
          <w:lang w:val="en-US" w:eastAsia="zh-CN"/>
        </w:rPr>
        <w:t>七、</w:t>
      </w:r>
      <w:r>
        <w:rPr>
          <w:rFonts w:hint="default" w:ascii="宋体" w:hAnsi="宋体"/>
          <w:b/>
          <w:bCs/>
          <w:color w:val="010101"/>
          <w:sz w:val="30"/>
          <w:szCs w:val="30"/>
          <w:highlight w:val="none"/>
          <w:lang w:val="en-US" w:eastAsia="zh-CN"/>
        </w:rPr>
        <w:t>国有资本经营预算支出情况</w:t>
      </w:r>
    </w:p>
    <w:p w14:paraId="1258DE21">
      <w:pPr>
        <w:ind w:right="11" w:firstLine="600" w:firstLineChars="200"/>
        <w:rPr>
          <w:rFonts w:hint="eastAsia"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妇幼保健和计划生育服务中心2025年无国有资本经营预算支出。</w:t>
      </w:r>
    </w:p>
    <w:p w14:paraId="783F3224">
      <w:pPr>
        <w:numPr>
          <w:ilvl w:val="0"/>
          <w:numId w:val="0"/>
        </w:numPr>
        <w:ind w:right="11" w:rightChars="0" w:firstLine="900" w:firstLineChars="300"/>
        <w:rPr>
          <w:rFonts w:hint="default" w:ascii="宋体" w:hAnsi="宋体"/>
          <w:b/>
          <w:color w:val="010101"/>
          <w:sz w:val="30"/>
          <w:szCs w:val="30"/>
          <w:highlight w:val="none"/>
          <w:lang w:val="en-US" w:eastAsia="zh-CN"/>
        </w:rPr>
      </w:pPr>
      <w:r>
        <w:rPr>
          <w:rFonts w:hint="eastAsia" w:ascii="宋体" w:hAnsi="宋体"/>
          <w:b/>
          <w:bCs/>
          <w:color w:val="010101"/>
          <w:sz w:val="30"/>
          <w:szCs w:val="30"/>
          <w:highlight w:val="none"/>
          <w:lang w:val="en-US" w:eastAsia="zh-CN"/>
        </w:rPr>
        <w:t>八</w:t>
      </w:r>
      <w:r>
        <w:rPr>
          <w:rFonts w:hint="eastAsia" w:ascii="宋体" w:hAnsi="宋体" w:eastAsia="宋体"/>
          <w:b/>
          <w:bCs/>
          <w:color w:val="010101"/>
          <w:sz w:val="30"/>
          <w:szCs w:val="30"/>
          <w:highlight w:val="none"/>
          <w:lang w:val="en-US" w:eastAsia="zh-CN"/>
        </w:rPr>
        <w:t>、</w:t>
      </w:r>
      <w:r>
        <w:rPr>
          <w:rFonts w:hint="default" w:ascii="宋体" w:hAnsi="宋体" w:eastAsia="宋体"/>
          <w:b/>
          <w:bCs/>
          <w:color w:val="010101"/>
          <w:sz w:val="30"/>
          <w:szCs w:val="30"/>
          <w:highlight w:val="none"/>
          <w:lang w:val="en-US" w:eastAsia="zh-CN"/>
        </w:rPr>
        <w:t>社会</w:t>
      </w:r>
      <w:r>
        <w:rPr>
          <w:rFonts w:hint="default" w:ascii="宋体" w:hAnsi="宋体"/>
          <w:b/>
          <w:color w:val="010101"/>
          <w:sz w:val="30"/>
          <w:szCs w:val="30"/>
          <w:highlight w:val="none"/>
          <w:lang w:val="en-US" w:eastAsia="zh-CN"/>
        </w:rPr>
        <w:t>保险基金预算支出情况</w:t>
      </w:r>
    </w:p>
    <w:p w14:paraId="4A6187F1">
      <w:p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w:t>
      </w:r>
      <w:r>
        <w:rPr>
          <w:rFonts w:hint="default" w:ascii="宋体" w:hAnsi="宋体" w:cs="宋体"/>
          <w:kern w:val="1"/>
          <w:sz w:val="30"/>
          <w:szCs w:val="30"/>
          <w:highlight w:val="none"/>
          <w:lang w:val="en-US" w:eastAsia="zh-CN"/>
        </w:rPr>
        <w:t>无社会保险基金预算支出。</w:t>
      </w:r>
    </w:p>
    <w:p w14:paraId="6859A110">
      <w:pPr>
        <w:ind w:right="11" w:firstLine="900" w:firstLineChars="300"/>
        <w:rPr>
          <w:rFonts w:ascii="宋体" w:hAnsi="宋体"/>
          <w:b/>
          <w:color w:val="010101"/>
          <w:sz w:val="30"/>
          <w:szCs w:val="30"/>
        </w:rPr>
      </w:pPr>
      <w:r>
        <w:rPr>
          <w:rFonts w:hint="eastAsia" w:ascii="宋体" w:hAnsi="宋体"/>
          <w:b/>
          <w:color w:val="010101"/>
          <w:sz w:val="30"/>
          <w:szCs w:val="30"/>
          <w:lang w:val="en-US" w:eastAsia="zh-CN"/>
        </w:rPr>
        <w:t>九</w:t>
      </w:r>
      <w:r>
        <w:rPr>
          <w:rFonts w:hint="eastAsia" w:ascii="宋体" w:hAnsi="宋体"/>
          <w:b/>
          <w:color w:val="010101"/>
          <w:sz w:val="30"/>
          <w:szCs w:val="30"/>
        </w:rPr>
        <w:t>、部门整体支出绩效情况</w:t>
      </w:r>
    </w:p>
    <w:p w14:paraId="0EE01C5E">
      <w:pPr>
        <w:spacing w:line="600" w:lineRule="exact"/>
        <w:ind w:firstLine="600" w:firstLineChars="200"/>
        <w:jc w:val="left"/>
        <w:rPr>
          <w:rFonts w:hint="eastAsia" w:asciiTheme="minorEastAsia" w:hAnsiTheme="minorEastAsia" w:eastAsiaTheme="minorEastAsia" w:cstheme="minorEastAsia"/>
          <w:color w:val="auto"/>
          <w:sz w:val="30"/>
          <w:szCs w:val="30"/>
          <w:highlight w:val="none"/>
        </w:rPr>
      </w:pPr>
      <w:r>
        <w:rPr>
          <w:rFonts w:hint="eastAsia" w:ascii="宋体" w:hAnsi="宋体"/>
          <w:color w:val="010101"/>
          <w:kern w:val="0"/>
          <w:sz w:val="30"/>
          <w:szCs w:val="30"/>
          <w:highlight w:val="none"/>
          <w:lang w:val="en-US" w:eastAsia="zh-CN"/>
        </w:rPr>
        <w:t>1、预防艾滋病、梅毒和乙肝母婴传播项目顺利实施。</w:t>
      </w:r>
      <w:r>
        <w:rPr>
          <w:rFonts w:hint="eastAsia" w:asciiTheme="minorEastAsia" w:hAnsiTheme="minorEastAsia" w:eastAsiaTheme="minorEastAsia" w:cstheme="minorEastAsia"/>
          <w:color w:val="auto"/>
          <w:sz w:val="30"/>
          <w:szCs w:val="30"/>
          <w:highlight w:val="none"/>
          <w:lang w:eastAsia="zh-CN"/>
        </w:rPr>
        <w:t>202</w:t>
      </w:r>
      <w:r>
        <w:rPr>
          <w:rFonts w:hint="eastAsia" w:asciiTheme="minorEastAsia" w:hAnsiTheme="minorEastAsia" w:eastAsiaTheme="minorEastAsia" w:cstheme="minorEastAsia"/>
          <w:color w:val="auto"/>
          <w:sz w:val="30"/>
          <w:szCs w:val="30"/>
          <w:highlight w:val="none"/>
          <w:lang w:val="en-US" w:eastAsia="zh-CN"/>
        </w:rPr>
        <w:t>5</w:t>
      </w:r>
      <w:r>
        <w:rPr>
          <w:rFonts w:hint="eastAsia" w:asciiTheme="minorEastAsia" w:hAnsiTheme="minorEastAsia" w:eastAsiaTheme="minorEastAsia" w:cstheme="minorEastAsia"/>
          <w:color w:val="auto"/>
          <w:sz w:val="30"/>
          <w:szCs w:val="30"/>
          <w:highlight w:val="none"/>
          <w:lang w:eastAsia="zh-CN"/>
        </w:rPr>
        <w:t>年</w:t>
      </w:r>
      <w:r>
        <w:rPr>
          <w:rFonts w:hint="eastAsia" w:asciiTheme="minorEastAsia" w:hAnsiTheme="minorEastAsia" w:eastAsiaTheme="minorEastAsia" w:cstheme="minorEastAsia"/>
          <w:color w:val="auto"/>
          <w:sz w:val="30"/>
          <w:szCs w:val="30"/>
          <w:highlight w:val="none"/>
        </w:rPr>
        <w:t>，艾滋病、梅毒和乙肝孕早期检测人数</w:t>
      </w:r>
      <w:r>
        <w:rPr>
          <w:rFonts w:hint="eastAsia" w:asciiTheme="minorEastAsia" w:hAnsiTheme="minorEastAsia" w:eastAsiaTheme="minorEastAsia" w:cstheme="minorEastAsia"/>
          <w:color w:val="auto"/>
          <w:sz w:val="30"/>
          <w:szCs w:val="30"/>
          <w:highlight w:val="none"/>
          <w:lang w:val="en-US" w:eastAsia="zh-CN"/>
        </w:rPr>
        <w:t>2560</w:t>
      </w:r>
      <w:r>
        <w:rPr>
          <w:rFonts w:hint="eastAsia" w:asciiTheme="minorEastAsia" w:hAnsiTheme="minorEastAsia" w:eastAsiaTheme="minorEastAsia" w:cstheme="minorEastAsia"/>
          <w:color w:val="auto"/>
          <w:sz w:val="30"/>
          <w:szCs w:val="30"/>
          <w:highlight w:val="none"/>
        </w:rPr>
        <w:t>人，孕早期检测率9</w:t>
      </w:r>
      <w:r>
        <w:rPr>
          <w:rFonts w:hint="eastAsia" w:asciiTheme="minorEastAsia" w:hAnsiTheme="minorEastAsia" w:eastAsiaTheme="minorEastAsia" w:cstheme="minorEastAsia"/>
          <w:color w:val="auto"/>
          <w:sz w:val="30"/>
          <w:szCs w:val="30"/>
          <w:highlight w:val="none"/>
          <w:lang w:val="en-US" w:eastAsia="zh-CN"/>
        </w:rPr>
        <w:t>4.99</w:t>
      </w:r>
      <w:r>
        <w:rPr>
          <w:rFonts w:hint="eastAsia" w:asciiTheme="minorEastAsia" w:hAnsiTheme="minorEastAsia" w:eastAsiaTheme="minorEastAsia" w:cstheme="minorEastAsia"/>
          <w:color w:val="auto"/>
          <w:sz w:val="30"/>
          <w:szCs w:val="30"/>
          <w:highlight w:val="none"/>
        </w:rPr>
        <w:t>% ，孕产期检测人数</w:t>
      </w:r>
      <w:r>
        <w:rPr>
          <w:rFonts w:hint="eastAsia" w:asciiTheme="minorEastAsia" w:hAnsiTheme="minorEastAsia" w:eastAsiaTheme="minorEastAsia" w:cstheme="minorEastAsia"/>
          <w:color w:val="auto"/>
          <w:sz w:val="30"/>
          <w:szCs w:val="30"/>
          <w:highlight w:val="none"/>
          <w:lang w:val="en-US" w:eastAsia="zh-CN"/>
        </w:rPr>
        <w:t>2695</w:t>
      </w:r>
      <w:r>
        <w:rPr>
          <w:rFonts w:hint="eastAsia" w:asciiTheme="minorEastAsia" w:hAnsiTheme="minorEastAsia" w:eastAsiaTheme="minorEastAsia" w:cstheme="minorEastAsia"/>
          <w:color w:val="auto"/>
          <w:sz w:val="30"/>
          <w:szCs w:val="30"/>
          <w:highlight w:val="none"/>
        </w:rPr>
        <w:t>人，艾滋病、梅毒和乙肝孕期检测率100%。达到了省市级要求。孕期新增艾滋病感染孕妇2人，其中终止妊娠0人，转介0人，分娩2人（所生儿童，在出生后6小时内服用抗病毒药物，进行了艾滋病感染早期诊断检测，早期诊断结果为阴性。同时纳入高危儿管理）。孕期新增梅毒感染孕妇</w:t>
      </w:r>
      <w:r>
        <w:rPr>
          <w:rFonts w:hint="eastAsia" w:asciiTheme="minorEastAsia" w:hAnsiTheme="minorEastAsia" w:eastAsiaTheme="minorEastAsia" w:cstheme="minorEastAsia"/>
          <w:color w:val="auto"/>
          <w:sz w:val="30"/>
          <w:szCs w:val="30"/>
          <w:highlight w:val="none"/>
          <w:lang w:val="en-US" w:eastAsia="zh-CN"/>
        </w:rPr>
        <w:t>21</w:t>
      </w:r>
      <w:r>
        <w:rPr>
          <w:rFonts w:hint="eastAsia" w:asciiTheme="minorEastAsia" w:hAnsiTheme="minorEastAsia" w:eastAsiaTheme="minorEastAsia" w:cstheme="minorEastAsia"/>
          <w:color w:val="auto"/>
          <w:sz w:val="30"/>
          <w:szCs w:val="30"/>
          <w:highlight w:val="none"/>
        </w:rPr>
        <w:t>人，分娩梅毒感染孕产妇</w:t>
      </w:r>
      <w:r>
        <w:rPr>
          <w:rFonts w:hint="eastAsia" w:asciiTheme="minorEastAsia" w:hAnsiTheme="minorEastAsia" w:eastAsiaTheme="minorEastAsia" w:cstheme="minorEastAsia"/>
          <w:color w:val="auto"/>
          <w:sz w:val="30"/>
          <w:szCs w:val="30"/>
          <w:highlight w:val="none"/>
          <w:lang w:val="en-US" w:eastAsia="zh-CN"/>
        </w:rPr>
        <w:t>20</w:t>
      </w:r>
      <w:r>
        <w:rPr>
          <w:rFonts w:hint="eastAsia" w:asciiTheme="minorEastAsia" w:hAnsiTheme="minorEastAsia" w:eastAsiaTheme="minorEastAsia" w:cstheme="minorEastAsia"/>
          <w:color w:val="auto"/>
          <w:sz w:val="30"/>
          <w:szCs w:val="30"/>
          <w:highlight w:val="none"/>
        </w:rPr>
        <w:t>人。乙肝感染孕产妇</w:t>
      </w:r>
      <w:r>
        <w:rPr>
          <w:rFonts w:hint="eastAsia" w:asciiTheme="minorEastAsia" w:hAnsiTheme="minorEastAsia" w:eastAsiaTheme="minorEastAsia" w:cstheme="minorEastAsia"/>
          <w:color w:val="auto"/>
          <w:sz w:val="30"/>
          <w:szCs w:val="30"/>
          <w:highlight w:val="none"/>
          <w:lang w:val="en-US" w:eastAsia="zh-CN"/>
        </w:rPr>
        <w:t>213</w:t>
      </w:r>
      <w:r>
        <w:rPr>
          <w:rFonts w:hint="eastAsia" w:asciiTheme="minorEastAsia" w:hAnsiTheme="minorEastAsia" w:eastAsiaTheme="minorEastAsia" w:cstheme="minorEastAsia"/>
          <w:color w:val="auto"/>
          <w:sz w:val="30"/>
          <w:szCs w:val="30"/>
          <w:highlight w:val="none"/>
        </w:rPr>
        <w:t>人，所生活产数</w:t>
      </w:r>
      <w:r>
        <w:rPr>
          <w:rFonts w:hint="eastAsia" w:asciiTheme="minorEastAsia" w:hAnsiTheme="minorEastAsia" w:eastAsiaTheme="minorEastAsia" w:cstheme="minorEastAsia"/>
          <w:color w:val="auto"/>
          <w:sz w:val="30"/>
          <w:szCs w:val="30"/>
          <w:highlight w:val="none"/>
          <w:lang w:val="en-US" w:eastAsia="zh-CN"/>
        </w:rPr>
        <w:t>216</w:t>
      </w:r>
      <w:r>
        <w:rPr>
          <w:rFonts w:hint="eastAsia" w:asciiTheme="minorEastAsia" w:hAnsiTheme="minorEastAsia" w:eastAsiaTheme="minorEastAsia" w:cstheme="minorEastAsia"/>
          <w:color w:val="auto"/>
          <w:sz w:val="30"/>
          <w:szCs w:val="30"/>
          <w:highlight w:val="none"/>
        </w:rPr>
        <w:t>人，所生儿童12小时内首剂乙肝免疫球蛋白及时接种人数</w:t>
      </w:r>
      <w:r>
        <w:rPr>
          <w:rFonts w:hint="eastAsia" w:asciiTheme="minorEastAsia" w:hAnsiTheme="minorEastAsia" w:eastAsiaTheme="minorEastAsia" w:cstheme="minorEastAsia"/>
          <w:color w:val="auto"/>
          <w:sz w:val="30"/>
          <w:szCs w:val="30"/>
          <w:highlight w:val="none"/>
          <w:lang w:val="en-US" w:eastAsia="zh-CN"/>
        </w:rPr>
        <w:t>215</w:t>
      </w:r>
      <w:r>
        <w:rPr>
          <w:rFonts w:hint="eastAsia" w:asciiTheme="minorEastAsia" w:hAnsiTheme="minorEastAsia" w:eastAsiaTheme="minorEastAsia" w:cstheme="minorEastAsia"/>
          <w:color w:val="auto"/>
          <w:sz w:val="30"/>
          <w:szCs w:val="30"/>
          <w:highlight w:val="none"/>
        </w:rPr>
        <w:t>人，注射率</w:t>
      </w:r>
      <w:r>
        <w:rPr>
          <w:rFonts w:hint="eastAsia" w:asciiTheme="minorEastAsia" w:hAnsiTheme="minorEastAsia" w:eastAsiaTheme="minorEastAsia" w:cstheme="minorEastAsia"/>
          <w:color w:val="auto"/>
          <w:sz w:val="30"/>
          <w:szCs w:val="30"/>
          <w:highlight w:val="none"/>
          <w:lang w:val="en-US" w:eastAsia="zh-CN"/>
        </w:rPr>
        <w:t>99.54</w:t>
      </w:r>
      <w:r>
        <w:rPr>
          <w:rFonts w:hint="eastAsia" w:asciiTheme="minorEastAsia" w:hAnsiTheme="minorEastAsia" w:eastAsiaTheme="minorEastAsia" w:cstheme="minorEastAsia"/>
          <w:color w:val="auto"/>
          <w:sz w:val="30"/>
          <w:szCs w:val="30"/>
          <w:highlight w:val="none"/>
        </w:rPr>
        <w:t>% 。所生儿童12小时内首剂乙肝疫苗及时接种人数</w:t>
      </w:r>
      <w:r>
        <w:rPr>
          <w:rFonts w:hint="eastAsia" w:asciiTheme="minorEastAsia" w:hAnsiTheme="minorEastAsia" w:eastAsiaTheme="minorEastAsia" w:cstheme="minorEastAsia"/>
          <w:color w:val="auto"/>
          <w:sz w:val="30"/>
          <w:szCs w:val="30"/>
          <w:highlight w:val="none"/>
          <w:lang w:val="en-US" w:eastAsia="zh-CN"/>
        </w:rPr>
        <w:t>215</w:t>
      </w:r>
      <w:r>
        <w:rPr>
          <w:rFonts w:hint="eastAsia" w:asciiTheme="minorEastAsia" w:hAnsiTheme="minorEastAsia" w:eastAsiaTheme="minorEastAsia" w:cstheme="minorEastAsia"/>
          <w:color w:val="auto"/>
          <w:sz w:val="30"/>
          <w:szCs w:val="30"/>
          <w:highlight w:val="none"/>
        </w:rPr>
        <w:t>人，注射率</w:t>
      </w:r>
      <w:r>
        <w:rPr>
          <w:rFonts w:hint="eastAsia" w:asciiTheme="minorEastAsia" w:hAnsiTheme="minorEastAsia" w:eastAsiaTheme="minorEastAsia" w:cstheme="minorEastAsia"/>
          <w:color w:val="auto"/>
          <w:sz w:val="30"/>
          <w:szCs w:val="30"/>
          <w:highlight w:val="none"/>
          <w:lang w:val="en-US" w:eastAsia="zh-CN"/>
        </w:rPr>
        <w:t>99.54</w:t>
      </w:r>
      <w:r>
        <w:rPr>
          <w:rFonts w:hint="eastAsia" w:asciiTheme="minorEastAsia" w:hAnsiTheme="minorEastAsia" w:eastAsiaTheme="minorEastAsia" w:cstheme="minorEastAsia"/>
          <w:color w:val="auto"/>
          <w:sz w:val="30"/>
          <w:szCs w:val="30"/>
          <w:highlight w:val="none"/>
        </w:rPr>
        <w:t>%。</w:t>
      </w:r>
    </w:p>
    <w:p w14:paraId="4AEA2B92">
      <w:pPr>
        <w:ind w:right="11" w:firstLine="600" w:firstLineChars="200"/>
        <w:rPr>
          <w:rFonts w:hint="eastAsia" w:ascii="宋体" w:hAnsi="宋体"/>
          <w:color w:val="010101"/>
          <w:kern w:val="0"/>
          <w:sz w:val="30"/>
          <w:szCs w:val="30"/>
          <w:highlight w:val="none"/>
          <w:lang w:val="en-US" w:eastAsia="zh-CN"/>
        </w:rPr>
      </w:pPr>
    </w:p>
    <w:p w14:paraId="416C93A2">
      <w:pPr>
        <w:numPr>
          <w:ilvl w:val="0"/>
          <w:numId w:val="0"/>
        </w:numPr>
        <w:ind w:leftChars="0" w:firstLine="600" w:firstLineChars="200"/>
        <w:rPr>
          <w:rFonts w:hint="eastAsia" w:asciiTheme="minorEastAsia" w:hAnsiTheme="minorEastAsia" w:eastAsiaTheme="minorEastAsia" w:cstheme="minorEastAsia"/>
          <w:color w:val="010101"/>
          <w:kern w:val="0"/>
          <w:sz w:val="30"/>
          <w:szCs w:val="30"/>
          <w:highlight w:val="none"/>
          <w:lang w:val="en-US" w:eastAsia="zh-CN"/>
        </w:rPr>
      </w:pPr>
      <w:r>
        <w:rPr>
          <w:rFonts w:hint="eastAsia" w:ascii="宋体" w:hAnsi="宋体"/>
          <w:color w:val="010101"/>
          <w:kern w:val="0"/>
          <w:sz w:val="30"/>
          <w:szCs w:val="30"/>
          <w:highlight w:val="none"/>
          <w:lang w:val="en-US" w:eastAsia="zh-CN"/>
        </w:rPr>
        <w:t>2、积极开展适龄妇女“两癌”筛查。</w:t>
      </w:r>
      <w:r>
        <w:rPr>
          <w:rFonts w:hint="eastAsia" w:asciiTheme="minorEastAsia" w:hAnsiTheme="minorEastAsia" w:eastAsiaTheme="minorEastAsia" w:cstheme="minorEastAsia"/>
          <w:sz w:val="30"/>
          <w:szCs w:val="30"/>
        </w:rPr>
        <w:t>今年我县的</w:t>
      </w:r>
      <w:r>
        <w:rPr>
          <w:rFonts w:hint="eastAsia" w:asciiTheme="minorEastAsia" w:hAnsiTheme="minorEastAsia" w:eastAsiaTheme="minorEastAsia" w:cstheme="minorEastAsia"/>
          <w:sz w:val="30"/>
          <w:szCs w:val="30"/>
          <w:lang w:val="en-US" w:eastAsia="zh-CN"/>
        </w:rPr>
        <w:t>基本公卫项目</w:t>
      </w:r>
      <w:r>
        <w:rPr>
          <w:rFonts w:hint="eastAsia" w:asciiTheme="minorEastAsia" w:hAnsiTheme="minorEastAsia" w:eastAsiaTheme="minorEastAsia" w:cstheme="minorEastAsia"/>
          <w:sz w:val="30"/>
          <w:szCs w:val="30"/>
        </w:rPr>
        <w:t xml:space="preserve">妇女“两癌” </w:t>
      </w:r>
      <w:r>
        <w:rPr>
          <w:rFonts w:hint="eastAsia" w:asciiTheme="minorEastAsia" w:hAnsiTheme="minorEastAsia" w:eastAsiaTheme="minorEastAsia" w:cstheme="minorEastAsia"/>
          <w:sz w:val="30"/>
          <w:szCs w:val="30"/>
          <w:lang w:val="en-US" w:eastAsia="zh-CN"/>
        </w:rPr>
        <w:t>检</w:t>
      </w:r>
      <w:r>
        <w:rPr>
          <w:rFonts w:hint="eastAsia" w:asciiTheme="minorEastAsia" w:hAnsiTheme="minorEastAsia" w:eastAsiaTheme="minorEastAsia" w:cstheme="minorEastAsia"/>
          <w:sz w:val="30"/>
          <w:szCs w:val="30"/>
        </w:rPr>
        <w:t>查工作目标数为</w:t>
      </w:r>
      <w:r>
        <w:rPr>
          <w:rFonts w:hint="eastAsia" w:asciiTheme="minorEastAsia" w:hAnsiTheme="minorEastAsia" w:eastAsiaTheme="minorEastAsia" w:cstheme="minorEastAsia"/>
          <w:sz w:val="30"/>
          <w:szCs w:val="30"/>
          <w:lang w:val="en-US" w:eastAsia="zh-CN"/>
        </w:rPr>
        <w:t>7</w:t>
      </w:r>
      <w:r>
        <w:rPr>
          <w:rFonts w:hint="eastAsia" w:asciiTheme="minorEastAsia" w:hAnsiTheme="minorEastAsia" w:eastAsiaTheme="minorEastAsia" w:cstheme="minorEastAsia"/>
          <w:sz w:val="30"/>
          <w:szCs w:val="30"/>
        </w:rPr>
        <w:t>000例，</w:t>
      </w:r>
      <w:r>
        <w:rPr>
          <w:rFonts w:hint="eastAsia" w:asciiTheme="minorEastAsia" w:hAnsiTheme="minorEastAsia" w:eastAsiaTheme="minorEastAsia" w:cstheme="minorEastAsia"/>
          <w:sz w:val="30"/>
          <w:szCs w:val="30"/>
          <w:lang w:val="en-US" w:eastAsia="zh-CN"/>
        </w:rPr>
        <w:t>全年</w:t>
      </w:r>
      <w:r>
        <w:rPr>
          <w:rFonts w:hint="eastAsia" w:asciiTheme="minorEastAsia" w:hAnsiTheme="minorEastAsia" w:eastAsiaTheme="minorEastAsia" w:cstheme="minorEastAsia"/>
          <w:sz w:val="30"/>
          <w:szCs w:val="30"/>
        </w:rPr>
        <w:t>已完成</w:t>
      </w:r>
      <w:r>
        <w:rPr>
          <w:rFonts w:hint="eastAsia" w:asciiTheme="minorEastAsia" w:hAnsiTheme="minorEastAsia" w:eastAsiaTheme="minorEastAsia" w:cstheme="minorEastAsia"/>
          <w:sz w:val="30"/>
          <w:szCs w:val="30"/>
          <w:lang w:val="en-US" w:eastAsia="zh-CN"/>
        </w:rPr>
        <w:t>7026</w:t>
      </w:r>
      <w:r>
        <w:rPr>
          <w:rFonts w:hint="eastAsia" w:asciiTheme="minorEastAsia" w:hAnsiTheme="minorEastAsia" w:eastAsiaTheme="minorEastAsia" w:cstheme="minorEastAsia"/>
          <w:sz w:val="30"/>
          <w:szCs w:val="30"/>
        </w:rPr>
        <w:t>例，占目标数的</w:t>
      </w:r>
      <w:r>
        <w:rPr>
          <w:rFonts w:hint="eastAsia" w:asciiTheme="minorEastAsia" w:hAnsiTheme="minorEastAsia" w:eastAsiaTheme="minorEastAsia" w:cstheme="minorEastAsia"/>
          <w:sz w:val="30"/>
          <w:szCs w:val="30"/>
          <w:lang w:val="en-US" w:eastAsia="zh-CN"/>
        </w:rPr>
        <w:t>100.37</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color w:val="auto"/>
          <w:sz w:val="30"/>
          <w:szCs w:val="30"/>
        </w:rPr>
        <w:t>其中检出宫颈癌前病变及宫颈癌</w:t>
      </w:r>
      <w:r>
        <w:rPr>
          <w:rFonts w:hint="eastAsia" w:asciiTheme="minorEastAsia" w:hAnsiTheme="minorEastAsia" w:eastAsiaTheme="minorEastAsia" w:cstheme="minorEastAsia"/>
          <w:color w:val="auto"/>
          <w:sz w:val="30"/>
          <w:szCs w:val="30"/>
          <w:lang w:val="en-US" w:eastAsia="zh-CN"/>
        </w:rPr>
        <w:t>38</w:t>
      </w:r>
      <w:r>
        <w:rPr>
          <w:rFonts w:hint="eastAsia" w:asciiTheme="minorEastAsia" w:hAnsiTheme="minorEastAsia" w:eastAsiaTheme="minorEastAsia" w:cstheme="minorEastAsia"/>
          <w:color w:val="auto"/>
          <w:sz w:val="30"/>
          <w:szCs w:val="30"/>
        </w:rPr>
        <w:t>人，治疗率100%。</w:t>
      </w:r>
      <w:r>
        <w:rPr>
          <w:rFonts w:hint="eastAsia" w:asciiTheme="minorEastAsia" w:hAnsiTheme="minorEastAsia" w:eastAsiaTheme="minorEastAsia" w:cstheme="minorEastAsia"/>
          <w:color w:val="auto"/>
          <w:sz w:val="30"/>
          <w:szCs w:val="30"/>
          <w:lang w:val="en-US" w:eastAsia="zh-CN"/>
        </w:rPr>
        <w:t>发现乳腺</w:t>
      </w:r>
      <w:r>
        <w:rPr>
          <w:rFonts w:hint="eastAsia" w:asciiTheme="minorEastAsia" w:hAnsiTheme="minorEastAsia" w:eastAsiaTheme="minorEastAsia" w:cstheme="minorEastAsia"/>
          <w:sz w:val="30"/>
          <w:szCs w:val="30"/>
          <w:lang w:val="en-US" w:eastAsia="zh-CN"/>
        </w:rPr>
        <w:t>导管原位癌2人，</w:t>
      </w:r>
      <w:r>
        <w:rPr>
          <w:rFonts w:hint="eastAsia" w:asciiTheme="minorEastAsia" w:hAnsiTheme="minorEastAsia" w:eastAsiaTheme="minorEastAsia" w:cstheme="minorEastAsia"/>
          <w:sz w:val="30"/>
          <w:szCs w:val="30"/>
        </w:rPr>
        <w:t>浸润性导管癌</w:t>
      </w:r>
      <w:r>
        <w:rPr>
          <w:rFonts w:hint="eastAsia" w:asciiTheme="minorEastAsia" w:hAnsiTheme="minorEastAsia" w:eastAsiaTheme="minorEastAsia" w:cstheme="minorEastAsia"/>
          <w:sz w:val="30"/>
          <w:szCs w:val="30"/>
          <w:lang w:val="en-US" w:eastAsia="zh-CN"/>
        </w:rPr>
        <w:t>3</w:t>
      </w:r>
      <w:r>
        <w:rPr>
          <w:rFonts w:hint="eastAsia" w:asciiTheme="minorEastAsia" w:hAnsiTheme="minorEastAsia" w:eastAsiaTheme="minorEastAsia" w:cstheme="minorEastAsia"/>
          <w:sz w:val="30"/>
          <w:szCs w:val="30"/>
        </w:rPr>
        <w:t>人</w:t>
      </w:r>
      <w:r>
        <w:rPr>
          <w:rFonts w:hint="eastAsia" w:asciiTheme="minorEastAsia" w:hAnsiTheme="minorEastAsia" w:eastAsiaTheme="minorEastAsia" w:cstheme="minorEastAsia"/>
          <w:sz w:val="30"/>
          <w:szCs w:val="30"/>
          <w:lang w:val="en-US" w:eastAsia="zh-CN"/>
        </w:rPr>
        <w:t>；治疗率100%</w:t>
      </w:r>
      <w:r>
        <w:rPr>
          <w:rFonts w:hint="eastAsia" w:asciiTheme="minorEastAsia" w:hAnsiTheme="minorEastAsia" w:eastAsiaTheme="minorEastAsia" w:cstheme="minorEastAsia"/>
          <w:sz w:val="30"/>
          <w:szCs w:val="30"/>
        </w:rPr>
        <w:t>。</w:t>
      </w:r>
    </w:p>
    <w:p w14:paraId="52EEF2B3">
      <w:pPr>
        <w:ind w:right="11"/>
        <w:rPr>
          <w:rFonts w:hint="eastAsia" w:ascii="宋体" w:hAnsi="宋体"/>
          <w:color w:val="010101"/>
          <w:kern w:val="0"/>
          <w:sz w:val="30"/>
          <w:szCs w:val="30"/>
        </w:rPr>
      </w:pPr>
    </w:p>
    <w:p w14:paraId="40884E0D">
      <w:pPr>
        <w:keepNext w:val="0"/>
        <w:keepLines w:val="0"/>
        <w:pageBreakBefore w:val="0"/>
        <w:widowControl w:val="0"/>
        <w:numPr>
          <w:ilvl w:val="0"/>
          <w:numId w:val="8"/>
        </w:numPr>
        <w:kinsoku/>
        <w:wordWrap/>
        <w:overflowPunct/>
        <w:topLinePunct w:val="0"/>
        <w:autoSpaceDE/>
        <w:autoSpaceDN/>
        <w:bidi w:val="0"/>
        <w:adjustRightInd/>
        <w:snapToGrid/>
        <w:ind w:right="11" w:firstLine="600" w:firstLineChars="200"/>
        <w:textAlignment w:val="auto"/>
        <w:rPr>
          <w:rFonts w:hint="eastAsia" w:ascii="宋体" w:hAnsi="宋体" w:eastAsia="宋体"/>
          <w:color w:val="010101"/>
          <w:kern w:val="0"/>
          <w:sz w:val="30"/>
          <w:szCs w:val="30"/>
          <w:highlight w:val="none"/>
          <w:lang w:val="en-US" w:eastAsia="zh-CN"/>
        </w:rPr>
      </w:pPr>
      <w:r>
        <w:rPr>
          <w:rFonts w:hint="eastAsia" w:ascii="宋体" w:hAnsi="宋体" w:eastAsia="宋体"/>
          <w:color w:val="010101"/>
          <w:kern w:val="0"/>
          <w:sz w:val="30"/>
          <w:szCs w:val="30"/>
          <w:highlight w:val="none"/>
          <w:lang w:val="en-US" w:eastAsia="zh-CN"/>
        </w:rPr>
        <w:t>规范开展孕产妇免费产前筛查项目。全县辖区产妇数3328人，产前筛查3271例, 筛查率98.29%。免费中期产前筛查完成2938人。</w:t>
      </w:r>
    </w:p>
    <w:p w14:paraId="4724305F">
      <w:pPr>
        <w:keepNext w:val="0"/>
        <w:keepLines w:val="0"/>
        <w:pageBreakBefore w:val="0"/>
        <w:widowControl w:val="0"/>
        <w:numPr>
          <w:ilvl w:val="0"/>
          <w:numId w:val="8"/>
        </w:numPr>
        <w:kinsoku/>
        <w:wordWrap/>
        <w:overflowPunct/>
        <w:topLinePunct w:val="0"/>
        <w:autoSpaceDE/>
        <w:autoSpaceDN/>
        <w:bidi w:val="0"/>
        <w:adjustRightInd/>
        <w:snapToGrid/>
        <w:ind w:right="11" w:firstLine="600" w:firstLineChars="200"/>
        <w:textAlignment w:val="auto"/>
        <w:rPr>
          <w:rFonts w:hint="eastAsia" w:ascii="宋体" w:hAnsi="宋体" w:eastAsia="宋体"/>
          <w:color w:val="010101"/>
          <w:kern w:val="0"/>
          <w:sz w:val="30"/>
          <w:szCs w:val="30"/>
          <w:highlight w:val="none"/>
          <w:lang w:val="en-US" w:eastAsia="zh-CN"/>
        </w:rPr>
      </w:pPr>
      <w:r>
        <w:rPr>
          <w:rFonts w:hint="eastAsia" w:ascii="宋体" w:hAnsi="宋体" w:eastAsia="宋体" w:cs="Times New Roman"/>
          <w:color w:val="010101"/>
          <w:kern w:val="0"/>
          <w:sz w:val="30"/>
          <w:szCs w:val="30"/>
          <w:highlight w:val="none"/>
          <w:lang w:val="en-US" w:eastAsia="zh-CN" w:bidi="ar-SA"/>
        </w:rPr>
        <w:t>免费婚前医学检查率、孕前优生健康检查率不断提高。</w:t>
      </w:r>
      <w:r>
        <w:rPr>
          <w:rFonts w:hint="eastAsia" w:ascii="宋体" w:hAnsi="宋体" w:eastAsia="宋体"/>
          <w:color w:val="010101"/>
          <w:kern w:val="0"/>
          <w:sz w:val="30"/>
          <w:szCs w:val="30"/>
          <w:highlight w:val="none"/>
          <w:lang w:val="en-US" w:eastAsia="zh-CN"/>
        </w:rPr>
        <w:t>县妇幼保健院婚检中心、孕前优生服务与县民政局婚姻登记处合署办公，2025年，我县婚检2347对，民政局结婚登记2411对，婚检率97.35%，达到了省市级要求，但婚检质量有待提高。继续加强孕前优生健康检查项目的管理，2025年我县目标任务数为1800对，完成检查人数1846对，完成目标人群覆盖率达102.56%。</w:t>
      </w:r>
    </w:p>
    <w:p w14:paraId="44986ADB">
      <w:pPr>
        <w:pStyle w:val="8"/>
        <w:widowControl/>
        <w:spacing w:before="0" w:beforeAutospacing="0" w:after="0" w:afterAutospacing="0"/>
        <w:ind w:right="11" w:firstLine="600" w:firstLineChars="200"/>
        <w:rPr>
          <w:rFonts w:hint="default" w:ascii="宋体" w:hAnsi="宋体" w:eastAsia="宋体" w:cs="Times New Roman"/>
          <w:color w:val="010101"/>
          <w:kern w:val="0"/>
          <w:sz w:val="30"/>
          <w:szCs w:val="30"/>
          <w:highlight w:val="none"/>
          <w:lang w:val="en-US" w:eastAsia="zh-CN" w:bidi="ar-SA"/>
        </w:rPr>
      </w:pPr>
      <w:r>
        <w:rPr>
          <w:rFonts w:hint="eastAsia" w:ascii="宋体" w:hAnsi="宋体" w:eastAsia="宋体" w:cs="Times New Roman"/>
          <w:color w:val="010101"/>
          <w:kern w:val="0"/>
          <w:sz w:val="30"/>
          <w:szCs w:val="30"/>
          <w:highlight w:val="none"/>
          <w:lang w:val="en-US" w:eastAsia="zh-CN" w:bidi="ar-SA"/>
        </w:rPr>
        <w:t>5、规范开展新生儿疾病免费筛查和诊断项目，2025年新生儿疾病筛查和诊断项目继续列为湖南省重点民生实事项目，目标任务数2800人，完成筛查数2808人，目标人群覆盖率100.29%。</w:t>
      </w:r>
    </w:p>
    <w:p w14:paraId="0BE84008">
      <w:pPr>
        <w:pStyle w:val="8"/>
        <w:widowControl/>
        <w:spacing w:before="0" w:beforeAutospacing="0" w:after="0" w:afterAutospacing="0"/>
        <w:ind w:right="11" w:firstLine="900" w:firstLineChars="300"/>
        <w:rPr>
          <w:rFonts w:hint="eastAsia" w:ascii="宋体" w:hAnsi="宋体" w:cs="Times New Roman"/>
          <w:b/>
          <w:bCs w:val="0"/>
          <w:color w:val="010101"/>
          <w:sz w:val="30"/>
          <w:szCs w:val="30"/>
          <w:lang w:val="en-US" w:eastAsia="zh-CN"/>
        </w:rPr>
      </w:pPr>
      <w:r>
        <w:rPr>
          <w:rFonts w:hint="eastAsia" w:ascii="宋体" w:hAnsi="宋体" w:cs="Times New Roman"/>
          <w:b/>
          <w:bCs w:val="0"/>
          <w:color w:val="010101"/>
          <w:sz w:val="30"/>
          <w:szCs w:val="30"/>
          <w:lang w:val="en-US" w:eastAsia="zh-CN"/>
        </w:rPr>
        <w:t>十、存在的问题及原因分析</w:t>
      </w:r>
    </w:p>
    <w:p w14:paraId="09190D16">
      <w:pPr>
        <w:pStyle w:val="8"/>
        <w:widowControl/>
        <w:spacing w:before="0" w:beforeAutospacing="0" w:after="0" w:afterAutospacing="0"/>
        <w:ind w:right="11" w:firstLine="600" w:firstLineChars="200"/>
        <w:rPr>
          <w:rFonts w:hint="eastAsia" w:ascii="宋体" w:hAnsi="宋体" w:cs="Times New Roman"/>
          <w:bCs/>
          <w:color w:val="010101"/>
          <w:sz w:val="30"/>
          <w:szCs w:val="30"/>
        </w:rPr>
      </w:pPr>
      <w:r>
        <w:rPr>
          <w:rFonts w:hint="eastAsia" w:ascii="宋体" w:hAnsi="宋体" w:cs="Times New Roman"/>
          <w:bCs/>
          <w:color w:val="010101"/>
          <w:sz w:val="30"/>
          <w:szCs w:val="30"/>
          <w:lang w:val="en-US" w:eastAsia="zh-CN"/>
        </w:rPr>
        <w:t>（1）基层工作人员队伍不稳定、业务水平参差不齐。乡镇妇幼保健专干人员不稳定，变动频繁，影响乡级妇幼卫生工作的开展。部分村级保健员年龄老化，业务水平、对妇幼卫生工作的执行能力不够，影响了妇幼卫生工作开展的质量。</w:t>
      </w:r>
    </w:p>
    <w:p w14:paraId="6A4A7D43">
      <w:pPr>
        <w:pStyle w:val="8"/>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 xml:space="preserve">（2）全县各家助产机构之间无统一网络，不能做到资源共享，高危信息不能做到同频管理，完全依靠人力进行管理，信息技术较落后。 </w:t>
      </w:r>
    </w:p>
    <w:p w14:paraId="2BC29395">
      <w:pPr>
        <w:pStyle w:val="8"/>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（3）乡镇、村级孕产妇摸底工作欠到位，流动孕产妇多，管理难度大。</w:t>
      </w:r>
    </w:p>
    <w:p w14:paraId="5E14AC77">
      <w:pPr>
        <w:pStyle w:val="8"/>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（4）贫困高危孕产妇较多，高危孕产妇救治资金不足，成功救治后的医疗欠费问题得不到解决。</w:t>
      </w:r>
    </w:p>
    <w:p w14:paraId="7876DBDB">
      <w:pPr>
        <w:pStyle w:val="8"/>
        <w:widowControl/>
        <w:spacing w:before="0" w:beforeAutospacing="0" w:after="0" w:afterAutospacing="0"/>
        <w:ind w:right="11" w:firstLine="900" w:firstLineChars="300"/>
        <w:rPr>
          <w:rFonts w:hint="eastAsia" w:ascii="宋体" w:hAnsi="宋体" w:cs="宋体"/>
          <w:b/>
          <w:bCs w:val="0"/>
          <w:color w:val="000000"/>
          <w:sz w:val="30"/>
          <w:szCs w:val="30"/>
          <w:lang w:eastAsia="zh-CN"/>
        </w:rPr>
      </w:pPr>
      <w:r>
        <w:rPr>
          <w:rFonts w:hint="eastAsia" w:ascii="宋体" w:hAnsi="宋体" w:cs="宋体"/>
          <w:b/>
          <w:bCs w:val="0"/>
          <w:color w:val="000000"/>
          <w:sz w:val="30"/>
          <w:szCs w:val="30"/>
          <w:lang w:val="en-US" w:eastAsia="zh-CN"/>
        </w:rPr>
        <w:t>十一</w:t>
      </w:r>
      <w:r>
        <w:rPr>
          <w:rFonts w:hint="eastAsia" w:ascii="宋体" w:hAnsi="宋体" w:cs="宋体"/>
          <w:b/>
          <w:bCs w:val="0"/>
          <w:color w:val="000000"/>
          <w:sz w:val="30"/>
          <w:szCs w:val="30"/>
          <w:lang w:eastAsia="zh-CN"/>
        </w:rPr>
        <w:t>、下一步改进措施</w:t>
      </w:r>
    </w:p>
    <w:p w14:paraId="28D46795">
      <w:pPr>
        <w:keepNext w:val="0"/>
        <w:keepLines w:val="0"/>
        <w:pageBreakBefore w:val="0"/>
        <w:kinsoku/>
        <w:wordWrap/>
        <w:overflowPunct/>
        <w:topLinePunct w:val="0"/>
        <w:autoSpaceDE/>
        <w:bidi w:val="0"/>
        <w:adjustRightInd/>
        <w:spacing w:before="0" w:beforeLines="0" w:after="0" w:afterLines="0" w:line="600" w:lineRule="exact"/>
        <w:ind w:left="0" w:leftChars="0" w:right="0" w:rightChars="0" w:firstLine="600" w:firstLineChars="200"/>
        <w:textAlignment w:val="auto"/>
        <w:outlineLvl w:val="9"/>
        <w:rPr>
          <w:rFonts w:hint="eastAsia" w:ascii="宋体" w:hAnsi="宋体" w:eastAsia="宋体" w:cs="宋体"/>
          <w:b w:val="0"/>
          <w:bCs w:val="0"/>
          <w:color w:val="000000"/>
          <w:sz w:val="30"/>
          <w:szCs w:val="30"/>
          <w:lang w:eastAsia="zh-CN"/>
        </w:rPr>
      </w:pPr>
      <w:r>
        <w:rPr>
          <w:rFonts w:hint="eastAsia" w:ascii="宋体" w:hAnsi="宋体" w:eastAsia="宋体" w:cs="宋体"/>
          <w:b/>
          <w:bCs/>
          <w:color w:val="000000"/>
          <w:sz w:val="30"/>
          <w:szCs w:val="30"/>
        </w:rPr>
        <w:t>（一）</w:t>
      </w:r>
      <w:r>
        <w:rPr>
          <w:rFonts w:hint="eastAsia" w:ascii="宋体" w:hAnsi="宋体" w:eastAsia="宋体" w:cs="宋体"/>
          <w:b/>
          <w:bCs/>
          <w:color w:val="000000"/>
          <w:sz w:val="30"/>
          <w:szCs w:val="30"/>
          <w:lang w:eastAsia="zh-CN"/>
        </w:rPr>
        <w:t>加强母婴安全管理。</w:t>
      </w:r>
      <w:r>
        <w:rPr>
          <w:rFonts w:hint="eastAsia" w:ascii="宋体" w:hAnsi="宋体" w:eastAsia="宋体" w:cs="宋体"/>
          <w:color w:val="000000"/>
          <w:sz w:val="30"/>
          <w:szCs w:val="30"/>
          <w:lang w:eastAsia="zh-CN"/>
        </w:rPr>
        <w:t>加强基层工作，全面开展孕产妇摸底，提高高危孕产妇的筛查能力，做到尽早发现、尽早管理。做好高危儿童的管理与随访工作，切实保障母婴安全。</w:t>
      </w:r>
    </w:p>
    <w:p w14:paraId="54C50A29">
      <w:pPr>
        <w:keepNext w:val="0"/>
        <w:keepLines w:val="0"/>
        <w:pageBreakBefore w:val="0"/>
        <w:numPr>
          <w:ilvl w:val="0"/>
          <w:numId w:val="0"/>
        </w:numPr>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color w:val="000000"/>
          <w:sz w:val="30"/>
          <w:szCs w:val="30"/>
        </w:rPr>
      </w:pPr>
      <w:r>
        <w:rPr>
          <w:rFonts w:hint="eastAsia" w:ascii="宋体" w:hAnsi="宋体" w:eastAsia="宋体" w:cs="宋体"/>
          <w:b/>
          <w:bCs/>
          <w:color w:val="000000"/>
          <w:sz w:val="30"/>
          <w:szCs w:val="30"/>
          <w:lang w:val="en-US" w:eastAsia="zh-CN"/>
        </w:rPr>
        <w:t xml:space="preserve">    （二）加强托幼机构管理。</w:t>
      </w:r>
      <w:r>
        <w:rPr>
          <w:rFonts w:hint="eastAsia" w:ascii="宋体" w:hAnsi="宋体" w:eastAsia="宋体" w:cs="宋体"/>
          <w:color w:val="000000"/>
          <w:sz w:val="30"/>
          <w:szCs w:val="30"/>
        </w:rPr>
        <w:t>加强与县教育局沟通，</w:t>
      </w:r>
      <w:r>
        <w:rPr>
          <w:rFonts w:hint="eastAsia" w:ascii="宋体" w:hAnsi="宋体" w:eastAsia="宋体" w:cs="宋体"/>
          <w:color w:val="000000"/>
          <w:sz w:val="30"/>
          <w:szCs w:val="30"/>
          <w:lang w:eastAsia="zh-CN"/>
        </w:rPr>
        <w:t>严格执行幼儿园新生入园体检制度，</w:t>
      </w:r>
      <w:r>
        <w:rPr>
          <w:rFonts w:hint="eastAsia" w:ascii="宋体" w:hAnsi="宋体" w:eastAsia="宋体" w:cs="宋体"/>
          <w:color w:val="000000"/>
          <w:sz w:val="30"/>
          <w:szCs w:val="30"/>
        </w:rPr>
        <w:t>县妇幼保健院、疾控中心</w:t>
      </w:r>
      <w:r>
        <w:rPr>
          <w:rFonts w:hint="eastAsia" w:ascii="宋体" w:hAnsi="宋体" w:cs="宋体"/>
          <w:color w:val="000000"/>
          <w:sz w:val="30"/>
          <w:szCs w:val="30"/>
          <w:lang w:eastAsia="zh-CN"/>
        </w:rPr>
        <w:t>、</w:t>
      </w:r>
      <w:r>
        <w:rPr>
          <w:rFonts w:hint="eastAsia" w:ascii="宋体" w:hAnsi="宋体" w:eastAsia="宋体" w:cs="宋体"/>
          <w:color w:val="000000"/>
          <w:sz w:val="30"/>
          <w:szCs w:val="30"/>
        </w:rPr>
        <w:t>卫生监督所联合对托幼机构监督指导，进一步完善全县托幼机构的卫生保健管理。</w:t>
      </w:r>
    </w:p>
    <w:p w14:paraId="0CE43236">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仿宋" w:hAnsi="仿宋" w:eastAsia="仿宋" w:cs="仿宋"/>
          <w:sz w:val="32"/>
          <w:szCs w:val="32"/>
          <w:lang w:val="en-US" w:eastAsia="zh-CN"/>
        </w:rPr>
      </w:pPr>
      <w:r>
        <w:rPr>
          <w:rFonts w:hint="eastAsia" w:ascii="宋体" w:hAnsi="宋体" w:eastAsia="宋体" w:cs="宋体"/>
          <w:b/>
          <w:bCs/>
          <w:color w:val="000000"/>
          <w:sz w:val="30"/>
          <w:szCs w:val="30"/>
          <w:lang w:val="en-US" w:eastAsia="zh-CN"/>
        </w:rPr>
        <w:t>（三）加强人员培训，提高服务能力。</w:t>
      </w:r>
      <w:r>
        <w:rPr>
          <w:rFonts w:hint="eastAsia" w:ascii="宋体" w:hAnsi="宋体" w:eastAsia="宋体" w:cs="宋体"/>
          <w:color w:val="000000"/>
          <w:sz w:val="30"/>
          <w:szCs w:val="30"/>
          <w:lang w:val="en-US" w:eastAsia="zh-CN"/>
        </w:rPr>
        <w:t>按照省、市培训要求，逐步开展项目工作培训，加强产科、新生儿科能力建设。加强乡镇妇幼健康服务工作培训，提高乡、村妇幼健康服务能力，落实好妇幼重点民生实事，做好妇幼公共卫生项目。</w:t>
      </w:r>
      <w:r>
        <w:rPr>
          <w:rFonts w:hint="eastAsia" w:ascii="宋体" w:hAnsi="宋体" w:eastAsia="宋体" w:cs="宋体"/>
          <w:sz w:val="30"/>
          <w:szCs w:val="30"/>
          <w:lang w:val="en-US" w:eastAsia="zh-CN"/>
        </w:rPr>
        <w:t xml:space="preserve"> </w:t>
      </w:r>
      <w:r>
        <w:rPr>
          <w:rFonts w:hint="eastAsia" w:ascii="仿宋" w:hAnsi="仿宋" w:eastAsia="仿宋" w:cs="仿宋"/>
          <w:sz w:val="32"/>
          <w:szCs w:val="32"/>
          <w:lang w:val="en-US" w:eastAsia="zh-CN"/>
        </w:rPr>
        <w:t xml:space="preserve">  </w:t>
      </w:r>
    </w:p>
    <w:p w14:paraId="0D91C7F1">
      <w:pPr>
        <w:keepNext w:val="0"/>
        <w:keepLines w:val="0"/>
        <w:pageBreakBefore w:val="0"/>
        <w:widowControl w:val="0"/>
        <w:kinsoku/>
        <w:wordWrap/>
        <w:overflowPunct/>
        <w:topLinePunct w:val="0"/>
        <w:autoSpaceDE w:val="0"/>
        <w:autoSpaceDN w:val="0"/>
        <w:bidi w:val="0"/>
        <w:adjustRightInd/>
        <w:snapToGrid/>
        <w:spacing w:before="0" w:beforeLines="0" w:after="0" w:afterLines="0" w:line="240" w:lineRule="auto"/>
        <w:ind w:left="0" w:leftChars="0" w:right="0" w:rightChars="0" w:firstLine="600" w:firstLineChars="200"/>
        <w:jc w:val="both"/>
        <w:textAlignment w:val="auto"/>
        <w:outlineLvl w:val="9"/>
        <w:rPr>
          <w:rFonts w:hint="eastAsia" w:ascii="宋体" w:hAnsi="宋体" w:eastAsia="宋体" w:cs="宋体"/>
          <w:color w:val="000000"/>
          <w:sz w:val="30"/>
          <w:szCs w:val="30"/>
          <w:lang w:val="en-US" w:eastAsia="zh-CN"/>
        </w:rPr>
      </w:pPr>
      <w:r>
        <w:rPr>
          <w:rFonts w:hint="eastAsia" w:ascii="宋体" w:hAnsi="宋体" w:eastAsia="宋体" w:cs="宋体"/>
          <w:b/>
          <w:bCs/>
          <w:color w:val="000000"/>
          <w:sz w:val="30"/>
          <w:szCs w:val="30"/>
          <w:lang w:val="en-US" w:eastAsia="zh-CN"/>
        </w:rPr>
        <w:t>（四）健康宣传有效，拓展宣传形式，提升健教效果。</w:t>
      </w:r>
      <w:r>
        <w:rPr>
          <w:rFonts w:hint="eastAsia" w:ascii="宋体" w:hAnsi="宋体" w:eastAsia="宋体" w:cs="宋体"/>
          <w:color w:val="000000"/>
          <w:sz w:val="30"/>
          <w:szCs w:val="30"/>
          <w:lang w:val="en-US" w:eastAsia="zh-CN"/>
        </w:rPr>
        <w:t>进一步加强宣传妇幼健康知识和政策，提高服务人群妇幼健康知识和政策的知晓率、参与率。加强抖音、视频号的建设，及时更新，积极拓展新的宣传模式。</w:t>
      </w:r>
    </w:p>
    <w:p w14:paraId="3F4F7094">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宋体" w:hAnsi="宋体" w:eastAsia="宋体" w:cs="宋体"/>
          <w:b/>
          <w:bCs/>
          <w:color w:val="000000"/>
          <w:sz w:val="30"/>
          <w:szCs w:val="30"/>
          <w:lang w:val="en-US" w:eastAsia="zh-CN"/>
        </w:rPr>
      </w:pPr>
    </w:p>
    <w:p w14:paraId="27BAD376">
      <w:pPr>
        <w:keepNext w:val="0"/>
        <w:keepLines w:val="0"/>
        <w:pageBreakBefore w:val="0"/>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b/>
          <w:bCs w:val="0"/>
          <w:color w:val="000000"/>
          <w:kern w:val="0"/>
          <w:sz w:val="30"/>
          <w:szCs w:val="30"/>
          <w:lang w:val="en-US" w:eastAsia="zh-CN" w:bidi="ar-SA"/>
        </w:rPr>
      </w:pPr>
      <w:r>
        <w:rPr>
          <w:rFonts w:hint="eastAsia" w:ascii="宋体" w:hAnsi="宋体" w:cs="宋体"/>
          <w:b/>
          <w:bCs w:val="0"/>
          <w:color w:val="000000"/>
          <w:kern w:val="0"/>
          <w:sz w:val="30"/>
          <w:szCs w:val="30"/>
          <w:lang w:val="en-US" w:eastAsia="zh-CN" w:bidi="ar-SA"/>
        </w:rPr>
        <w:t>十二</w:t>
      </w:r>
      <w:r>
        <w:rPr>
          <w:rFonts w:hint="eastAsia" w:ascii="宋体" w:hAnsi="宋体" w:eastAsia="宋体" w:cs="宋体"/>
          <w:b/>
          <w:bCs w:val="0"/>
          <w:color w:val="000000"/>
          <w:kern w:val="0"/>
          <w:sz w:val="30"/>
          <w:szCs w:val="30"/>
          <w:lang w:val="en-US" w:eastAsia="zh-CN" w:bidi="ar-SA"/>
        </w:rPr>
        <w:t xml:space="preserve">、绩效自评结果拟应用和公开情况 </w:t>
      </w:r>
    </w:p>
    <w:p w14:paraId="241836FD">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宋体" w:hAnsi="宋体" w:eastAsia="宋体" w:cs="宋体"/>
          <w:color w:val="000000"/>
          <w:sz w:val="30"/>
          <w:szCs w:val="30"/>
          <w:lang w:val="en-US" w:eastAsia="zh-CN"/>
        </w:rPr>
      </w:pPr>
      <w:r>
        <w:rPr>
          <w:rFonts w:hint="eastAsia" w:ascii="宋体" w:hAnsi="宋体" w:eastAsia="宋体" w:cs="宋体"/>
          <w:b/>
          <w:bCs w:val="0"/>
          <w:color w:val="000000"/>
          <w:kern w:val="0"/>
          <w:sz w:val="30"/>
          <w:szCs w:val="30"/>
          <w:lang w:val="en-US" w:eastAsia="zh-CN" w:bidi="ar-SA"/>
        </w:rPr>
        <w:t xml:space="preserve"> </w:t>
      </w:r>
      <w:r>
        <w:rPr>
          <w:rFonts w:hint="eastAsia" w:ascii="宋体" w:hAnsi="宋体" w:eastAsia="宋体" w:cs="宋体"/>
          <w:color w:val="000000"/>
          <w:sz w:val="30"/>
          <w:szCs w:val="30"/>
          <w:lang w:val="en-US" w:eastAsia="zh-CN"/>
        </w:rPr>
        <w:t>绩效自评结果依法公开，绩效评价结果与下年度资金安排直接挂钩。</w:t>
      </w:r>
    </w:p>
    <w:p w14:paraId="5D2B912C">
      <w:pPr>
        <w:keepNext w:val="0"/>
        <w:keepLines w:val="0"/>
        <w:pageBreakBefore w:val="0"/>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b/>
          <w:bCs w:val="0"/>
          <w:color w:val="000000"/>
          <w:kern w:val="0"/>
          <w:sz w:val="30"/>
          <w:szCs w:val="30"/>
          <w:lang w:val="en-US" w:eastAsia="zh-CN" w:bidi="ar-SA"/>
        </w:rPr>
      </w:pPr>
      <w:bookmarkStart w:id="3" w:name="_GoBack"/>
      <w:bookmarkEnd w:id="3"/>
      <w:r>
        <w:rPr>
          <w:rFonts w:hint="eastAsia" w:ascii="宋体" w:hAnsi="宋体" w:eastAsia="宋体" w:cs="宋体"/>
          <w:b/>
          <w:bCs w:val="0"/>
          <w:color w:val="000000"/>
          <w:kern w:val="0"/>
          <w:sz w:val="30"/>
          <w:szCs w:val="30"/>
          <w:lang w:val="en-US" w:eastAsia="zh-CN" w:bidi="ar-SA"/>
        </w:rPr>
        <w:t>十三、其他需要说明的情况</w:t>
      </w:r>
    </w:p>
    <w:p w14:paraId="1F03F336">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default"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无。</w:t>
      </w:r>
    </w:p>
    <w:p w14:paraId="25A7CAF0">
      <w:pPr>
        <w:spacing w:beforeLines="50" w:line="460" w:lineRule="exact"/>
        <w:ind w:right="311"/>
        <w:jc w:val="right"/>
        <w:rPr>
          <w:rFonts w:hint="eastAsia" w:ascii="宋体" w:hAnsi="宋体"/>
          <w:sz w:val="30"/>
          <w:szCs w:val="30"/>
        </w:rPr>
      </w:pPr>
    </w:p>
    <w:p w14:paraId="46085BD9">
      <w:pPr>
        <w:pStyle w:val="13"/>
        <w:spacing w:line="600" w:lineRule="exact"/>
        <w:ind w:firstLine="640" w:firstLineChars="200"/>
        <w:rPr>
          <w:rFonts w:ascii="Times New Roman" w:hAnsi="Times New Roman" w:eastAsia="仿宋_GB2312" w:cs="Times New Roman"/>
          <w:sz w:val="32"/>
          <w:szCs w:val="32"/>
        </w:rPr>
      </w:pPr>
    </w:p>
    <w:p w14:paraId="09B6C7C3">
      <w:pPr>
        <w:pStyle w:val="13"/>
        <w:spacing w:line="600" w:lineRule="exact"/>
        <w:ind w:firstLine="640" w:firstLineChars="200"/>
        <w:rPr>
          <w:rFonts w:ascii="Times New Roman" w:hAnsi="Times New Roman" w:eastAsia="仿宋_GB2312" w:cs="Times New Roman"/>
          <w:sz w:val="32"/>
          <w:szCs w:val="32"/>
        </w:rPr>
      </w:pPr>
    </w:p>
    <w:p w14:paraId="6A391426">
      <w:pPr>
        <w:pStyle w:val="13"/>
        <w:spacing w:line="600" w:lineRule="exact"/>
        <w:ind w:firstLine="640" w:firstLineChars="200"/>
        <w:rPr>
          <w:rFonts w:ascii="Times New Roman" w:hAnsi="Times New Roman" w:eastAsia="仿宋_GB2312" w:cs="Times New Roman"/>
          <w:sz w:val="32"/>
          <w:szCs w:val="32"/>
        </w:rPr>
      </w:pPr>
    </w:p>
    <w:p w14:paraId="626D0E6E">
      <w:pPr>
        <w:pStyle w:val="13"/>
        <w:spacing w:line="600" w:lineRule="exact"/>
        <w:ind w:firstLine="640" w:firstLineChars="200"/>
        <w:rPr>
          <w:rFonts w:ascii="Times New Roman" w:hAnsi="Times New Roman" w:eastAsia="仿宋_GB2312" w:cs="Times New Roman"/>
          <w:sz w:val="32"/>
          <w:szCs w:val="32"/>
        </w:rPr>
      </w:pPr>
    </w:p>
    <w:p w14:paraId="3942ABBE">
      <w:pPr>
        <w:pStyle w:val="13"/>
        <w:spacing w:line="600" w:lineRule="exact"/>
        <w:ind w:firstLine="640" w:firstLineChars="200"/>
        <w:rPr>
          <w:rFonts w:ascii="Times New Roman" w:hAnsi="Times New Roman" w:eastAsia="仿宋_GB2312" w:cs="Times New Roman"/>
          <w:sz w:val="32"/>
          <w:szCs w:val="32"/>
        </w:rPr>
      </w:pPr>
    </w:p>
    <w:p w14:paraId="14265290">
      <w:pPr>
        <w:pStyle w:val="13"/>
        <w:spacing w:line="600" w:lineRule="exact"/>
        <w:ind w:firstLine="640" w:firstLineChars="200"/>
        <w:rPr>
          <w:rFonts w:ascii="Times New Roman" w:hAnsi="Times New Roman" w:eastAsia="仿宋_GB2312" w:cs="Times New Roman"/>
          <w:sz w:val="32"/>
          <w:szCs w:val="32"/>
        </w:rPr>
      </w:pPr>
    </w:p>
    <w:p w14:paraId="3A7A47B5">
      <w:pPr>
        <w:pStyle w:val="13"/>
        <w:spacing w:line="600" w:lineRule="exact"/>
        <w:ind w:firstLine="640" w:firstLineChars="200"/>
        <w:rPr>
          <w:rFonts w:ascii="Times New Roman" w:hAnsi="Times New Roman" w:eastAsia="仿宋_GB2312" w:cs="Times New Roman"/>
          <w:sz w:val="32"/>
          <w:szCs w:val="32"/>
        </w:rPr>
      </w:pPr>
    </w:p>
    <w:p w14:paraId="1D5CD1F5">
      <w:pPr>
        <w:pStyle w:val="13"/>
        <w:spacing w:line="600" w:lineRule="exact"/>
        <w:ind w:firstLine="640" w:firstLineChars="200"/>
        <w:rPr>
          <w:rFonts w:ascii="Times New Roman" w:hAnsi="Times New Roman" w:eastAsia="仿宋_GB2312" w:cs="Times New Roman"/>
          <w:sz w:val="32"/>
          <w:szCs w:val="32"/>
        </w:rPr>
      </w:pPr>
    </w:p>
    <w:p w14:paraId="356ECD07">
      <w:pPr>
        <w:pStyle w:val="13"/>
        <w:spacing w:line="600" w:lineRule="exact"/>
        <w:ind w:firstLine="640" w:firstLineChars="200"/>
        <w:jc w:val="right"/>
        <w:rPr>
          <w:rFonts w:hint="default" w:ascii="Times New Roman" w:hAnsi="Times New Roman" w:eastAsia="仿宋_GB2312" w:cs="Times New Roman"/>
          <w:sz w:val="32"/>
          <w:szCs w:val="32"/>
          <w:lang w:val="en-US" w:eastAsia="zh-CN"/>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19E11">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68BA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1CD4">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7E61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EE452">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9AEE452">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BF3D21"/>
    <w:multiLevelType w:val="singleLevel"/>
    <w:tmpl w:val="A8BF3D21"/>
    <w:lvl w:ilvl="0" w:tentative="0">
      <w:start w:val="1"/>
      <w:numFmt w:val="chineseCounting"/>
      <w:suff w:val="nothing"/>
      <w:lvlText w:val="%1、"/>
      <w:lvlJc w:val="left"/>
      <w:rPr>
        <w:rFonts w:hint="eastAsia"/>
      </w:rPr>
    </w:lvl>
  </w:abstractNum>
  <w:abstractNum w:abstractNumId="1">
    <w:nsid w:val="C26C4DF6"/>
    <w:multiLevelType w:val="singleLevel"/>
    <w:tmpl w:val="C26C4DF6"/>
    <w:lvl w:ilvl="0" w:tentative="0">
      <w:start w:val="3"/>
      <w:numFmt w:val="decimal"/>
      <w:suff w:val="nothing"/>
      <w:lvlText w:val="%1、"/>
      <w:lvlJc w:val="left"/>
    </w:lvl>
  </w:abstractNum>
  <w:abstractNum w:abstractNumId="2">
    <w:nsid w:val="C32B4FB2"/>
    <w:multiLevelType w:val="singleLevel"/>
    <w:tmpl w:val="C32B4FB2"/>
    <w:lvl w:ilvl="0" w:tentative="0">
      <w:start w:val="3"/>
      <w:numFmt w:val="chineseCounting"/>
      <w:suff w:val="nothing"/>
      <w:lvlText w:val="%1、"/>
      <w:lvlJc w:val="left"/>
      <w:pPr>
        <w:ind w:left="630" w:firstLine="0"/>
      </w:pPr>
      <w:rPr>
        <w:rFonts w:hint="eastAsia"/>
      </w:rPr>
    </w:lvl>
  </w:abstractNum>
  <w:abstractNum w:abstractNumId="3">
    <w:nsid w:val="FD855353"/>
    <w:multiLevelType w:val="singleLevel"/>
    <w:tmpl w:val="FD855353"/>
    <w:lvl w:ilvl="0" w:tentative="0">
      <w:start w:val="3"/>
      <w:numFmt w:val="decimal"/>
      <w:suff w:val="nothing"/>
      <w:lvlText w:val="%1、"/>
      <w:lvlJc w:val="left"/>
    </w:lvl>
  </w:abstractNum>
  <w:abstractNum w:abstractNumId="4">
    <w:nsid w:val="087BFE80"/>
    <w:multiLevelType w:val="singleLevel"/>
    <w:tmpl w:val="087BFE80"/>
    <w:lvl w:ilvl="0" w:tentative="0">
      <w:start w:val="2"/>
      <w:numFmt w:val="chineseCounting"/>
      <w:suff w:val="nothing"/>
      <w:lvlText w:val="（%1）"/>
      <w:lvlJc w:val="left"/>
      <w:rPr>
        <w:rFonts w:hint="eastAsia"/>
      </w:rPr>
    </w:lvl>
  </w:abstractNum>
  <w:abstractNum w:abstractNumId="5">
    <w:nsid w:val="4350432E"/>
    <w:multiLevelType w:val="singleLevel"/>
    <w:tmpl w:val="4350432E"/>
    <w:lvl w:ilvl="0" w:tentative="0">
      <w:start w:val="2"/>
      <w:numFmt w:val="chineseCounting"/>
      <w:suff w:val="nothing"/>
      <w:lvlText w:val="%1、"/>
      <w:lvlJc w:val="left"/>
      <w:pPr>
        <w:ind w:left="901" w:leftChars="0" w:firstLine="0" w:firstLineChars="0"/>
      </w:pPr>
      <w:rPr>
        <w:rFonts w:hint="eastAsia"/>
      </w:rPr>
    </w:lvl>
  </w:abstractNum>
  <w:abstractNum w:abstractNumId="6">
    <w:nsid w:val="5E94AC96"/>
    <w:multiLevelType w:val="singleLevel"/>
    <w:tmpl w:val="5E94AC96"/>
    <w:lvl w:ilvl="0" w:tentative="0">
      <w:start w:val="1"/>
      <w:numFmt w:val="chineseCounting"/>
      <w:suff w:val="nothing"/>
      <w:lvlText w:val="（%1）"/>
      <w:lvlJc w:val="left"/>
      <w:rPr>
        <w:rFonts w:hint="eastAsia"/>
      </w:rPr>
    </w:lvl>
  </w:abstractNum>
  <w:abstractNum w:abstractNumId="7">
    <w:nsid w:val="7EDCA4BD"/>
    <w:multiLevelType w:val="singleLevel"/>
    <w:tmpl w:val="7EDCA4BD"/>
    <w:lvl w:ilvl="0" w:tentative="0">
      <w:start w:val="1"/>
      <w:numFmt w:val="decimal"/>
      <w:suff w:val="nothing"/>
      <w:lvlText w:val="%1、"/>
      <w:lvlJc w:val="left"/>
    </w:lvl>
  </w:abstractNum>
  <w:num w:numId="1">
    <w:abstractNumId w:val="3"/>
  </w:num>
  <w:num w:numId="2">
    <w:abstractNumId w:val="0"/>
  </w:num>
  <w:num w:numId="3">
    <w:abstractNumId w:val="2"/>
  </w:num>
  <w:num w:numId="4">
    <w:abstractNumId w:val="4"/>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5FB720E"/>
    <w:rsid w:val="07484670"/>
    <w:rsid w:val="130A13E3"/>
    <w:rsid w:val="18605E1D"/>
    <w:rsid w:val="1C4E5A1B"/>
    <w:rsid w:val="1D97DEFF"/>
    <w:rsid w:val="1DFF72E5"/>
    <w:rsid w:val="1EC71AB5"/>
    <w:rsid w:val="1EFC6F07"/>
    <w:rsid w:val="23E76EA7"/>
    <w:rsid w:val="27221F7E"/>
    <w:rsid w:val="2DBA2F11"/>
    <w:rsid w:val="2FDF85B8"/>
    <w:rsid w:val="2FFFEE04"/>
    <w:rsid w:val="34DF85B0"/>
    <w:rsid w:val="35B31832"/>
    <w:rsid w:val="394E6F4E"/>
    <w:rsid w:val="3B8F36BC"/>
    <w:rsid w:val="3BF13876"/>
    <w:rsid w:val="3E302DB5"/>
    <w:rsid w:val="491FF225"/>
    <w:rsid w:val="4B782110"/>
    <w:rsid w:val="4C66700B"/>
    <w:rsid w:val="4FFD214C"/>
    <w:rsid w:val="50E53B76"/>
    <w:rsid w:val="5777D4F5"/>
    <w:rsid w:val="59DD8326"/>
    <w:rsid w:val="5DEF592A"/>
    <w:rsid w:val="5FB72619"/>
    <w:rsid w:val="5FC6BB1E"/>
    <w:rsid w:val="5FF720F1"/>
    <w:rsid w:val="615A7643"/>
    <w:rsid w:val="67FF5C0B"/>
    <w:rsid w:val="68C12885"/>
    <w:rsid w:val="6BAA11C7"/>
    <w:rsid w:val="6EFC0924"/>
    <w:rsid w:val="6FB74722"/>
    <w:rsid w:val="6FEF8B7E"/>
    <w:rsid w:val="71072C18"/>
    <w:rsid w:val="71A6591B"/>
    <w:rsid w:val="737D59BA"/>
    <w:rsid w:val="750B7C68"/>
    <w:rsid w:val="77C37683"/>
    <w:rsid w:val="78C219A3"/>
    <w:rsid w:val="79D19834"/>
    <w:rsid w:val="79FF515B"/>
    <w:rsid w:val="7BF549BF"/>
    <w:rsid w:val="7CDE0CEE"/>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unhideWhenUsed/>
    <w:qFormat/>
    <w:uiPriority w:val="0"/>
    <w:pPr>
      <w:spacing w:before="100" w:beforeAutospacing="1" w:after="100" w:afterAutospacing="1"/>
      <w:jc w:val="left"/>
    </w:pPr>
    <w:rPr>
      <w:rFonts w:ascii="Calibri" w:hAnsi="Calibri"/>
      <w:kern w:val="0"/>
      <w:sz w:val="24"/>
      <w:szCs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正文-公1"/>
    <w:basedOn w:val="20"/>
    <w:next w:val="1"/>
    <w:qFormat/>
    <w:uiPriority w:val="0"/>
    <w:pPr>
      <w:ind w:firstLine="200" w:firstLineChars="200"/>
    </w:pPr>
  </w:style>
  <w:style w:type="paragraph" w:customStyle="1" w:styleId="2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9"/>
    <w:qFormat/>
    <w:uiPriority w:val="0"/>
    <w:pPr>
      <w:widowControl w:val="0"/>
      <w:jc w:val="both"/>
    </w:pPr>
    <w:rPr>
      <w:rFonts w:ascii="Times New Roman" w:hAnsi="Times New Roman" w:eastAsia="宋体" w:cs="Times New Roman"/>
      <w:kern w:val="2"/>
      <w:sz w:val="21"/>
      <w:lang w:val="en-US" w:eastAsia="zh-CN"/>
    </w:rPr>
  </w:style>
  <w:style w:type="paragraph" w:customStyle="1" w:styleId="21">
    <w:name w:val="p0"/>
    <w:basedOn w:val="1"/>
    <w:qFormat/>
    <w:uiPriority w:val="0"/>
    <w:rPr>
      <w:rFonts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1550</Words>
  <Characters>1755</Characters>
  <Lines>69</Lines>
  <Paragraphs>19</Paragraphs>
  <TotalTime>266</TotalTime>
  <ScaleCrop>false</ScaleCrop>
  <LinksUpToDate>false</LinksUpToDate>
  <CharactersWithSpaces>2162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訫語</cp:lastModifiedBy>
  <cp:lastPrinted>2024-08-10T02:20:00Z</cp:lastPrinted>
  <dcterms:modified xsi:type="dcterms:W3CDTF">2026-09-15T07:42:39Z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0DFA4168B8694C0B8D36257B3971C0B6_13</vt:lpwstr>
  </property>
  <property fmtid="{D5CDD505-2E9C-101B-9397-08002B2CF9AE}" pid="4" name="KSOTemplateDocerSaveRecord">
    <vt:lpwstr>eyJoZGlkIjoiMjIwOTE2MzM5YzVmMDZkNjE3ZGZiNGY0ODAzOTA3OTgiLCJ1c2VySWQiOiI4MjMxMzY3NTAifQ==</vt:lpwstr>
  </property>
</Properties>
</file>