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rgbClr val="FFFFFF"/>
                        </a:solidFill>
                        <a:ln w="6350">
                          <a:noFill/>
                        </a:ln>
                        <a:effectLst/>
                      </wps:spPr>
                      <wps:txbx>
                        <w:txbxContent>
                          <w:p>
                            <w:pPr>
                              <w:rPr>
                                <w:rFonts w:ascii="楷体" w:hAnsi="楷体" w:eastAsia="楷体" w:cs="楷体"/>
                                <w:sz w:val="30"/>
                                <w:szCs w:val="30"/>
                              </w:rPr>
                            </w:pPr>
                            <w:r>
                              <w:rPr>
                                <w:rFonts w:hint="eastAsia" w:ascii="楷体" w:hAnsi="楷体" w:eastAsia="楷体" w:cs="楷体"/>
                                <w:sz w:val="30"/>
                                <w:szCs w:val="30"/>
                              </w:rPr>
                              <w:t>附件1：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cvAm&#10;UNYAAAAKAQAADwAAAAAAAAABACAAAAAiAAAAZHJzL2Rvd25yZXYueG1sUEsBAhQAFAAAAAgAh07i&#10;QBc6bCZdAgAAqAQAAA4AAAAAAAAAAQAgAAAAJQEAAGRycy9lMm9Eb2MueG1sUEsFBgAAAAAGAAYA&#10;WQEAAPQFAAAAAA==&#10;">
                <v:fill on="t" focussize="0,0"/>
                <v:stroke on="f" weight="0.5pt"/>
                <v:imagedata o:title=""/>
                <o:lock v:ext="edit" aspectratio="f"/>
                <v:textbox>
                  <w:txbxContent>
                    <w:p>
                      <w:pPr>
                        <w:rPr>
                          <w:rFonts w:ascii="楷体" w:hAnsi="楷体" w:eastAsia="楷体" w:cs="楷体"/>
                          <w:sz w:val="30"/>
                          <w:szCs w:val="30"/>
                        </w:rPr>
                      </w:pPr>
                      <w:r>
                        <w:rPr>
                          <w:rFonts w:hint="eastAsia" w:ascii="楷体" w:hAnsi="楷体" w:eastAsia="楷体" w:cs="楷体"/>
                          <w:sz w:val="30"/>
                          <w:szCs w:val="30"/>
                        </w:rPr>
                        <w:t>附件1：</w:t>
                      </w:r>
                    </w:p>
                  </w:txbxContent>
                </v:textbox>
              </v:shape>
            </w:pict>
          </mc:Fallback>
        </mc:AlternateContent>
      </w:r>
    </w:p>
    <w:p>
      <w:pPr>
        <w:pStyle w:val="15"/>
        <w:jc w:val="center"/>
        <w:rPr>
          <w:sz w:val="56"/>
          <w:szCs w:val="56"/>
        </w:rPr>
      </w:pPr>
    </w:p>
    <w:p>
      <w:pPr>
        <w:pStyle w:val="15"/>
        <w:jc w:val="center"/>
        <w:rPr>
          <w:sz w:val="84"/>
          <w:szCs w:val="84"/>
        </w:rPr>
      </w:pPr>
    </w:p>
    <w:p>
      <w:pPr>
        <w:pStyle w:val="15"/>
        <w:jc w:val="center"/>
        <w:rPr>
          <w:sz w:val="84"/>
          <w:szCs w:val="84"/>
        </w:rPr>
      </w:pPr>
    </w:p>
    <w:p>
      <w:pPr>
        <w:pStyle w:val="15"/>
        <w:jc w:val="center"/>
        <w:rPr>
          <w:rFonts w:hint="eastAsia" w:ascii="方正小标宋_GBK" w:hAnsi="方正小标宋_GBK" w:eastAsia="方正小标宋_GBK" w:cs="方正小标宋_GBK"/>
          <w:sz w:val="72"/>
          <w:szCs w:val="72"/>
        </w:rPr>
      </w:pPr>
      <w:bookmarkStart w:id="3" w:name="_GoBack"/>
      <w:r>
        <w:rPr>
          <w:rFonts w:hint="eastAsia" w:ascii="方正小标宋_GBK" w:hAnsi="方正小标宋_GBK" w:eastAsia="方正小标宋_GBK" w:cs="方正小标宋_GBK"/>
          <w:sz w:val="72"/>
          <w:szCs w:val="72"/>
          <w:lang w:eastAsia="zh-CN"/>
        </w:rPr>
        <w:t>2025</w:t>
      </w:r>
      <w:r>
        <w:rPr>
          <w:rFonts w:hint="eastAsia" w:ascii="方正小标宋_GBK" w:hAnsi="方正小标宋_GBK" w:eastAsia="方正小标宋_GBK" w:cs="方正小标宋_GBK"/>
          <w:sz w:val="72"/>
          <w:szCs w:val="72"/>
        </w:rPr>
        <w:t>年度</w:t>
      </w:r>
    </w:p>
    <w:bookmarkEnd w:id="3"/>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道县西洲街道办事处</w:t>
      </w:r>
    </w:p>
    <w:p>
      <w:pPr>
        <w:pStyle w:val="15"/>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w:t>
      </w:r>
    </w:p>
    <w:p>
      <w:pPr>
        <w:pStyle w:val="15"/>
        <w:jc w:val="center"/>
        <w:rPr>
          <w:rFonts w:ascii="方正小标宋_GBK" w:hAnsi="方正小标宋_GBK" w:eastAsia="方正小标宋_GBK" w:cs="方正小标宋_GBK"/>
          <w:sz w:val="56"/>
          <w:szCs w:val="56"/>
        </w:rPr>
      </w:pPr>
    </w:p>
    <w:p>
      <w:pPr>
        <w:pStyle w:val="15"/>
        <w:jc w:val="center"/>
        <w:rPr>
          <w:sz w:val="56"/>
          <w:szCs w:val="56"/>
        </w:rPr>
      </w:pPr>
    </w:p>
    <w:p>
      <w:pPr>
        <w:pStyle w:val="15"/>
        <w:jc w:val="center"/>
        <w:rPr>
          <w:sz w:val="56"/>
          <w:szCs w:val="56"/>
        </w:rPr>
      </w:pPr>
    </w:p>
    <w:p>
      <w:pPr>
        <w:pStyle w:val="15"/>
        <w:jc w:val="center"/>
        <w:rPr>
          <w:sz w:val="56"/>
          <w:szCs w:val="56"/>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spacing w:line="540" w:lineRule="exact"/>
        <w:jc w:val="center"/>
        <w:rPr>
          <w:sz w:val="56"/>
          <w:szCs w:val="56"/>
        </w:rPr>
      </w:pPr>
    </w:p>
    <w:p>
      <w:pPr>
        <w:pStyle w:val="15"/>
        <w:spacing w:line="500" w:lineRule="exact"/>
        <w:jc w:val="both"/>
        <w:rPr>
          <w:b/>
          <w:sz w:val="36"/>
          <w:szCs w:val="28"/>
        </w:rPr>
      </w:pPr>
    </w:p>
    <w:p>
      <w:pPr>
        <w:pStyle w:val="15"/>
        <w:spacing w:line="500" w:lineRule="exact"/>
        <w:jc w:val="center"/>
        <w:rPr>
          <w:b/>
          <w:sz w:val="36"/>
          <w:szCs w:val="28"/>
        </w:rPr>
      </w:pPr>
      <w:r>
        <w:rPr>
          <w:rFonts w:hint="eastAsia"/>
          <w:b/>
          <w:sz w:val="36"/>
          <w:szCs w:val="28"/>
        </w:rPr>
        <w:t>目录</w:t>
      </w:r>
    </w:p>
    <w:p>
      <w:pPr>
        <w:pStyle w:val="15"/>
        <w:spacing w:line="500" w:lineRule="exact"/>
        <w:rPr>
          <w:rFonts w:hAnsi="黑体"/>
          <w:bCs/>
          <w:sz w:val="28"/>
          <w:szCs w:val="28"/>
        </w:rPr>
      </w:pPr>
      <w:r>
        <w:rPr>
          <w:rFonts w:hint="eastAsia" w:hAnsi="黑体"/>
          <w:bCs/>
          <w:sz w:val="28"/>
          <w:szCs w:val="28"/>
        </w:rPr>
        <w:t>第一部分 道县西洲街道办事处概况</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5"/>
        <w:spacing w:line="500" w:lineRule="exact"/>
        <w:rPr>
          <w:rFonts w:hAnsi="黑体"/>
          <w:bCs/>
          <w:sz w:val="28"/>
          <w:szCs w:val="28"/>
        </w:rPr>
      </w:pPr>
      <w:r>
        <w:rPr>
          <w:rFonts w:hint="eastAsia" w:hAnsi="黑体"/>
          <w:bCs/>
          <w:sz w:val="28"/>
          <w:szCs w:val="28"/>
        </w:rPr>
        <w:t>第二部分 部门决算表</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5"/>
        <w:spacing w:line="500" w:lineRule="exact"/>
        <w:rPr>
          <w:rFonts w:hAnsi="黑体"/>
          <w:bCs/>
          <w:sz w:val="28"/>
          <w:szCs w:val="28"/>
        </w:rPr>
      </w:pPr>
      <w:r>
        <w:rPr>
          <w:rFonts w:hint="eastAsia" w:hAnsi="黑体"/>
          <w:bCs/>
          <w:sz w:val="28"/>
          <w:szCs w:val="28"/>
        </w:rPr>
        <w:t>第三部分 部门决算情况说明</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5"/>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2025</w:t>
      </w:r>
      <w:r>
        <w:rPr>
          <w:rFonts w:hint="eastAsia" w:ascii="仿宋_GB2312" w:hAnsi="仿宋_GB2312" w:eastAsia="仿宋_GB2312" w:cs="仿宋_GB2312"/>
          <w:sz w:val="28"/>
          <w:szCs w:val="28"/>
        </w:rPr>
        <w:t>年度预算绩效情况的说明</w:t>
      </w:r>
    </w:p>
    <w:p>
      <w:pPr>
        <w:pStyle w:val="15"/>
        <w:spacing w:line="500" w:lineRule="exact"/>
        <w:rPr>
          <w:rFonts w:hAnsi="黑体"/>
          <w:bCs/>
          <w:sz w:val="28"/>
          <w:szCs w:val="28"/>
        </w:rPr>
      </w:pPr>
      <w:r>
        <w:rPr>
          <w:rFonts w:hint="eastAsia" w:hAnsi="黑体"/>
          <w:bCs/>
          <w:sz w:val="28"/>
          <w:szCs w:val="28"/>
        </w:rPr>
        <w:t>第四部分 名词解释</w:t>
      </w:r>
    </w:p>
    <w:p>
      <w:pPr>
        <w:pStyle w:val="15"/>
        <w:spacing w:line="500" w:lineRule="exact"/>
        <w:rPr>
          <w:rFonts w:hAnsi="黑体"/>
          <w:bCs/>
          <w:sz w:val="28"/>
          <w:szCs w:val="28"/>
        </w:rPr>
      </w:pPr>
      <w:r>
        <w:rPr>
          <w:rFonts w:hint="eastAsia" w:hAnsi="黑体"/>
          <w:bCs/>
          <w:sz w:val="28"/>
          <w:szCs w:val="28"/>
        </w:rPr>
        <w:t>第五部分 附件</w:t>
      </w:r>
    </w:p>
    <w:p>
      <w:pPr>
        <w:pStyle w:val="15"/>
        <w:spacing w:line="500" w:lineRule="exact"/>
        <w:rPr>
          <w:rFonts w:hAnsi="黑体"/>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5"/>
        <w:jc w:val="center"/>
        <w:rPr>
          <w:rFonts w:ascii="方正小标宋_GBK" w:hAnsi="方正小标宋_GBK" w:eastAsia="方正小标宋_GBK" w:cs="方正小标宋_GBK"/>
          <w:sz w:val="84"/>
          <w:szCs w:val="84"/>
        </w:rPr>
      </w:pPr>
    </w:p>
    <w:p>
      <w:pPr>
        <w:pStyle w:val="15"/>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西洲街道办事处概况</w:t>
      </w:r>
    </w:p>
    <w:p>
      <w:pPr>
        <w:jc w:val="center"/>
        <w:rPr>
          <w:rFonts w:ascii="方正小标宋_GBK" w:hAnsi="方正小标宋_GBK" w:eastAsia="方正小标宋_GBK" w:cs="方正小标宋_GBK"/>
          <w:sz w:val="72"/>
          <w:szCs w:val="72"/>
        </w:rPr>
      </w:pPr>
    </w:p>
    <w:p>
      <w:pPr>
        <w:jc w:val="center"/>
        <w:rPr>
          <w:rFonts w:ascii="方正小标宋_GBK" w:hAnsi="方正小标宋_GBK" w:eastAsia="方正小标宋_GBK" w:cs="方正小标宋_GBK"/>
          <w:sz w:val="72"/>
          <w:szCs w:val="72"/>
        </w:rPr>
      </w:pPr>
    </w:p>
    <w:p>
      <w:pPr>
        <w:jc w:val="both"/>
        <w:rPr>
          <w:sz w:val="72"/>
          <w:szCs w:val="72"/>
        </w:rPr>
      </w:pPr>
    </w:p>
    <w:p>
      <w:pPr>
        <w:pStyle w:val="16"/>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eastAsia" w:ascii="仿宋_GB2312" w:hAnsi="宋体"/>
          <w:sz w:val="30"/>
          <w:szCs w:val="30"/>
        </w:rPr>
        <w:t>一</w:t>
      </w:r>
      <w:r>
        <w:rPr>
          <w:rFonts w:hint="eastAsia" w:ascii="Times New Roman" w:hAnsi="Times New Roman" w:eastAsia="仿宋_GB2312" w:cs="仿宋_GB2312"/>
          <w:sz w:val="32"/>
          <w:szCs w:val="32"/>
        </w:rPr>
        <w:t>）</w:t>
      </w:r>
      <w:r>
        <w:rPr>
          <w:rFonts w:hint="eastAsia" w:ascii="仿宋_GB2312" w:hAnsi="宋体"/>
          <w:sz w:val="30"/>
          <w:szCs w:val="30"/>
        </w:rPr>
        <w:t>根据《中华人民共和国预算法》规定，本单位主要工作职责是：</w:t>
      </w:r>
      <w:r>
        <w:rPr>
          <w:rFonts w:hint="eastAsia" w:ascii="仿宋_GB2312"/>
          <w:sz w:val="30"/>
          <w:szCs w:val="30"/>
        </w:rPr>
        <w:t>执行本级人民代表大会的决议和上级国家行政机关的批复和决定，管理本行政区域内的日常事务。</w:t>
      </w:r>
    </w:p>
    <w:p>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pPr>
        <w:ind w:firstLine="640" w:firstLineChars="200"/>
        <w:rPr>
          <w:rFonts w:ascii="仿宋_GB2312" w:hAnsi="宋体"/>
          <w:sz w:val="30"/>
          <w:szCs w:val="30"/>
        </w:rPr>
      </w:pPr>
      <w:r>
        <w:rPr>
          <w:rFonts w:hint="eastAsia" w:ascii="Times New Roman" w:hAnsi="Times New Roman" w:eastAsia="仿宋_GB2312" w:cs="仿宋_GB2312"/>
          <w:bCs/>
          <w:kern w:val="0"/>
          <w:sz w:val="32"/>
          <w:szCs w:val="32"/>
        </w:rPr>
        <w:t>（</w:t>
      </w:r>
      <w:r>
        <w:rPr>
          <w:rFonts w:hint="eastAsia" w:ascii="仿宋_GB2312" w:hAnsi="宋体"/>
          <w:sz w:val="30"/>
          <w:szCs w:val="30"/>
        </w:rPr>
        <w:t>一</w:t>
      </w:r>
      <w:r>
        <w:rPr>
          <w:rFonts w:hint="eastAsia" w:ascii="Times New Roman" w:hAnsi="Times New Roman" w:eastAsia="仿宋_GB2312" w:cs="仿宋_GB2312"/>
          <w:bCs/>
          <w:kern w:val="0"/>
          <w:sz w:val="32"/>
          <w:szCs w:val="32"/>
        </w:rPr>
        <w:t>）</w:t>
      </w:r>
      <w:r>
        <w:rPr>
          <w:rFonts w:hint="eastAsia" w:ascii="仿宋_GB2312" w:hAnsi="宋体"/>
          <w:sz w:val="30"/>
          <w:szCs w:val="30"/>
        </w:rPr>
        <w:t>内设机构设置。我单位为正科级全额拨款行政单位，内设党政办公室、社会保障和社会救助事务中心、人口和计划生育事务中心、财政所等4个职能部室。现实有在编人数行政</w:t>
      </w:r>
      <w:r>
        <w:rPr>
          <w:rFonts w:hint="eastAsia" w:ascii="仿宋_GB2312" w:hAnsi="宋体"/>
          <w:sz w:val="30"/>
          <w:szCs w:val="30"/>
          <w:lang w:val="en-US" w:eastAsia="zh-CN"/>
        </w:rPr>
        <w:t>29</w:t>
      </w:r>
      <w:r>
        <w:rPr>
          <w:rFonts w:hint="eastAsia" w:ascii="仿宋_GB2312" w:hAnsi="宋体"/>
          <w:sz w:val="30"/>
          <w:szCs w:val="30"/>
        </w:rPr>
        <w:t>人，事业</w:t>
      </w:r>
      <w:r>
        <w:rPr>
          <w:rFonts w:hint="eastAsia" w:ascii="仿宋_GB2312" w:hAnsi="宋体"/>
          <w:sz w:val="30"/>
          <w:szCs w:val="30"/>
          <w:lang w:val="en-US" w:eastAsia="zh-CN"/>
        </w:rPr>
        <w:t>49</w:t>
      </w:r>
      <w:r>
        <w:rPr>
          <w:rFonts w:hint="eastAsia" w:ascii="仿宋_GB2312" w:hAnsi="宋体"/>
          <w:sz w:val="30"/>
          <w:szCs w:val="30"/>
        </w:rPr>
        <w:t>人，退休人员</w:t>
      </w:r>
      <w:r>
        <w:rPr>
          <w:rFonts w:hint="eastAsia" w:ascii="仿宋_GB2312" w:hAnsi="宋体"/>
          <w:sz w:val="30"/>
          <w:szCs w:val="30"/>
          <w:lang w:val="en-US" w:eastAsia="zh-CN"/>
        </w:rPr>
        <w:t>26</w:t>
      </w:r>
      <w:r>
        <w:rPr>
          <w:rFonts w:hint="eastAsia" w:ascii="仿宋_GB2312" w:hAnsi="宋体"/>
          <w:sz w:val="30"/>
          <w:szCs w:val="30"/>
        </w:rPr>
        <w:t>人，配有小车1辆。</w:t>
      </w:r>
    </w:p>
    <w:p>
      <w:pPr>
        <w:ind w:firstLine="600" w:firstLineChars="200"/>
        <w:rPr>
          <w:rFonts w:ascii="仿宋_GB2312" w:hAnsi="宋体"/>
          <w:sz w:val="30"/>
          <w:szCs w:val="30"/>
        </w:rPr>
      </w:pPr>
      <w:r>
        <w:rPr>
          <w:rFonts w:hint="eastAsia" w:ascii="仿宋_GB2312" w:hAnsi="宋体"/>
          <w:sz w:val="30"/>
          <w:szCs w:val="30"/>
        </w:rPr>
        <w:t>（二）决算单位构成。道县西洲街道办事处</w:t>
      </w:r>
      <w:r>
        <w:rPr>
          <w:rFonts w:hint="eastAsia" w:ascii="仿宋_GB2312" w:hAnsi="宋体"/>
          <w:sz w:val="30"/>
          <w:szCs w:val="30"/>
          <w:lang w:eastAsia="zh-CN"/>
        </w:rPr>
        <w:t>2025</w:t>
      </w:r>
      <w:r>
        <w:rPr>
          <w:rFonts w:hint="eastAsia" w:ascii="仿宋_GB2312" w:hAnsi="宋体"/>
          <w:sz w:val="30"/>
          <w:szCs w:val="30"/>
        </w:rPr>
        <w:t>年部门决算公开单位构成包括：道县西洲街道办事处本级。</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5"/>
        <w:jc w:val="center"/>
        <w:rPr>
          <w:rFonts w:ascii="方正小标宋_GBK" w:hAnsi="方正小标宋_GBK" w:eastAsia="方正小标宋_GBK" w:cs="方正小标宋_GBK"/>
          <w:sz w:val="84"/>
          <w:szCs w:val="84"/>
        </w:rPr>
      </w:pPr>
    </w:p>
    <w:p>
      <w:pPr>
        <w:pStyle w:val="15"/>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5"/>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1"/>
        <w:tblW w:w="15428" w:type="dxa"/>
        <w:tblInd w:w="0" w:type="dxa"/>
        <w:tblLayout w:type="autofit"/>
        <w:tblCellMar>
          <w:top w:w="0" w:type="dxa"/>
          <w:left w:w="0" w:type="dxa"/>
          <w:bottom w:w="0" w:type="dxa"/>
          <w:right w:w="0" w:type="dxa"/>
        </w:tblCellMar>
      </w:tblPr>
      <w:tblGrid>
        <w:gridCol w:w="15428"/>
      </w:tblGrid>
      <w:tr>
        <w:tblPrEx>
          <w:tblCellMar>
            <w:top w:w="0" w:type="dxa"/>
            <w:left w:w="0" w:type="dxa"/>
            <w:bottom w:w="0" w:type="dxa"/>
            <w:right w:w="0" w:type="dxa"/>
          </w:tblCellMar>
        </w:tblPrEx>
        <w:trPr>
          <w:trHeight w:val="435" w:hRule="atLeast"/>
        </w:trPr>
        <w:tc>
          <w:tcPr>
            <w:tcW w:w="15428" w:type="dxa"/>
            <w:tcBorders>
              <w:top w:val="nil"/>
              <w:left w:val="nil"/>
              <w:bottom w:val="nil"/>
              <w:right w:val="nil"/>
            </w:tcBorders>
            <w:shd w:val="clear" w:color="auto" w:fill="auto"/>
            <w:noWrap/>
            <w:tcMar>
              <w:top w:w="15" w:type="dxa"/>
              <w:left w:w="15" w:type="dxa"/>
              <w:bottom w:w="0" w:type="dxa"/>
              <w:right w:w="15" w:type="dxa"/>
            </w:tcMar>
            <w:vAlign w:val="center"/>
          </w:tcPr>
          <w:tbl>
            <w:tblPr>
              <w:tblStyle w:val="11"/>
              <w:tblW w:w="15398" w:type="dxa"/>
              <w:tblInd w:w="0" w:type="dxa"/>
              <w:tblLayout w:type="autofit"/>
              <w:tblCellMar>
                <w:top w:w="0" w:type="dxa"/>
                <w:left w:w="108" w:type="dxa"/>
                <w:bottom w:w="0" w:type="dxa"/>
                <w:right w:w="108" w:type="dxa"/>
              </w:tblCellMar>
            </w:tblPr>
            <w:tblGrid>
              <w:gridCol w:w="300"/>
              <w:gridCol w:w="569"/>
              <w:gridCol w:w="1441"/>
              <w:gridCol w:w="1760"/>
              <w:gridCol w:w="552"/>
              <w:gridCol w:w="616"/>
              <w:gridCol w:w="610"/>
              <w:gridCol w:w="756"/>
              <w:gridCol w:w="1009"/>
              <w:gridCol w:w="1760"/>
              <w:gridCol w:w="1760"/>
              <w:gridCol w:w="370"/>
              <w:gridCol w:w="1394"/>
              <w:gridCol w:w="221"/>
              <w:gridCol w:w="1132"/>
              <w:gridCol w:w="1133"/>
              <w:gridCol w:w="15"/>
            </w:tblGrid>
            <w:tr>
              <w:tblPrEx>
                <w:tblCellMar>
                  <w:top w:w="0" w:type="dxa"/>
                  <w:left w:w="108" w:type="dxa"/>
                  <w:bottom w:w="0" w:type="dxa"/>
                  <w:right w:w="108" w:type="dxa"/>
                </w:tblCellMar>
              </w:tblPrEx>
              <w:trPr>
                <w:gridBefore w:val="1"/>
                <w:gridAfter w:val="1"/>
                <w:wBefore w:w="300" w:type="dxa"/>
                <w:wAfter w:w="15" w:type="dxa"/>
                <w:trHeight w:val="304" w:hRule="atLeast"/>
              </w:trPr>
              <w:tc>
                <w:tcPr>
                  <w:tcW w:w="4322" w:type="dxa"/>
                  <w:gridSpan w:val="4"/>
                  <w:tcBorders>
                    <w:top w:val="nil"/>
                    <w:left w:val="nil"/>
                    <w:bottom w:val="nil"/>
                    <w:right w:val="nil"/>
                  </w:tcBorders>
                  <w:shd w:val="clear" w:color="auto" w:fill="auto"/>
                  <w:noWrap/>
                  <w:vAlign w:val="center"/>
                </w:tcPr>
                <w:p>
                  <w:pPr>
                    <w:jc w:val="left"/>
                    <w:rPr>
                      <w:rFonts w:ascii="黑体" w:hAnsi="宋体" w:eastAsia="黑体" w:cs="黑体"/>
                      <w:color w:val="000000"/>
                      <w:sz w:val="24"/>
                      <w:szCs w:val="24"/>
                    </w:rPr>
                  </w:pPr>
                </w:p>
              </w:tc>
              <w:tc>
                <w:tcPr>
                  <w:tcW w:w="616" w:type="dxa"/>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1366" w:type="dxa"/>
                  <w:gridSpan w:val="2"/>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4899" w:type="dxa"/>
                  <w:gridSpan w:val="4"/>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1615" w:type="dxa"/>
                  <w:gridSpan w:val="2"/>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2265" w:type="dxa"/>
                  <w:gridSpan w:val="2"/>
                  <w:tcBorders>
                    <w:top w:val="nil"/>
                    <w:left w:val="nil"/>
                    <w:bottom w:val="nil"/>
                    <w:right w:val="nil"/>
                  </w:tcBorders>
                  <w:shd w:val="clear" w:color="auto" w:fill="auto"/>
                  <w:noWrap/>
                  <w:vAlign w:val="center"/>
                </w:tcPr>
                <w:p>
                  <w:pPr>
                    <w:jc w:val="right"/>
                    <w:rPr>
                      <w:rFonts w:ascii="黑体" w:hAnsi="宋体" w:eastAsia="黑体" w:cs="黑体"/>
                      <w:color w:val="000000"/>
                      <w:sz w:val="24"/>
                      <w:szCs w:val="24"/>
                    </w:rPr>
                  </w:pPr>
                </w:p>
              </w:tc>
            </w:tr>
            <w:tr>
              <w:tblPrEx>
                <w:tblCellMar>
                  <w:top w:w="0" w:type="dxa"/>
                  <w:left w:w="108" w:type="dxa"/>
                  <w:bottom w:w="0" w:type="dxa"/>
                  <w:right w:w="108" w:type="dxa"/>
                </w:tblCellMar>
              </w:tblPrEx>
              <w:trPr>
                <w:gridBefore w:val="1"/>
                <w:gridAfter w:val="1"/>
                <w:wBefore w:w="300" w:type="dxa"/>
                <w:wAfter w:w="15" w:type="dxa"/>
                <w:trHeight w:val="609" w:hRule="atLeast"/>
              </w:trPr>
              <w:tc>
                <w:tcPr>
                  <w:tcW w:w="0" w:type="auto"/>
                  <w:gridSpan w:val="15"/>
                  <w:tcBorders>
                    <w:top w:val="nil"/>
                    <w:left w:val="nil"/>
                    <w:bottom w:val="nil"/>
                    <w:right w:val="nil"/>
                  </w:tcBorders>
                  <w:shd w:val="clear" w:color="auto" w:fill="auto"/>
                  <w:noWrap/>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收入支出决算总表</w:t>
                  </w:r>
                </w:p>
              </w:tc>
            </w:tr>
            <w:tr>
              <w:tblPrEx>
                <w:tblCellMar>
                  <w:top w:w="0" w:type="dxa"/>
                  <w:left w:w="108" w:type="dxa"/>
                  <w:bottom w:w="0" w:type="dxa"/>
                  <w:right w:w="108" w:type="dxa"/>
                </w:tblCellMar>
              </w:tblPrEx>
              <w:trPr>
                <w:gridBefore w:val="1"/>
                <w:gridAfter w:val="1"/>
                <w:wBefore w:w="300" w:type="dxa"/>
                <w:wAfter w:w="15" w:type="dxa"/>
                <w:trHeight w:val="304" w:hRule="atLeast"/>
              </w:trPr>
              <w:tc>
                <w:tcPr>
                  <w:tcW w:w="0" w:type="auto"/>
                  <w:gridSpan w:val="4"/>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4"/>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gridBefore w:val="1"/>
                <w:gridAfter w:val="1"/>
                <w:wBefore w:w="300" w:type="dxa"/>
                <w:wAfter w:w="15" w:type="dxa"/>
                <w:trHeight w:val="304" w:hRule="atLeast"/>
              </w:trPr>
              <w:tc>
                <w:tcPr>
                  <w:tcW w:w="0" w:type="auto"/>
                  <w:gridSpan w:val="4"/>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部门：道县西洲街道办事处</w:t>
                  </w:r>
                </w:p>
              </w:tc>
              <w:tc>
                <w:tcPr>
                  <w:tcW w:w="0" w:type="auto"/>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4"/>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收入</w:t>
                  </w:r>
                </w:p>
              </w:tc>
              <w:tc>
                <w:tcPr>
                  <w:tcW w:w="7646" w:type="dxa"/>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支出</w:t>
                  </w:r>
                </w:p>
              </w:tc>
            </w:tr>
            <w:tr>
              <w:tblPrEx>
                <w:tblCellMar>
                  <w:top w:w="0" w:type="dxa"/>
                  <w:left w:w="108" w:type="dxa"/>
                  <w:bottom w:w="0" w:type="dxa"/>
                  <w:right w:w="108" w:type="dxa"/>
                </w:tblCellMar>
              </w:tblPrEx>
              <w:trPr>
                <w:gridBefore w:val="1"/>
                <w:gridAfter w:val="2"/>
                <w:wBefore w:w="300" w:type="dxa"/>
                <w:wAfter w:w="1148" w:type="dxa"/>
                <w:trHeight w:val="62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11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eastAsia="宋体" w:cs="宋体"/>
                      <w:color w:val="000000"/>
                      <w:sz w:val="24"/>
                      <w:szCs w:val="24"/>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eastAsia="宋体" w:cs="宋体"/>
                      <w:color w:val="000000"/>
                      <w:sz w:val="24"/>
                      <w:szCs w:val="24"/>
                    </w:rPr>
                  </w:pPr>
                </w:p>
              </w:tc>
              <w:tc>
                <w:tcPr>
                  <w:tcW w:w="11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1555.4</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sz w:val="22"/>
                    </w:rPr>
                    <w:t>一、一般公共服务支出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14</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lang w:val="en-US" w:eastAsia="zh-CN"/>
                    </w:rPr>
                  </w:pPr>
                  <w:r>
                    <w:rPr>
                      <w:rFonts w:hint="eastAsia" w:ascii="宋体" w:hAnsi="宋体" w:eastAsia="宋体" w:cs="宋体"/>
                      <w:color w:val="000000"/>
                      <w:sz w:val="22"/>
                      <w:lang w:val="en-US" w:eastAsia="zh-CN"/>
                    </w:rPr>
                    <w:t>961.3</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六、卫生健康支出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59.2</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kern w:val="0"/>
                      <w:sz w:val="24"/>
                      <w:szCs w:val="24"/>
                    </w:rPr>
                    <w:t>七、社会保障和就业支出</w:t>
                  </w:r>
                  <w:r>
                    <w:rPr>
                      <w:rFonts w:hint="eastAsia" w:ascii="宋体" w:hAnsi="宋体" w:eastAsia="宋体" w:cs="宋体"/>
                      <w:color w:val="000000"/>
                      <w:kern w:val="0"/>
                      <w:sz w:val="24"/>
                      <w:szCs w:val="24"/>
                      <w:lang w:val="en-US" w:eastAsia="zh-CN"/>
                    </w:rPr>
                    <w:t xml:space="preserve">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142.3</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22"/>
                    </w:rPr>
                  </w:pPr>
                  <w:r>
                    <w:rPr>
                      <w:rFonts w:hint="eastAsia" w:ascii="宋体" w:hAnsi="宋体" w:eastAsia="宋体" w:cs="宋体"/>
                      <w:color w:val="000000"/>
                      <w:sz w:val="22"/>
                    </w:rPr>
                    <w:t>八、住房保障支出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22"/>
                    </w:rPr>
                  </w:pPr>
                  <w:r>
                    <w:rPr>
                      <w:rFonts w:hint="eastAsia" w:ascii="宋体" w:hAnsi="宋体" w:eastAsia="宋体" w:cs="宋体"/>
                      <w:color w:val="000000"/>
                      <w:sz w:val="22"/>
                    </w:rPr>
                    <w:t>九、城乡社区支出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220" w:firstLineChars="100"/>
                    <w:jc w:val="both"/>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392.6</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1555.4</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1555.4</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结余分配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62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年末结转和结余</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rPr>
                  </w:pPr>
                  <w:r>
                    <w:rPr>
                      <w:rFonts w:hint="eastAsia" w:ascii="宋体" w:hAnsi="宋体" w:eastAsia="宋体" w:cs="宋体"/>
                      <w:color w:val="000000"/>
                      <w:sz w:val="22"/>
                      <w:lang w:val="en-US" w:eastAsia="zh-CN"/>
                    </w:rPr>
                    <w:t>1555.4</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rPr>
                  </w:pPr>
                  <w:r>
                    <w:rPr>
                      <w:rFonts w:hint="eastAsia" w:ascii="宋体" w:hAnsi="宋体" w:eastAsia="宋体" w:cs="宋体"/>
                      <w:color w:val="000000"/>
                      <w:sz w:val="22"/>
                      <w:lang w:val="en-US" w:eastAsia="zh-CN"/>
                    </w:rPr>
                    <w:t>1555.4</w:t>
                  </w:r>
                </w:p>
              </w:tc>
            </w:tr>
            <w:tr>
              <w:tblPrEx>
                <w:tblCellMar>
                  <w:top w:w="0" w:type="dxa"/>
                  <w:left w:w="108" w:type="dxa"/>
                  <w:bottom w:w="0" w:type="dxa"/>
                  <w:right w:w="108" w:type="dxa"/>
                </w:tblCellMar>
              </w:tblPrEx>
              <w:trPr>
                <w:gridBefore w:val="1"/>
                <w:gridAfter w:val="1"/>
                <w:wBefore w:w="300" w:type="dxa"/>
                <w:wAfter w:w="15" w:type="dxa"/>
                <w:trHeight w:val="1015" w:hRule="atLeast"/>
              </w:trPr>
              <w:tc>
                <w:tcPr>
                  <w:tcW w:w="15083" w:type="dxa"/>
                  <w:gridSpan w:val="15"/>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注：1.本表反映部门本年度的总收支和年末结转结余情况。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2.本套报表金额单位转换时可能存在尾数误差。</w:t>
                  </w:r>
                </w:p>
              </w:tc>
            </w:tr>
            <w:tr>
              <w:tblPrEx>
                <w:tblCellMar>
                  <w:top w:w="0" w:type="dxa"/>
                  <w:left w:w="0" w:type="dxa"/>
                  <w:bottom w:w="0" w:type="dxa"/>
                  <w:right w:w="0" w:type="dxa"/>
                </w:tblCellMar>
              </w:tblPrEx>
              <w:trPr>
                <w:trHeight w:val="285" w:hRule="atLeast"/>
              </w:trPr>
              <w:tc>
                <w:tcPr>
                  <w:tcW w:w="15398" w:type="dxa"/>
                  <w:gridSpan w:val="17"/>
                  <w:tcBorders>
                    <w:top w:val="nil"/>
                    <w:left w:val="nil"/>
                    <w:bottom w:val="nil"/>
                    <w:right w:val="nil"/>
                  </w:tcBorders>
                  <w:shd w:val="clear" w:color="000000" w:fill="FFFFFF"/>
                  <w:noWrap/>
                  <w:tcMar>
                    <w:top w:w="15" w:type="dxa"/>
                    <w:left w:w="15" w:type="dxa"/>
                    <w:bottom w:w="0" w:type="dxa"/>
                    <w:right w:w="15" w:type="dxa"/>
                  </w:tcMar>
                  <w:vAlign w:val="center"/>
                </w:tcPr>
                <w:p>
                  <w:pPr>
                    <w:jc w:val="center"/>
                  </w:pPr>
                  <w:r>
                    <w:rPr>
                      <w:rFonts w:hint="eastAsia" w:ascii="华文中宋" w:hAnsi="华文中宋" w:eastAsia="华文中宋"/>
                      <w:color w:val="000000"/>
                      <w:sz w:val="32"/>
                      <w:szCs w:val="32"/>
                    </w:rPr>
                    <w:t>收入决算表</w:t>
                  </w:r>
                  <w:r>
                    <w:rPr>
                      <w:rFonts w:hint="eastAsia"/>
                    </w:rPr>
                    <w:t>　</w:t>
                  </w:r>
                </w:p>
                <w:tbl>
                  <w:tblPr>
                    <w:tblStyle w:val="11"/>
                    <w:tblW w:w="12717" w:type="dxa"/>
                    <w:tblInd w:w="0" w:type="dxa"/>
                    <w:tblLayout w:type="autofit"/>
                    <w:tblCellMar>
                      <w:top w:w="0" w:type="dxa"/>
                      <w:left w:w="0" w:type="dxa"/>
                      <w:bottom w:w="0" w:type="dxa"/>
                      <w:right w:w="0" w:type="dxa"/>
                    </w:tblCellMar>
                  </w:tblPr>
                  <w:tblGrid>
                    <w:gridCol w:w="12717"/>
                  </w:tblGrid>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bl>
                <w:p>
                  <w:pPr>
                    <w:pStyle w:val="9"/>
                  </w:pPr>
                </w:p>
                <w:tbl>
                  <w:tblPr>
                    <w:tblStyle w:val="11"/>
                    <w:tblW w:w="12717" w:type="dxa"/>
                    <w:tblInd w:w="0" w:type="dxa"/>
                    <w:tblLayout w:type="autofit"/>
                    <w:tblCellMar>
                      <w:top w:w="0" w:type="dxa"/>
                      <w:left w:w="0" w:type="dxa"/>
                      <w:bottom w:w="0" w:type="dxa"/>
                      <w:right w:w="0" w:type="dxa"/>
                    </w:tblCellMar>
                  </w:tblPr>
                  <w:tblGrid>
                    <w:gridCol w:w="4654"/>
                    <w:gridCol w:w="2160"/>
                    <w:gridCol w:w="3010"/>
                    <w:gridCol w:w="69"/>
                    <w:gridCol w:w="69"/>
                    <w:gridCol w:w="69"/>
                    <w:gridCol w:w="69"/>
                    <w:gridCol w:w="69"/>
                    <w:gridCol w:w="2548"/>
                  </w:tblGrid>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r>
                          <w:rPr>
                            <w:rFonts w:hint="eastAsia" w:ascii="宋体" w:hAnsi="宋体" w:eastAsia="宋体" w:cs="宋体"/>
                            <w:color w:val="000000"/>
                            <w:kern w:val="0"/>
                            <w:sz w:val="20"/>
                            <w:szCs w:val="20"/>
                          </w:rPr>
                          <w:t>道县西洲街道办事处</w:t>
                        </w:r>
                      </w:p>
                    </w:tc>
                    <w:tc>
                      <w:tcPr>
                        <w:tcW w:w="216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01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wordWrap w:val="0"/>
                          <w:jc w:val="right"/>
                          <w:rPr>
                            <w:rFonts w:ascii="宋体" w:hAnsi="宋体" w:eastAsia="宋体" w:cs="宋体"/>
                            <w:color w:val="000000"/>
                            <w:sz w:val="20"/>
                            <w:szCs w:val="20"/>
                          </w:rPr>
                        </w:pPr>
                        <w:r>
                          <w:rPr>
                            <w:rFonts w:hint="eastAsia"/>
                            <w:color w:val="000000"/>
                            <w:sz w:val="20"/>
                            <w:szCs w:val="20"/>
                          </w:rPr>
                          <w:t xml:space="preserve">   单位：万元</w:t>
                        </w:r>
                      </w:p>
                    </w:tc>
                  </w:tr>
                </w:tbl>
                <w:p>
                  <w:pPr>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50" w:hRule="atLeast"/>
              </w:trPr>
              <w:tc>
                <w:tcPr>
                  <w:tcW w:w="231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7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778" w:type="dxa"/>
                  <w:gridSpan w:val="3"/>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76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7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7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76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01" w:type="dxa"/>
                  <w:gridSpan w:val="4"/>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86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441"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8"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01"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86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1"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8"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01"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231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7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778"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765"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7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7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76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01"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507" w:hRule="atLeast"/>
              </w:trPr>
              <w:tc>
                <w:tcPr>
                  <w:tcW w:w="231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pPr>
                  <w:r>
                    <w:rPr>
                      <w:rFonts w:hint="eastAsia" w:ascii="宋体" w:hAnsi="宋体" w:eastAsia="宋体" w:cs="宋体"/>
                      <w:color w:val="000000"/>
                      <w:sz w:val="22"/>
                      <w:lang w:val="en-US" w:eastAsia="zh-CN"/>
                    </w:rPr>
                    <w:t>1555.4</w:t>
                  </w:r>
                  <w:r>
                    <w:rPr>
                      <w:rFonts w:hint="eastAsia"/>
                    </w:rPr>
                    <w:t>　</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pPr>
                  <w:r>
                    <w:rPr>
                      <w:rFonts w:hint="eastAsia" w:ascii="宋体" w:hAnsi="宋体" w:eastAsia="宋体" w:cs="宋体"/>
                      <w:color w:val="000000"/>
                      <w:sz w:val="22"/>
                      <w:lang w:val="en-US" w:eastAsia="zh-CN"/>
                    </w:rPr>
                    <w:t>1555.4</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sz w:val="18"/>
                      <w:szCs w:val="18"/>
                    </w:rPr>
                  </w:pPr>
                  <w:r>
                    <w:rPr>
                      <w:rFonts w:hint="eastAsia"/>
                      <w:sz w:val="18"/>
                      <w:szCs w:val="18"/>
                    </w:rPr>
                    <w:t>　2101101</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sz w:val="18"/>
                      <w:szCs w:val="18"/>
                    </w:rPr>
                    <w:t>　行政单位医疗</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59.2</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59.2　</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Theme="minorEastAsia"/>
                      <w:sz w:val="18"/>
                      <w:szCs w:val="18"/>
                      <w:lang w:val="en-US" w:eastAsia="zh-CN"/>
                    </w:rPr>
                  </w:pPr>
                  <w:r>
                    <w:rPr>
                      <w:rFonts w:hint="eastAsia"/>
                      <w:sz w:val="18"/>
                      <w:szCs w:val="18"/>
                    </w:rPr>
                    <w:t>　</w:t>
                  </w:r>
                  <w:r>
                    <w:rPr>
                      <w:rFonts w:hint="eastAsia"/>
                      <w:sz w:val="18"/>
                      <w:szCs w:val="18"/>
                      <w:lang w:val="en-US" w:eastAsia="zh-CN"/>
                    </w:rPr>
                    <w:t>2010399</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sz w:val="18"/>
                      <w:szCs w:val="18"/>
                      <w:lang w:eastAsia="zh-CN"/>
                    </w:rPr>
                    <w:t>其他政府支出</w:t>
                  </w:r>
                  <w:r>
                    <w:rPr>
                      <w:rFonts w:hint="eastAsia"/>
                      <w:sz w:val="18"/>
                      <w:szCs w:val="18"/>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33.5</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33.5</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sz w:val="18"/>
                      <w:szCs w:val="18"/>
                    </w:rPr>
                  </w:pPr>
                  <w:r>
                    <w:rPr>
                      <w:rFonts w:hint="eastAsia"/>
                      <w:sz w:val="18"/>
                      <w:szCs w:val="18"/>
                    </w:rPr>
                    <w:t>　2010301</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sz w:val="18"/>
                      <w:szCs w:val="18"/>
                    </w:rPr>
                    <w:t>　行政运行</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927.8</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927.8　</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sz w:val="18"/>
                      <w:szCs w:val="18"/>
                    </w:rPr>
                  </w:pPr>
                  <w:r>
                    <w:rPr>
                      <w:rFonts w:hint="eastAsia"/>
                      <w:sz w:val="18"/>
                      <w:szCs w:val="18"/>
                    </w:rPr>
                    <w:t>　2080505</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sz w:val="18"/>
                      <w:szCs w:val="18"/>
                    </w:rPr>
                    <w:t>　基本养老保险缴费支出</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122</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122</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sz w:val="18"/>
                      <w:szCs w:val="18"/>
                    </w:rPr>
                  </w:pPr>
                  <w:r>
                    <w:rPr>
                      <w:rFonts w:hint="eastAsia"/>
                      <w:sz w:val="18"/>
                      <w:szCs w:val="18"/>
                    </w:rPr>
                    <w:t>　2129999</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其他城乡社区支出</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392.6</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392.6</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sz w:val="18"/>
                      <w:szCs w:val="18"/>
                    </w:rPr>
                  </w:pPr>
                  <w:r>
                    <w:rPr>
                      <w:rFonts w:hint="eastAsia"/>
                      <w:sz w:val="18"/>
                      <w:szCs w:val="18"/>
                    </w:rPr>
                    <w:t>　2080506</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职业年金缴费支出</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20.3</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20.3　</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eastAsiaTheme="minorEastAsia"/>
                      <w:sz w:val="18"/>
                      <w:szCs w:val="18"/>
                      <w:lang w:eastAsia="zh-CN"/>
                    </w:rPr>
                  </w:pP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eastAsiaTheme="minorEastAsia"/>
                      <w:lang w:eastAsia="zh-CN"/>
                    </w:rPr>
                  </w:pP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both"/>
                  </w:pP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both"/>
                    <w:rPr>
                      <w:rFonts w:hint="default"/>
                      <w:lang w:val="en-US"/>
                    </w:rPr>
                  </w:pP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bl>
          <w:p>
            <w:pPr>
              <w:rPr>
                <w:rFonts w:ascii="华文中宋" w:hAnsi="华文中宋" w:eastAsia="华文中宋" w:cs="宋体"/>
                <w:color w:val="000000"/>
                <w:sz w:val="32"/>
                <w:szCs w:val="32"/>
              </w:rPr>
            </w:pPr>
          </w:p>
        </w:tc>
      </w:tr>
      <w:tr>
        <w:tblPrEx>
          <w:tblCellMar>
            <w:top w:w="0" w:type="dxa"/>
            <w:left w:w="0" w:type="dxa"/>
            <w:bottom w:w="0" w:type="dxa"/>
            <w:right w:w="0" w:type="dxa"/>
          </w:tblCellMar>
        </w:tblPrEx>
        <w:trPr>
          <w:trHeight w:val="615" w:hRule="atLeast"/>
        </w:trPr>
        <w:tc>
          <w:tcPr>
            <w:tcW w:w="15428" w:type="dxa"/>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11"/>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2980"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部门：道县西洲街道办事处</w:t>
            </w: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ind w:right="480"/>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lang w:val="en-US"/>
              </w:rPr>
            </w:pPr>
            <w:r>
              <w:rPr>
                <w:rFonts w:hint="eastAsia"/>
                <w:lang w:val="en-US" w:eastAsia="zh-CN"/>
              </w:rPr>
              <w:t>1555.4</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1129.3　</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426.1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2101101</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18"/>
                <w:szCs w:val="18"/>
              </w:rPr>
            </w:pPr>
            <w:r>
              <w:rPr>
                <w:rFonts w:hint="eastAsia"/>
                <w:sz w:val="18"/>
                <w:szCs w:val="18"/>
              </w:rPr>
              <w:t>　行政单位医疗</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eastAsiaTheme="minorEastAsia"/>
                <w:lang w:val="en-US" w:eastAsia="zh-CN"/>
              </w:rPr>
            </w:pPr>
            <w:r>
              <w:rPr>
                <w:rFonts w:hint="eastAsia"/>
                <w:lang w:val="en-US" w:eastAsia="zh-CN"/>
              </w:rPr>
              <w:t>59.2</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r>
              <w:rPr>
                <w:rFonts w:hint="eastAsia"/>
                <w:lang w:val="en-US" w:eastAsia="zh-CN"/>
              </w:rPr>
              <w:t>59.2</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w:t>
            </w:r>
            <w:r>
              <w:rPr>
                <w:rFonts w:hint="eastAsia"/>
                <w:sz w:val="18"/>
                <w:szCs w:val="18"/>
                <w:lang w:val="en-US" w:eastAsia="zh-CN"/>
              </w:rPr>
              <w:t>2010399</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18"/>
                <w:szCs w:val="18"/>
              </w:rPr>
            </w:pPr>
            <w:r>
              <w:rPr>
                <w:rFonts w:hint="eastAsia"/>
                <w:sz w:val="18"/>
                <w:szCs w:val="18"/>
                <w:lang w:eastAsia="zh-CN"/>
              </w:rPr>
              <w:t>其他政府支出</w:t>
            </w:r>
            <w:r>
              <w:rPr>
                <w:rFonts w:hint="eastAsia"/>
                <w:sz w:val="18"/>
                <w:szCs w:val="18"/>
              </w:rPr>
              <w:t>　</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lang w:val="en-US"/>
              </w:rPr>
            </w:pPr>
            <w:r>
              <w:rPr>
                <w:rFonts w:hint="eastAsia"/>
                <w:lang w:val="en-US" w:eastAsia="zh-CN"/>
              </w:rPr>
              <w:t>33.5</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r>
              <w:rPr>
                <w:rFonts w:hint="eastAsia"/>
                <w:lang w:val="en-US" w:eastAsia="zh-CN"/>
              </w:rPr>
              <w:t>33.5</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2010301</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18"/>
                <w:szCs w:val="18"/>
              </w:rPr>
            </w:pPr>
            <w:r>
              <w:rPr>
                <w:rFonts w:hint="eastAsia"/>
                <w:sz w:val="18"/>
                <w:szCs w:val="18"/>
              </w:rPr>
              <w:t>　行政运行</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lang w:val="en-US"/>
              </w:rPr>
            </w:pPr>
            <w:r>
              <w:rPr>
                <w:rFonts w:hint="eastAsia"/>
                <w:lang w:val="en-US" w:eastAsia="zh-CN"/>
              </w:rPr>
              <w:t>927.8</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927.8　</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2080505</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18"/>
                <w:szCs w:val="18"/>
              </w:rPr>
            </w:pPr>
            <w:r>
              <w:rPr>
                <w:rFonts w:hint="eastAsia"/>
                <w:sz w:val="18"/>
                <w:szCs w:val="18"/>
              </w:rPr>
              <w:t>　基本养老保险缴费支出</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lang w:val="en-US"/>
              </w:rPr>
            </w:pPr>
            <w:r>
              <w:rPr>
                <w:rFonts w:hint="eastAsia"/>
                <w:lang w:val="en-US" w:eastAsia="zh-CN"/>
              </w:rPr>
              <w:t>122</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122</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2129999</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24"/>
                <w:szCs w:val="24"/>
              </w:rPr>
            </w:pPr>
            <w:r>
              <w:rPr>
                <w:rFonts w:hint="eastAsia"/>
              </w:rPr>
              <w:t>其他城乡社区支出</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lang w:val="en-US"/>
              </w:rPr>
            </w:pPr>
            <w:r>
              <w:rPr>
                <w:rFonts w:hint="eastAsia"/>
                <w:lang w:val="en-US" w:eastAsia="zh-CN"/>
              </w:rPr>
              <w:t>392.6</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r>
              <w:rPr>
                <w:rFonts w:hint="eastAsia"/>
                <w:lang w:val="en-US" w:eastAsia="zh-CN"/>
              </w:rPr>
              <w:t>392.6</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2080506</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24"/>
                <w:szCs w:val="24"/>
              </w:rPr>
            </w:pPr>
            <w:r>
              <w:rPr>
                <w:rFonts w:hint="eastAsia"/>
              </w:rPr>
              <w:t>职业年金缴费支出</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eastAsiaTheme="minorEastAsia"/>
                <w:lang w:val="en-US" w:eastAsia="zh-CN"/>
              </w:rPr>
            </w:pPr>
            <w:r>
              <w:rPr>
                <w:rFonts w:hint="eastAsia"/>
                <w:lang w:val="en-US" w:eastAsia="zh-CN"/>
              </w:rPr>
              <w:t>20.3</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20.3　</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p>
        </w:tc>
        <w:tc>
          <w:tcPr>
            <w:tcW w:w="1481" w:type="dxa"/>
            <w:tcBorders>
              <w:top w:val="nil"/>
              <w:left w:val="nil"/>
              <w:bottom w:val="single" w:color="auto" w:sz="4" w:space="0"/>
              <w:right w:val="single" w:color="auto" w:sz="4" w:space="0"/>
            </w:tcBorders>
            <w:shd w:val="clear" w:color="000000" w:fill="FFFFFF"/>
            <w:noWrap/>
            <w:vAlign w:val="center"/>
          </w:tcPr>
          <w:p/>
        </w:tc>
        <w:tc>
          <w:tcPr>
            <w:tcW w:w="1952" w:type="dxa"/>
            <w:tcBorders>
              <w:top w:val="nil"/>
              <w:left w:val="nil"/>
              <w:bottom w:val="single" w:color="auto" w:sz="4" w:space="0"/>
              <w:right w:val="single" w:color="auto" w:sz="4" w:space="0"/>
            </w:tcBorders>
            <w:shd w:val="clear" w:color="auto" w:fill="auto"/>
            <w:noWrap/>
            <w:vAlign w:val="center"/>
          </w:tcPr>
          <w:p>
            <w:pPr>
              <w:jc w:val="cente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rPr>
          <w:rFonts w:ascii="Times New Roman" w:hAnsi="Times New Roman" w:eastAsia="方正小标宋_GBK" w:cs="Times New Roman"/>
          <w:color w:val="000000"/>
          <w:kern w:val="0"/>
          <w:sz w:val="36"/>
          <w:szCs w:val="21"/>
        </w:rPr>
      </w:pPr>
    </w:p>
    <w:tbl>
      <w:tblPr>
        <w:tblStyle w:val="11"/>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部门：道县西洲街道办事处</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lang w:val="en-US" w:eastAsia="zh-CN"/>
              </w:rPr>
              <w:t>1555.4</w:t>
            </w:r>
            <w:r>
              <w:rPr>
                <w:rFonts w:hint="eastAsia"/>
              </w:rPr>
              <w:t>　</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961.3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color w:val="000000"/>
                <w:sz w:val="22"/>
                <w:lang w:val="en-US" w:eastAsia="zh-CN"/>
              </w:rPr>
              <w:t>961.3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rPr>
              <w:t>　</w:t>
            </w:r>
            <w:r>
              <w:rPr>
                <w:rFonts w:hint="eastAsia" w:ascii="宋体" w:hAnsi="宋体" w:eastAsia="宋体" w:cs="宋体"/>
                <w:color w:val="000000"/>
                <w:sz w:val="22"/>
                <w:lang w:val="en-US" w:eastAsia="zh-CN"/>
              </w:rPr>
              <w:t>59.2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color w:val="000000"/>
                <w:sz w:val="22"/>
                <w:lang w:val="en-US" w:eastAsia="zh-CN"/>
              </w:rPr>
              <w:t>59.2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七、社会保障和就业支出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color w:val="000000"/>
                <w:sz w:val="22"/>
                <w:lang w:val="en-US" w:eastAsia="zh-CN"/>
              </w:rPr>
              <w:t xml:space="preserve"> 142.3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color w:val="000000"/>
                <w:sz w:val="22"/>
                <w:lang w:val="en-US" w:eastAsia="zh-CN"/>
              </w:rPr>
              <w:t>142.3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rPr>
            </w:pPr>
            <w:r>
              <w:rPr>
                <w:rFonts w:hint="eastAsia" w:ascii="宋体" w:hAnsi="宋体" w:eastAsia="宋体" w:cs="宋体"/>
                <w:color w:val="000000"/>
                <w:sz w:val="22"/>
              </w:rPr>
              <w:t>八、住房保障支出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rPr>
            </w:pPr>
            <w:r>
              <w:rPr>
                <w:rFonts w:hint="eastAsia" w:ascii="宋体" w:hAnsi="宋体" w:eastAsia="宋体" w:cs="宋体"/>
                <w:color w:val="000000"/>
                <w:sz w:val="22"/>
              </w:rPr>
              <w:t>九、城乡社区支出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color w:val="000000"/>
                <w:sz w:val="22"/>
                <w:lang w:val="en-US" w:eastAsia="zh-CN"/>
              </w:rPr>
              <w:t xml:space="preserve"> 392.6</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color w:val="000000"/>
                <w:sz w:val="22"/>
                <w:lang w:val="en-US" w:eastAsia="zh-CN"/>
              </w:rPr>
              <w:t>392.6</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lang w:val="en-US" w:eastAsia="zh-CN"/>
              </w:rPr>
              <w:t>1555.4</w:t>
            </w:r>
            <w:r>
              <w:rPr>
                <w:rFonts w:hint="eastAsia"/>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r>
              <w:rPr>
                <w:rFonts w:hint="eastAsia"/>
                <w:lang w:val="en-US" w:eastAsia="zh-CN"/>
              </w:rPr>
              <w:t>1555.4</w:t>
            </w:r>
            <w:r>
              <w:rPr>
                <w:rFonts w:hint="eastAsia"/>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lang w:val="en-US" w:eastAsia="zh-CN"/>
              </w:rPr>
              <w:t>1555.4</w:t>
            </w:r>
            <w:r>
              <w:rPr>
                <w:rFonts w:hint="eastAsia"/>
              </w:rPr>
              <w:t>　</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FF0000"/>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lang w:val="en-US" w:eastAsia="zh-CN"/>
              </w:rPr>
              <w:t>1555.4</w:t>
            </w:r>
            <w:r>
              <w:rPr>
                <w:rFonts w:hint="eastAsia"/>
              </w:rPr>
              <w:t>　</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30</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lang w:val="en-US" w:eastAsia="zh-CN"/>
              </w:rPr>
              <w:t>1555.4</w:t>
            </w:r>
            <w:r>
              <w:rPr>
                <w:rFonts w:hint="eastAsia"/>
              </w:rPr>
              <w:t>　</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lang w:val="en-US" w:eastAsia="zh-CN"/>
              </w:rPr>
              <w:t>1555.4</w:t>
            </w:r>
            <w:r>
              <w:rPr>
                <w:rFonts w:hint="eastAsia"/>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道县西洲街道办事处</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lang w:val="en-US" w:eastAsia="zh-CN"/>
              </w:rPr>
              <w:t>1555.4</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1129.3</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426.1</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sz w:val="18"/>
                <w:szCs w:val="18"/>
              </w:rPr>
            </w:pPr>
            <w:r>
              <w:rPr>
                <w:rFonts w:hint="eastAsia"/>
                <w:sz w:val="18"/>
                <w:szCs w:val="18"/>
              </w:rPr>
              <w:t>　2101101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18"/>
                <w:szCs w:val="18"/>
              </w:rPr>
            </w:pPr>
            <w:r>
              <w:rPr>
                <w:rFonts w:hint="eastAsia"/>
                <w:sz w:val="18"/>
                <w:szCs w:val="18"/>
              </w:rPr>
              <w:t>　行政单位医疗</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lang w:val="en-US"/>
              </w:rPr>
            </w:pPr>
            <w:r>
              <w:rPr>
                <w:rFonts w:hint="eastAsia"/>
                <w:lang w:val="en-US" w:eastAsia="zh-CN"/>
              </w:rPr>
              <w:t>59.2</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59.2</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sz w:val="18"/>
                <w:szCs w:val="18"/>
              </w:rPr>
            </w:pPr>
            <w:r>
              <w:rPr>
                <w:rFonts w:hint="eastAsia"/>
                <w:sz w:val="18"/>
                <w:szCs w:val="18"/>
              </w:rPr>
              <w:t>　</w:t>
            </w:r>
            <w:r>
              <w:rPr>
                <w:rFonts w:hint="eastAsia"/>
                <w:sz w:val="18"/>
                <w:szCs w:val="18"/>
                <w:lang w:val="en-US" w:eastAsia="zh-CN"/>
              </w:rPr>
              <w:t>2010399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18"/>
                <w:szCs w:val="18"/>
              </w:rPr>
            </w:pPr>
            <w:r>
              <w:rPr>
                <w:rFonts w:hint="eastAsia"/>
                <w:sz w:val="18"/>
                <w:szCs w:val="18"/>
                <w:lang w:eastAsia="zh-CN"/>
              </w:rPr>
              <w:t>其他政府支出</w:t>
            </w:r>
            <w:r>
              <w:rPr>
                <w:rFonts w:hint="eastAsia"/>
                <w:sz w:val="18"/>
                <w:szCs w:val="18"/>
              </w:rPr>
              <w:t>　</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lang w:val="en-US"/>
              </w:rPr>
            </w:pPr>
            <w:r>
              <w:rPr>
                <w:rFonts w:hint="eastAsia"/>
                <w:lang w:val="en-US" w:eastAsia="zh-CN"/>
              </w:rPr>
              <w:t>33.5</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33.5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sz w:val="18"/>
                <w:szCs w:val="18"/>
              </w:rPr>
            </w:pPr>
            <w:r>
              <w:rPr>
                <w:rFonts w:hint="eastAsia"/>
                <w:sz w:val="18"/>
                <w:szCs w:val="18"/>
              </w:rPr>
              <w:t>　2010301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18"/>
                <w:szCs w:val="18"/>
              </w:rPr>
            </w:pPr>
            <w:r>
              <w:rPr>
                <w:rFonts w:hint="eastAsia"/>
                <w:sz w:val="18"/>
                <w:szCs w:val="18"/>
              </w:rPr>
              <w:t>　行政运行</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lang w:val="en-US"/>
              </w:rPr>
            </w:pPr>
            <w:r>
              <w:rPr>
                <w:rFonts w:hint="eastAsia"/>
                <w:lang w:val="en-US" w:eastAsia="zh-CN"/>
              </w:rPr>
              <w:t>927.8</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927.8</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sz w:val="18"/>
                <w:szCs w:val="18"/>
              </w:rPr>
            </w:pPr>
            <w:r>
              <w:rPr>
                <w:rFonts w:hint="eastAsia"/>
                <w:sz w:val="18"/>
                <w:szCs w:val="18"/>
              </w:rPr>
              <w:t>　2080505</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18"/>
                <w:szCs w:val="18"/>
              </w:rPr>
            </w:pPr>
            <w:r>
              <w:rPr>
                <w:rFonts w:hint="eastAsia"/>
                <w:sz w:val="18"/>
                <w:szCs w:val="18"/>
              </w:rPr>
              <w:t>　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lang w:val="en-US"/>
              </w:rPr>
            </w:pPr>
            <w:r>
              <w:rPr>
                <w:rFonts w:hint="eastAsia"/>
                <w:lang w:val="en-US" w:eastAsia="zh-CN"/>
              </w:rPr>
              <w:t>122</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122</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sz w:val="18"/>
                <w:szCs w:val="18"/>
              </w:rPr>
            </w:pPr>
            <w:r>
              <w:rPr>
                <w:rFonts w:hint="eastAsia"/>
                <w:sz w:val="18"/>
                <w:szCs w:val="18"/>
              </w:rPr>
              <w:t>　2129999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4"/>
                <w:szCs w:val="24"/>
              </w:rPr>
            </w:pPr>
            <w:r>
              <w:rPr>
                <w:rFonts w:hint="eastAsia"/>
              </w:rPr>
              <w:t>其他城乡社区支出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lang w:val="en-US"/>
              </w:rPr>
            </w:pPr>
            <w:r>
              <w:rPr>
                <w:rFonts w:hint="eastAsia"/>
                <w:lang w:val="en-US" w:eastAsia="zh-CN"/>
              </w:rPr>
              <w:t>392.6</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392.6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sz w:val="18"/>
                <w:szCs w:val="18"/>
              </w:rPr>
            </w:pPr>
            <w:r>
              <w:rPr>
                <w:rFonts w:hint="eastAsia"/>
                <w:sz w:val="18"/>
                <w:szCs w:val="18"/>
              </w:rPr>
              <w:t>　2080506</w:t>
            </w:r>
          </w:p>
        </w:tc>
        <w:tc>
          <w:tcPr>
            <w:tcW w:w="3527" w:type="dxa"/>
            <w:tcBorders>
              <w:top w:val="nil"/>
              <w:left w:val="nil"/>
              <w:bottom w:val="single" w:color="auto" w:sz="8" w:space="0"/>
              <w:right w:val="single" w:color="auto" w:sz="4" w:space="0"/>
            </w:tcBorders>
            <w:shd w:val="clear" w:color="auto" w:fill="auto"/>
            <w:vAlign w:val="center"/>
          </w:tcPr>
          <w:p>
            <w:pPr>
              <w:rPr>
                <w:rFonts w:ascii="宋体" w:hAnsi="宋体" w:eastAsia="宋体" w:cs="宋体"/>
                <w:sz w:val="24"/>
                <w:szCs w:val="24"/>
              </w:rPr>
            </w:pPr>
            <w:r>
              <w:rPr>
                <w:rFonts w:hint="eastAsia"/>
              </w:rPr>
              <w:t>职业年金缴费支出</w:t>
            </w:r>
          </w:p>
        </w:tc>
        <w:tc>
          <w:tcPr>
            <w:tcW w:w="3000" w:type="dxa"/>
            <w:tcBorders>
              <w:top w:val="nil"/>
              <w:left w:val="nil"/>
              <w:bottom w:val="single" w:color="auto" w:sz="8" w:space="0"/>
              <w:right w:val="single" w:color="auto" w:sz="4" w:space="0"/>
            </w:tcBorders>
            <w:shd w:val="clear" w:color="auto" w:fill="auto"/>
            <w:vAlign w:val="center"/>
          </w:tcPr>
          <w:p>
            <w:pPr>
              <w:jc w:val="center"/>
            </w:pPr>
            <w:r>
              <w:rPr>
                <w:rFonts w:hint="eastAsia"/>
                <w:lang w:val="en-US" w:eastAsia="zh-CN"/>
              </w:rPr>
              <w:t>20.3</w:t>
            </w:r>
            <w:r>
              <w:rPr>
                <w:rFonts w:hint="eastAsia"/>
              </w:rPr>
              <w:t>　</w:t>
            </w:r>
          </w:p>
        </w:tc>
        <w:tc>
          <w:tcPr>
            <w:tcW w:w="3492" w:type="dxa"/>
            <w:tcBorders>
              <w:top w:val="nil"/>
              <w:left w:val="nil"/>
              <w:bottom w:val="single" w:color="auto" w:sz="8"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20.3</w:t>
            </w:r>
          </w:p>
        </w:tc>
        <w:tc>
          <w:tcPr>
            <w:tcW w:w="3000" w:type="dxa"/>
            <w:tcBorders>
              <w:top w:val="nil"/>
              <w:left w:val="nil"/>
              <w:bottom w:val="single" w:color="auto" w:sz="8"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sz w:val="18"/>
                <w:szCs w:val="18"/>
              </w:rPr>
            </w:pPr>
          </w:p>
        </w:tc>
        <w:tc>
          <w:tcPr>
            <w:tcW w:w="3527" w:type="dxa"/>
            <w:tcBorders>
              <w:top w:val="nil"/>
              <w:left w:val="nil"/>
              <w:bottom w:val="single" w:color="auto" w:sz="8" w:space="0"/>
              <w:right w:val="single" w:color="auto" w:sz="4" w:space="0"/>
            </w:tcBorders>
            <w:shd w:val="clear" w:color="auto" w:fill="auto"/>
            <w:vAlign w:val="center"/>
          </w:tcPr>
          <w:p/>
        </w:tc>
        <w:tc>
          <w:tcPr>
            <w:tcW w:w="3000" w:type="dxa"/>
            <w:tcBorders>
              <w:top w:val="nil"/>
              <w:left w:val="nil"/>
              <w:bottom w:val="single" w:color="auto" w:sz="8" w:space="0"/>
              <w:right w:val="single" w:color="auto" w:sz="4" w:space="0"/>
            </w:tcBorders>
            <w:shd w:val="clear" w:color="auto" w:fill="auto"/>
            <w:vAlign w:val="center"/>
          </w:tcPr>
          <w:p>
            <w:pPr>
              <w:jc w:val="center"/>
            </w:pPr>
          </w:p>
        </w:tc>
        <w:tc>
          <w:tcPr>
            <w:tcW w:w="3492"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1"/>
        <w:tblW w:w="0" w:type="auto"/>
        <w:tblInd w:w="0" w:type="dxa"/>
        <w:tblLayout w:type="fixed"/>
        <w:tblCellMar>
          <w:top w:w="0" w:type="dxa"/>
          <w:left w:w="108" w:type="dxa"/>
          <w:bottom w:w="0" w:type="dxa"/>
          <w:right w:w="108" w:type="dxa"/>
        </w:tblCellMar>
      </w:tblPr>
      <w:tblGrid>
        <w:gridCol w:w="968"/>
        <w:gridCol w:w="238"/>
        <w:gridCol w:w="216"/>
        <w:gridCol w:w="1144"/>
        <w:gridCol w:w="1979"/>
        <w:gridCol w:w="220"/>
        <w:gridCol w:w="555"/>
        <w:gridCol w:w="1179"/>
        <w:gridCol w:w="305"/>
        <w:gridCol w:w="1929"/>
        <w:gridCol w:w="220"/>
        <w:gridCol w:w="555"/>
        <w:gridCol w:w="1180"/>
        <w:gridCol w:w="452"/>
        <w:gridCol w:w="2006"/>
        <w:gridCol w:w="1699"/>
        <w:gridCol w:w="472"/>
        <w:gridCol w:w="297"/>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道县西洲街道办事处</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42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12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7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7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3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7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15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lang w:val="en-US" w:eastAsia="zh-CN"/>
              </w:rPr>
              <w:t>878.9</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rPr>
            </w:pPr>
            <w:r>
              <w:rPr>
                <w:rFonts w:hint="eastAsia" w:ascii="宋体" w:hAnsi="宋体" w:eastAsia="宋体" w:cs="宋体"/>
                <w:color w:val="000000"/>
                <w:kern w:val="0"/>
                <w:sz w:val="16"/>
                <w:szCs w:val="16"/>
                <w:lang w:val="en-US" w:eastAsia="zh-CN"/>
              </w:rPr>
              <w:t>183.5</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355.4</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27.8</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127.4</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11.9</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32.9</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0.3</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136.4</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122</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5.5</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20.3</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59.2</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8.2</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4.2</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16.8</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10.1</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66.9</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p>
            <w:pPr>
              <w:pStyle w:val="9"/>
              <w:rPr>
                <w:rFonts w:hint="default"/>
                <w:lang w:val="en-US" w:eastAsia="zh-CN"/>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3.1</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64.6</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2.3</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7.5</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37.9</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21.4</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ascii="宋体" w:hAnsi="宋体" w:eastAsia="宋体" w:cs="宋体"/>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3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pPr>
              <w:widowControl/>
              <w:jc w:val="left"/>
              <w:rPr>
                <w:rFonts w:ascii="宋体" w:hAnsi="宋体" w:eastAsia="宋体" w:cs="宋体"/>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3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pPr>
              <w:widowControl/>
              <w:jc w:val="left"/>
              <w:rPr>
                <w:rFonts w:ascii="宋体" w:hAnsi="宋体" w:eastAsia="宋体" w:cs="宋体"/>
                <w:color w:val="000000"/>
                <w:kern w:val="0"/>
                <w:szCs w:val="20"/>
              </w:rPr>
            </w:pP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4.4</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39910</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21.8</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24.9</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4545"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945.8</w:t>
            </w:r>
          </w:p>
        </w:tc>
        <w:tc>
          <w:tcPr>
            <w:tcW w:w="9525"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rPr>
            </w:pPr>
            <w:r>
              <w:rPr>
                <w:rFonts w:hint="eastAsia" w:ascii="宋体" w:hAnsi="宋体" w:eastAsia="宋体" w:cs="宋体"/>
                <w:color w:val="000000"/>
                <w:kern w:val="0"/>
                <w:sz w:val="16"/>
                <w:szCs w:val="16"/>
                <w:lang w:val="en-US" w:eastAsia="zh-CN"/>
              </w:rPr>
              <w:t>183.5</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CellMar>
            <w:top w:w="0" w:type="dxa"/>
            <w:left w:w="108" w:type="dxa"/>
            <w:bottom w:w="0" w:type="dxa"/>
            <w:right w:w="108" w:type="dxa"/>
          </w:tblCellMar>
        </w:tblPrEx>
        <w:trPr>
          <w:gridAfter w:val="1"/>
          <w:wAfter w:w="297" w:type="dxa"/>
          <w:trHeight w:val="690" w:hRule="atLeast"/>
        </w:trPr>
        <w:tc>
          <w:tcPr>
            <w:tcW w:w="15317" w:type="dxa"/>
            <w:gridSpan w:val="17"/>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color w:val="000000"/>
                <w:kern w:val="0"/>
                <w:sz w:val="32"/>
                <w:szCs w:val="32"/>
              </w:rPr>
            </w:pPr>
          </w:p>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tblPrEx>
          <w:tblCellMar>
            <w:top w:w="0" w:type="dxa"/>
            <w:left w:w="108" w:type="dxa"/>
            <w:bottom w:w="0" w:type="dxa"/>
            <w:right w:w="108" w:type="dxa"/>
          </w:tblCellMar>
        </w:tblPrEx>
        <w:trPr>
          <w:gridAfter w:val="1"/>
          <w:wAfter w:w="297" w:type="dxa"/>
          <w:trHeight w:val="345" w:hRule="atLeast"/>
        </w:trPr>
        <w:tc>
          <w:tcPr>
            <w:tcW w:w="968"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38"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1360" w:type="dxa"/>
            <w:gridSpan w:val="2"/>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199"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39"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49"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87"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06"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71" w:type="dxa"/>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tblPrEx>
          <w:tblCellMar>
            <w:top w:w="0" w:type="dxa"/>
            <w:left w:w="108" w:type="dxa"/>
            <w:bottom w:w="0" w:type="dxa"/>
            <w:right w:w="108" w:type="dxa"/>
          </w:tblCellMar>
        </w:tblPrEx>
        <w:trPr>
          <w:gridAfter w:val="1"/>
          <w:wAfter w:w="297" w:type="dxa"/>
          <w:trHeight w:val="690" w:hRule="atLeast"/>
        </w:trPr>
        <w:tc>
          <w:tcPr>
            <w:tcW w:w="2566" w:type="dxa"/>
            <w:gridSpan w:val="4"/>
            <w:tcBorders>
              <w:top w:val="nil"/>
              <w:left w:val="nil"/>
              <w:bottom w:val="nil"/>
              <w:right w:val="nil"/>
            </w:tcBorders>
            <w:shd w:val="clear" w:color="auto" w:fill="FFFFFF"/>
            <w:noWrap/>
            <w:vAlign w:val="center"/>
          </w:tcPr>
          <w:p>
            <w:pPr>
              <w:jc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部门：道县西洲街道办事处</w:t>
            </w:r>
          </w:p>
        </w:tc>
        <w:tc>
          <w:tcPr>
            <w:tcW w:w="2199"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39"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49"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87"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06"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71" w:type="dxa"/>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297" w:type="dxa"/>
          <w:trHeight w:val="459" w:hRule="atLeast"/>
        </w:trPr>
        <w:tc>
          <w:tcPr>
            <w:tcW w:w="25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8"/>
                <w:rFonts w:hint="default"/>
              </w:rPr>
              <w:t xml:space="preserve">   </w:t>
            </w:r>
            <w:r>
              <w:rPr>
                <w:rStyle w:val="19"/>
                <w:rFonts w:hint="default"/>
              </w:rPr>
              <w:t>目</w:t>
            </w:r>
          </w:p>
        </w:tc>
        <w:tc>
          <w:tcPr>
            <w:tcW w:w="21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年初结转和结余</w:t>
            </w:r>
          </w:p>
        </w:tc>
        <w:tc>
          <w:tcPr>
            <w:tcW w:w="203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本年收入</w:t>
            </w:r>
          </w:p>
        </w:tc>
        <w:tc>
          <w:tcPr>
            <w:tcW w:w="634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c>
          <w:tcPr>
            <w:tcW w:w="217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年末结转和结余</w:t>
            </w:r>
          </w:p>
        </w:tc>
      </w:tr>
      <w:tr>
        <w:tblPrEx>
          <w:tblCellMar>
            <w:top w:w="0" w:type="dxa"/>
            <w:left w:w="108" w:type="dxa"/>
            <w:bottom w:w="0" w:type="dxa"/>
            <w:right w:w="108" w:type="dxa"/>
          </w:tblCellMar>
        </w:tblPrEx>
        <w:trPr>
          <w:gridAfter w:val="1"/>
          <w:wAfter w:w="297" w:type="dxa"/>
          <w:trHeight w:val="609" w:hRule="atLeast"/>
        </w:trPr>
        <w:tc>
          <w:tcPr>
            <w:tcW w:w="12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13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2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3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4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小计</w:t>
            </w:r>
          </w:p>
        </w:tc>
        <w:tc>
          <w:tcPr>
            <w:tcW w:w="21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2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c>
          <w:tcPr>
            <w:tcW w:w="21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409" w:hRule="atLeast"/>
        </w:trPr>
        <w:tc>
          <w:tcPr>
            <w:tcW w:w="12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3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2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3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25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4</w:t>
            </w: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5</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6</w:t>
            </w:r>
          </w:p>
        </w:tc>
      </w:tr>
      <w:tr>
        <w:tblPrEx>
          <w:tblCellMar>
            <w:top w:w="0" w:type="dxa"/>
            <w:left w:w="108" w:type="dxa"/>
            <w:bottom w:w="0" w:type="dxa"/>
            <w:right w:w="108" w:type="dxa"/>
          </w:tblCellMar>
        </w:tblPrEx>
        <w:trPr>
          <w:gridAfter w:val="1"/>
          <w:wAfter w:w="297" w:type="dxa"/>
          <w:trHeight w:val="509" w:hRule="atLeast"/>
        </w:trPr>
        <w:tc>
          <w:tcPr>
            <w:tcW w:w="25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5317"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楷体" w:hAnsi="楷体" w:eastAsia="楷体" w:cs="楷体"/>
                <w:b/>
                <w:bCs/>
                <w:kern w:val="0"/>
                <w:sz w:val="24"/>
                <w:szCs w:val="24"/>
              </w:rPr>
              <w:t>我单位没有政府性基金收入，也没有使用政府性基金安排的支出，故本表无数据。</w:t>
            </w:r>
          </w:p>
        </w:tc>
      </w:tr>
      <w:tr>
        <w:tblPrEx>
          <w:tblCellMar>
            <w:top w:w="0" w:type="dxa"/>
            <w:left w:w="108" w:type="dxa"/>
            <w:bottom w:w="0" w:type="dxa"/>
            <w:right w:w="108" w:type="dxa"/>
          </w:tblCellMar>
        </w:tblPrEx>
        <w:trPr>
          <w:gridAfter w:val="1"/>
          <w:wAfter w:w="297" w:type="dxa"/>
          <w:trHeight w:val="509" w:hRule="atLeast"/>
        </w:trPr>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725" w:hRule="atLeast"/>
        </w:trPr>
        <w:tc>
          <w:tcPr>
            <w:tcW w:w="15317" w:type="dxa"/>
            <w:gridSpan w:val="17"/>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注：本表反映部门本年度政府性基金预算财政拨款收入、支出及结转和结余情况。</w:t>
            </w:r>
          </w:p>
          <w:p>
            <w:pPr>
              <w:widowControl/>
              <w:jc w:val="left"/>
              <w:textAlignment w:val="center"/>
              <w:rPr>
                <w:rFonts w:ascii="宋体" w:hAnsi="宋体" w:eastAsia="宋体" w:cs="宋体"/>
                <w:color w:val="000000"/>
                <w:kern w:val="0"/>
                <w:sz w:val="24"/>
                <w:szCs w:val="24"/>
              </w:rPr>
            </w:pPr>
          </w:p>
          <w:p>
            <w:pPr>
              <w:widowControl/>
              <w:jc w:val="left"/>
              <w:textAlignment w:val="center"/>
              <w:rPr>
                <w:rFonts w:ascii="宋体" w:hAnsi="宋体" w:eastAsia="宋体" w:cs="宋体"/>
                <w:color w:val="000000"/>
                <w:kern w:val="0"/>
                <w:sz w:val="24"/>
                <w:szCs w:val="24"/>
              </w:rPr>
            </w:pPr>
          </w:p>
        </w:tc>
      </w:tr>
    </w:tbl>
    <w:p>
      <w:pPr>
        <w:widowControl/>
        <w:jc w:val="center"/>
        <w:rPr>
          <w:rFonts w:ascii="Times New Roman" w:hAnsi="Times New Roman" w:eastAsia="方正小标宋_GBK" w:cs="Times New Roman"/>
          <w:color w:val="000000"/>
          <w:kern w:val="0"/>
          <w:sz w:val="36"/>
          <w:szCs w:val="36"/>
        </w:rPr>
      </w:pPr>
    </w:p>
    <w:p>
      <w:pPr>
        <w:widowControl/>
        <w:jc w:val="center"/>
        <w:rPr>
          <w:rFonts w:ascii="Times New Roman" w:hAnsi="Times New Roman" w:eastAsia="方正小标宋_GBK" w:cs="Times New Roman"/>
          <w:color w:val="000000"/>
          <w:kern w:val="0"/>
          <w:sz w:val="36"/>
          <w:szCs w:val="36"/>
        </w:rPr>
      </w:pPr>
    </w:p>
    <w:tbl>
      <w:tblPr>
        <w:tblStyle w:val="11"/>
        <w:tblW w:w="15120" w:type="dxa"/>
        <w:tblInd w:w="93" w:type="dxa"/>
        <w:tblLayout w:type="autofit"/>
        <w:tblCellMar>
          <w:top w:w="0" w:type="dxa"/>
          <w:left w:w="108" w:type="dxa"/>
          <w:bottom w:w="0" w:type="dxa"/>
          <w:right w:w="108" w:type="dxa"/>
        </w:tblCellMar>
      </w:tblPr>
      <w:tblGrid>
        <w:gridCol w:w="2616"/>
        <w:gridCol w:w="645"/>
        <w:gridCol w:w="2076"/>
        <w:gridCol w:w="2979"/>
        <w:gridCol w:w="2979"/>
        <w:gridCol w:w="3825"/>
      </w:tblGrid>
      <w:tr>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国有资本经营预算财政拨款支出决算表</w:t>
            </w:r>
          </w:p>
        </w:tc>
      </w:tr>
      <w:tr>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701"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tblPrEx>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部门：道县西洲街道办事处</w:t>
            </w:r>
          </w:p>
        </w:tc>
        <w:tc>
          <w:tcPr>
            <w:tcW w:w="701"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Fonts w:hint="eastAsia" w:ascii="宋体" w:hAnsi="宋体" w:eastAsia="宋体" w:cs="宋体"/>
                <w:color w:val="000000"/>
                <w:kern w:val="0"/>
                <w:sz w:val="22"/>
              </w:rPr>
              <w:t xml:space="preserve">   </w:t>
            </w:r>
            <w:r>
              <w:rPr>
                <w:rStyle w:val="20"/>
                <w:rFonts w:hint="default"/>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r>
      <w:tr>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15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楷体" w:hAnsi="楷体" w:eastAsia="楷体" w:cs="楷体"/>
                <w:b/>
                <w:bCs/>
                <w:kern w:val="0"/>
                <w:sz w:val="24"/>
                <w:szCs w:val="24"/>
              </w:rPr>
              <w:t>我单位没有使用国有资本经营预算安排的支出，故本表无数据。</w:t>
            </w: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注：本表反映部门本年度国有资本经营预算财政拨款支出情况。</w:t>
            </w:r>
          </w:p>
          <w:p>
            <w:pPr>
              <w:widowControl/>
              <w:jc w:val="left"/>
              <w:textAlignment w:val="center"/>
              <w:rPr>
                <w:rFonts w:ascii="宋体" w:hAnsi="宋体" w:eastAsia="宋体" w:cs="宋体"/>
                <w:color w:val="000000"/>
                <w:kern w:val="0"/>
                <w:sz w:val="24"/>
                <w:szCs w:val="24"/>
              </w:rPr>
            </w:pPr>
          </w:p>
          <w:p>
            <w:pPr>
              <w:widowControl/>
              <w:jc w:val="left"/>
              <w:textAlignment w:val="center"/>
              <w:rPr>
                <w:rFonts w:ascii="宋体" w:hAnsi="宋体" w:eastAsia="宋体" w:cs="宋体"/>
                <w:color w:val="000000"/>
                <w:kern w:val="0"/>
                <w:sz w:val="24"/>
                <w:szCs w:val="24"/>
              </w:rPr>
            </w:pPr>
          </w:p>
        </w:tc>
      </w:tr>
    </w:tbl>
    <w:p>
      <w:pPr>
        <w:widowControl/>
        <w:jc w:val="center"/>
        <w:rPr>
          <w:rFonts w:ascii="Times New Roman" w:hAnsi="Times New Roman" w:eastAsia="方正小标宋_GBK" w:cs="Times New Roman"/>
          <w:color w:val="000000"/>
          <w:kern w:val="0"/>
          <w:sz w:val="36"/>
          <w:szCs w:val="36"/>
        </w:rPr>
      </w:pPr>
    </w:p>
    <w:tbl>
      <w:tblPr>
        <w:tblStyle w:val="11"/>
        <w:tblW w:w="15140" w:type="dxa"/>
        <w:tblInd w:w="93" w:type="dxa"/>
        <w:tblLayout w:type="autofit"/>
        <w:tblCellMar>
          <w:top w:w="0" w:type="dxa"/>
          <w:left w:w="108" w:type="dxa"/>
          <w:bottom w:w="0" w:type="dxa"/>
          <w:right w:w="108" w:type="dxa"/>
        </w:tblCellMar>
      </w:tblPr>
      <w:tblGrid>
        <w:gridCol w:w="2616"/>
        <w:gridCol w:w="1185"/>
        <w:gridCol w:w="1120"/>
        <w:gridCol w:w="1098"/>
        <w:gridCol w:w="1120"/>
        <w:gridCol w:w="1098"/>
        <w:gridCol w:w="1120"/>
        <w:gridCol w:w="1185"/>
        <w:gridCol w:w="1120"/>
        <w:gridCol w:w="1098"/>
        <w:gridCol w:w="1120"/>
        <w:gridCol w:w="1260"/>
      </w:tblGrid>
      <w:tr>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widowControl/>
              <w:textAlignment w:val="center"/>
              <w:rPr>
                <w:rFonts w:ascii="华文中宋" w:hAnsi="华文中宋" w:eastAsia="华文中宋" w:cs="华文中宋"/>
                <w:color w:val="000000"/>
                <w:kern w:val="0"/>
                <w:sz w:val="32"/>
                <w:szCs w:val="32"/>
              </w:rPr>
            </w:pPr>
          </w:p>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财政拨款“三公”经费支出决算表</w:t>
            </w:r>
          </w:p>
        </w:tc>
      </w:tr>
      <w:tr>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部门：道县西洲街道办事处</w:t>
            </w: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sz w:val="22"/>
              </w:rPr>
              <w:t>4.5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4.4</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r>
      <w:tr>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5"/>
        <w:rPr>
          <w:sz w:val="72"/>
          <w:szCs w:val="72"/>
        </w:rPr>
      </w:pPr>
    </w:p>
    <w:p>
      <w:pPr>
        <w:pStyle w:val="15"/>
        <w:rPr>
          <w:sz w:val="72"/>
          <w:szCs w:val="72"/>
        </w:rPr>
      </w:pPr>
    </w:p>
    <w:p>
      <w:pPr>
        <w:pStyle w:val="15"/>
        <w:rPr>
          <w:sz w:val="72"/>
          <w:szCs w:val="72"/>
        </w:rPr>
      </w:pPr>
    </w:p>
    <w:p>
      <w:pPr>
        <w:pStyle w:val="15"/>
        <w:rPr>
          <w:sz w:val="72"/>
          <w:szCs w:val="72"/>
        </w:rPr>
      </w:pPr>
    </w:p>
    <w:p>
      <w:pPr>
        <w:pStyle w:val="15"/>
        <w:jc w:val="center"/>
        <w:rPr>
          <w:sz w:val="72"/>
          <w:szCs w:val="72"/>
        </w:rPr>
      </w:pP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5"/>
        <w:jc w:val="center"/>
        <w:rPr>
          <w:rFonts w:ascii="方正小标宋_GBK" w:hAnsi="方正小标宋_GBK" w:eastAsia="方正小标宋_GBK" w:cs="方正小标宋_GBK"/>
          <w:sz w:val="70"/>
          <w:szCs w:val="70"/>
        </w:rPr>
      </w:pPr>
    </w:p>
    <w:p>
      <w:pPr>
        <w:pStyle w:val="15"/>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pPr>
        <w:pStyle w:val="15"/>
        <w:spacing w:line="600" w:lineRule="exact"/>
        <w:ind w:firstLine="640" w:firstLineChars="200"/>
        <w:rPr>
          <w:rFonts w:hAnsi="黑体"/>
          <w:bCs/>
          <w:sz w:val="32"/>
          <w:szCs w:val="32"/>
        </w:rPr>
      </w:pPr>
      <w:r>
        <w:rPr>
          <w:rFonts w:hint="eastAsia" w:hAnsi="黑体"/>
          <w:bCs/>
          <w:sz w:val="32"/>
          <w:szCs w:val="32"/>
        </w:rPr>
        <w:t>一、收入支出决算总体情况说明</w:t>
      </w:r>
    </w:p>
    <w:p>
      <w:pPr>
        <w:pStyle w:val="15"/>
        <w:spacing w:line="600" w:lineRule="exact"/>
        <w:ind w:left="420" w:firstLine="217" w:firstLineChars="68"/>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1555.4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56.48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城乡社区支出项目减少</w:t>
      </w:r>
      <w:r>
        <w:rPr>
          <w:rFonts w:hint="eastAsia" w:ascii="Times New Roman" w:hAnsi="Times New Roman" w:eastAsia="仿宋_GB2312"/>
          <w:sz w:val="32"/>
          <w:szCs w:val="32"/>
        </w:rPr>
        <w:t>。</w:t>
      </w:r>
    </w:p>
    <w:p>
      <w:pPr>
        <w:pStyle w:val="15"/>
        <w:spacing w:line="600" w:lineRule="exact"/>
        <w:ind w:left="420" w:firstLine="217" w:firstLineChars="68"/>
        <w:rPr>
          <w:rFonts w:hAnsi="黑体"/>
          <w:bCs/>
          <w:sz w:val="32"/>
          <w:szCs w:val="32"/>
        </w:rPr>
      </w:pPr>
      <w:r>
        <w:rPr>
          <w:rFonts w:hint="eastAsia" w:hAnsi="黑体"/>
          <w:bCs/>
          <w:sz w:val="32"/>
          <w:szCs w:val="32"/>
        </w:rPr>
        <w:t>二、收入决算情况说明</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1555.4</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1555.4</w:t>
      </w:r>
      <w:r>
        <w:rPr>
          <w:rFonts w:hint="eastAsia" w:ascii="Times New Roman" w:hAnsi="Times New Roman" w:eastAsia="仿宋_GB2312"/>
          <w:sz w:val="32"/>
          <w:szCs w:val="32"/>
        </w:rPr>
        <w:t>万元，占100%；上级补助收入0万元，占0%；事业收入0万元，占0%；经营收入0万元，占0%；附属单位上缴收入0万元，占0%；其他收入0万元，占0%。</w:t>
      </w:r>
    </w:p>
    <w:p>
      <w:pPr>
        <w:pStyle w:val="15"/>
        <w:spacing w:line="600" w:lineRule="exact"/>
        <w:ind w:firstLine="640" w:firstLineChars="200"/>
        <w:rPr>
          <w:rFonts w:hAnsi="黑体"/>
          <w:bCs/>
          <w:sz w:val="32"/>
          <w:szCs w:val="32"/>
        </w:rPr>
      </w:pPr>
      <w:r>
        <w:rPr>
          <w:rFonts w:hint="eastAsia" w:hAnsi="黑体"/>
          <w:bCs/>
          <w:sz w:val="32"/>
          <w:szCs w:val="32"/>
        </w:rPr>
        <w:t>三、支出决算情况说明</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1555.4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1129.3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73</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426.1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27</w:t>
      </w:r>
      <w:r>
        <w:rPr>
          <w:rFonts w:hint="eastAsia" w:ascii="Times New Roman" w:hAnsi="Times New Roman" w:eastAsia="仿宋_GB2312"/>
          <w:sz w:val="32"/>
          <w:szCs w:val="32"/>
        </w:rPr>
        <w:t>%；上缴上级支出0万元，占0%；经营支出0万元，占0%；对附属单位补助支出0万元，占0%。</w:t>
      </w:r>
    </w:p>
    <w:p>
      <w:pPr>
        <w:pStyle w:val="15"/>
        <w:spacing w:line="600" w:lineRule="exact"/>
        <w:ind w:firstLine="640" w:firstLineChars="200"/>
        <w:rPr>
          <w:rFonts w:hAnsi="黑体"/>
          <w:bCs/>
          <w:sz w:val="32"/>
          <w:szCs w:val="32"/>
        </w:rPr>
      </w:pPr>
      <w:r>
        <w:rPr>
          <w:rFonts w:hint="eastAsia" w:hAnsi="黑体"/>
          <w:bCs/>
          <w:sz w:val="32"/>
          <w:szCs w:val="32"/>
        </w:rPr>
        <w:t>四、财政拨款收入支出决算总体情况说明</w:t>
      </w:r>
    </w:p>
    <w:p>
      <w:pPr>
        <w:pStyle w:val="15"/>
        <w:spacing w:line="600" w:lineRule="exact"/>
        <w:ind w:left="420" w:firstLine="217" w:firstLineChars="68"/>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1555.4</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56.48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城乡社区支出项目减少</w:t>
      </w:r>
      <w:r>
        <w:rPr>
          <w:rFonts w:hint="eastAsia" w:ascii="Times New Roman" w:hAnsi="Times New Roman" w:eastAsia="仿宋_GB2312"/>
          <w:sz w:val="32"/>
          <w:szCs w:val="32"/>
        </w:rPr>
        <w:t>。</w:t>
      </w:r>
    </w:p>
    <w:p>
      <w:pPr>
        <w:pStyle w:val="15"/>
        <w:spacing w:line="600" w:lineRule="exact"/>
        <w:ind w:firstLine="640" w:firstLineChars="200"/>
        <w:rPr>
          <w:rFonts w:hAnsi="黑体"/>
          <w:bCs/>
          <w:sz w:val="32"/>
          <w:szCs w:val="32"/>
        </w:rPr>
      </w:pPr>
      <w:r>
        <w:rPr>
          <w:rFonts w:hint="eastAsia" w:hAnsi="黑体"/>
          <w:bCs/>
          <w:sz w:val="32"/>
          <w:szCs w:val="32"/>
        </w:rPr>
        <w:t>五、一般公共预算财政拨款支出决算情况说明</w:t>
      </w:r>
    </w:p>
    <w:p>
      <w:pPr>
        <w:pStyle w:val="15"/>
        <w:spacing w:line="600" w:lineRule="exact"/>
        <w:ind w:firstLine="640" w:firstLineChars="200"/>
        <w:rPr>
          <w:rFonts w:ascii="楷体" w:hAnsi="楷体" w:eastAsia="楷体" w:cs="楷体"/>
          <w:bCs/>
          <w:sz w:val="32"/>
          <w:szCs w:val="32"/>
        </w:rPr>
      </w:pPr>
      <w:r>
        <w:rPr>
          <w:rFonts w:hint="eastAsia" w:ascii="楷体" w:hAnsi="楷体" w:eastAsia="楷体" w:cs="楷体"/>
          <w:bCs/>
          <w:sz w:val="32"/>
          <w:szCs w:val="32"/>
        </w:rPr>
        <w:t>（一）一般公共预算财政拨款支出决算总体情况</w:t>
      </w:r>
    </w:p>
    <w:p>
      <w:pPr>
        <w:pStyle w:val="15"/>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1555.4</w:t>
      </w:r>
      <w:r>
        <w:rPr>
          <w:rFonts w:hint="eastAsia" w:ascii="Times New Roman" w:hAnsi="Times New Roman" w:eastAsia="仿宋_GB2312"/>
          <w:sz w:val="32"/>
          <w:szCs w:val="32"/>
        </w:rPr>
        <w:t>万元，占本年支出合计的100%，与上年相比，财政拨款支出</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56.48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城乡社区支出项目减少</w:t>
      </w:r>
      <w:r>
        <w:rPr>
          <w:rFonts w:hint="eastAsia" w:ascii="Times New Roman" w:hAnsi="Times New Roman" w:eastAsia="仿宋_GB2312"/>
          <w:sz w:val="32"/>
          <w:szCs w:val="32"/>
        </w:rPr>
        <w:t>。</w:t>
      </w:r>
    </w:p>
    <w:p>
      <w:pPr>
        <w:pStyle w:val="15"/>
        <w:spacing w:line="600" w:lineRule="exact"/>
        <w:ind w:firstLine="800" w:firstLineChars="250"/>
        <w:rPr>
          <w:rFonts w:ascii="楷体" w:hAnsi="楷体" w:eastAsia="楷体" w:cs="楷体"/>
          <w:bCs/>
          <w:sz w:val="32"/>
          <w:szCs w:val="32"/>
        </w:rPr>
      </w:pPr>
      <w:r>
        <w:rPr>
          <w:rFonts w:hint="eastAsia" w:ascii="楷体" w:hAnsi="楷体" w:eastAsia="楷体" w:cs="楷体"/>
          <w:bCs/>
          <w:sz w:val="32"/>
          <w:szCs w:val="32"/>
        </w:rPr>
        <w:t>（二）一般公共预算财政拨款支出决算结构情况</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1555.4</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961.3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62</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142.3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59.2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%；城乡社区（类）支出</w:t>
      </w:r>
      <w:r>
        <w:rPr>
          <w:rFonts w:hint="eastAsia" w:ascii="Times New Roman" w:hAnsi="Times New Roman" w:eastAsia="仿宋_GB2312"/>
          <w:sz w:val="32"/>
          <w:szCs w:val="32"/>
          <w:lang w:val="en-US" w:eastAsia="zh-CN"/>
        </w:rPr>
        <w:t>392.6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w:t>
      </w:r>
    </w:p>
    <w:p>
      <w:pPr>
        <w:pStyle w:val="15"/>
        <w:spacing w:line="600" w:lineRule="exact"/>
        <w:ind w:firstLine="800" w:firstLineChars="250"/>
        <w:rPr>
          <w:rFonts w:ascii="楷体" w:hAnsi="楷体" w:eastAsia="楷体" w:cs="楷体"/>
          <w:bCs/>
          <w:sz w:val="32"/>
          <w:szCs w:val="32"/>
        </w:rPr>
      </w:pPr>
      <w:r>
        <w:rPr>
          <w:rFonts w:hint="eastAsia" w:ascii="楷体" w:hAnsi="楷体" w:eastAsia="楷体" w:cs="楷体"/>
          <w:bCs/>
          <w:sz w:val="32"/>
          <w:szCs w:val="32"/>
        </w:rPr>
        <w:t>（三）一般公共预算财政拨款支出决算具体情况</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1523.2</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1555.4</w:t>
      </w:r>
      <w:r>
        <w:rPr>
          <w:rFonts w:hint="eastAsia" w:ascii="Times New Roman" w:hAnsi="Times New Roman" w:eastAsia="仿宋_GB2312"/>
          <w:sz w:val="32"/>
          <w:szCs w:val="32"/>
        </w:rPr>
        <w:t>万元，完成年初预算的100%，其中：</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1、卫生健康支出（类）医疗保障管理事务（款）医疗保障经办事务（项）</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59.2</w:t>
      </w:r>
      <w:r>
        <w:rPr>
          <w:rFonts w:hint="eastAsia" w:ascii="Times New Roman" w:hAnsi="Times New Roman" w:eastAsia="仿宋_GB2312"/>
          <w:sz w:val="32"/>
          <w:szCs w:val="32"/>
        </w:rPr>
        <w:t>万元，完成年初预算的100%。</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、一般公共服务（类）政府办公厅（室）及相关机构事务（款）行政运行（项）年初预算为</w:t>
      </w:r>
      <w:r>
        <w:rPr>
          <w:rFonts w:hint="eastAsia" w:ascii="Times New Roman" w:hAnsi="Times New Roman" w:eastAsia="仿宋_GB2312"/>
          <w:sz w:val="32"/>
          <w:szCs w:val="32"/>
          <w:lang w:val="en-US" w:eastAsia="zh-CN"/>
        </w:rPr>
        <w:t>934.2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961.3</w:t>
      </w:r>
      <w:r>
        <w:rPr>
          <w:rFonts w:hint="eastAsia" w:ascii="Times New Roman" w:hAnsi="Times New Roman" w:eastAsia="仿宋_GB2312"/>
          <w:sz w:val="32"/>
          <w:szCs w:val="32"/>
        </w:rPr>
        <w:t>万元，完成年初预算的100%。</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、社会保障和就业支出（类）行政事业单位养老支出（款）</w:t>
      </w:r>
      <w:r>
        <w:rPr>
          <w:rFonts w:ascii="Times New Roman" w:hAnsi="Times New Roman" w:eastAsia="仿宋_GB2312"/>
          <w:sz w:val="32"/>
          <w:szCs w:val="32"/>
        </w:rPr>
        <w:t>机关事业单位基本养老保险缴费支出</w:t>
      </w:r>
      <w:r>
        <w:rPr>
          <w:rFonts w:hint="eastAsia" w:ascii="Times New Roman" w:hAnsi="Times New Roman" w:eastAsia="仿宋_GB2312"/>
          <w:sz w:val="32"/>
          <w:szCs w:val="32"/>
        </w:rPr>
        <w:t>（项）年初预算为</w:t>
      </w:r>
      <w:r>
        <w:rPr>
          <w:rFonts w:hint="eastAsia" w:ascii="Times New Roman" w:hAnsi="Times New Roman" w:eastAsia="仿宋_GB2312"/>
          <w:sz w:val="32"/>
          <w:szCs w:val="32"/>
          <w:lang w:val="en-US" w:eastAsia="zh-CN"/>
        </w:rPr>
        <w:t>140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142.3</w:t>
      </w:r>
      <w:r>
        <w:rPr>
          <w:rFonts w:hint="eastAsia" w:ascii="Times New Roman" w:hAnsi="Times New Roman" w:eastAsia="仿宋_GB2312"/>
          <w:sz w:val="32"/>
          <w:szCs w:val="32"/>
        </w:rPr>
        <w:t>万元，完成年初预算的100%。</w:t>
      </w:r>
    </w:p>
    <w:p>
      <w:pPr>
        <w:pStyle w:val="15"/>
        <w:spacing w:line="600" w:lineRule="exact"/>
        <w:ind w:left="525" w:leftChars="250" w:firstLine="320" w:firstLineChars="100"/>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、农林水支出（类）农村综合改革（款）其他城乡社区支出（项）</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390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392.6</w:t>
      </w:r>
      <w:r>
        <w:rPr>
          <w:rFonts w:hint="eastAsia" w:ascii="Times New Roman" w:hAnsi="Times New Roman" w:eastAsia="仿宋_GB2312"/>
          <w:sz w:val="32"/>
          <w:szCs w:val="32"/>
        </w:rPr>
        <w:t>万元，完成年初预算的100%。</w:t>
      </w:r>
    </w:p>
    <w:p>
      <w:pPr>
        <w:pStyle w:val="15"/>
        <w:spacing w:line="600" w:lineRule="exact"/>
        <w:ind w:firstLine="640" w:firstLineChars="200"/>
        <w:rPr>
          <w:rFonts w:hAnsi="黑体"/>
          <w:bCs/>
          <w:sz w:val="32"/>
          <w:szCs w:val="32"/>
        </w:rPr>
      </w:pPr>
      <w:r>
        <w:rPr>
          <w:rFonts w:hint="eastAsia" w:hAnsi="黑体"/>
          <w:bCs/>
          <w:sz w:val="32"/>
          <w:szCs w:val="32"/>
        </w:rPr>
        <w:t>六、一般公共预算财政拨款基本支出决算情况说明</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1129.3</w:t>
      </w:r>
      <w:r>
        <w:rPr>
          <w:rFonts w:hint="eastAsia" w:ascii="Times New Roman" w:hAnsi="Times New Roman" w:eastAsia="仿宋_GB2312"/>
          <w:sz w:val="32"/>
          <w:szCs w:val="32"/>
        </w:rPr>
        <w:t>万元，其中：</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945.8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84</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355.4</w:t>
      </w:r>
      <w:r>
        <w:rPr>
          <w:rFonts w:hint="eastAsia" w:ascii="Times New Roman" w:hAnsi="Times New Roman" w:eastAsia="仿宋_GB2312"/>
          <w:sz w:val="32"/>
          <w:szCs w:val="32"/>
        </w:rPr>
        <w:t>万元、津贴补贴</w:t>
      </w:r>
      <w:r>
        <w:rPr>
          <w:rFonts w:hint="eastAsia" w:ascii="Times New Roman" w:hAnsi="Times New Roman" w:eastAsia="仿宋_GB2312"/>
          <w:sz w:val="32"/>
          <w:szCs w:val="32"/>
          <w:lang w:val="en-US" w:eastAsia="zh-CN"/>
        </w:rPr>
        <w:t>127.4</w:t>
      </w:r>
      <w:r>
        <w:rPr>
          <w:rFonts w:hint="eastAsia" w:ascii="Times New Roman" w:hAnsi="Times New Roman" w:eastAsia="仿宋_GB2312"/>
          <w:sz w:val="32"/>
          <w:szCs w:val="32"/>
        </w:rPr>
        <w:t>万元、奖金</w:t>
      </w:r>
      <w:r>
        <w:rPr>
          <w:rFonts w:hint="eastAsia" w:ascii="Times New Roman" w:hAnsi="Times New Roman" w:eastAsia="仿宋_GB2312"/>
          <w:sz w:val="32"/>
          <w:szCs w:val="32"/>
          <w:lang w:val="en-US" w:eastAsia="zh-CN"/>
        </w:rPr>
        <w:t>32.9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伙食补助费</w:t>
      </w:r>
      <w:r>
        <w:rPr>
          <w:rFonts w:hint="eastAsia" w:ascii="Times New Roman" w:hAnsi="Times New Roman" w:eastAsia="仿宋_GB2312"/>
          <w:sz w:val="32"/>
          <w:szCs w:val="32"/>
          <w:lang w:val="en-US" w:eastAsia="zh-CN"/>
        </w:rPr>
        <w:t>0.3万元、</w:t>
      </w:r>
      <w:r>
        <w:rPr>
          <w:rFonts w:hint="eastAsia" w:ascii="Times New Roman" w:hAnsi="Times New Roman" w:eastAsia="仿宋_GB2312"/>
          <w:sz w:val="32"/>
          <w:szCs w:val="32"/>
        </w:rPr>
        <w:t>绩效工资1</w:t>
      </w:r>
      <w:r>
        <w:rPr>
          <w:rFonts w:hint="eastAsia" w:ascii="Times New Roman" w:hAnsi="Times New Roman" w:eastAsia="仿宋_GB2312"/>
          <w:sz w:val="32"/>
          <w:szCs w:val="32"/>
          <w:lang w:val="en-US" w:eastAsia="zh-CN"/>
        </w:rPr>
        <w:t>36.4</w:t>
      </w:r>
      <w:r>
        <w:rPr>
          <w:rFonts w:hint="eastAsia" w:ascii="Times New Roman" w:hAnsi="Times New Roman" w:eastAsia="仿宋_GB2312"/>
          <w:sz w:val="32"/>
          <w:szCs w:val="32"/>
        </w:rPr>
        <w:t>万元、养老保险1</w:t>
      </w:r>
      <w:r>
        <w:rPr>
          <w:rFonts w:hint="eastAsia" w:ascii="Times New Roman" w:hAnsi="Times New Roman" w:eastAsia="仿宋_GB2312"/>
          <w:sz w:val="32"/>
          <w:szCs w:val="32"/>
          <w:lang w:val="en-US" w:eastAsia="zh-CN"/>
        </w:rPr>
        <w:t>22</w:t>
      </w:r>
      <w:r>
        <w:rPr>
          <w:rFonts w:hint="eastAsia" w:ascii="Times New Roman" w:hAnsi="Times New Roman" w:eastAsia="仿宋_GB2312"/>
          <w:sz w:val="32"/>
          <w:szCs w:val="32"/>
        </w:rPr>
        <w:t>万元、职业年金缴费</w:t>
      </w:r>
      <w:r>
        <w:rPr>
          <w:rFonts w:hint="eastAsia" w:ascii="Times New Roman" w:hAnsi="Times New Roman" w:eastAsia="仿宋_GB2312"/>
          <w:sz w:val="32"/>
          <w:szCs w:val="32"/>
          <w:lang w:val="en-US" w:eastAsia="zh-CN"/>
        </w:rPr>
        <w:t>20.3</w:t>
      </w:r>
      <w:r>
        <w:rPr>
          <w:rFonts w:hint="eastAsia" w:ascii="Times New Roman" w:hAnsi="Times New Roman" w:eastAsia="仿宋_GB2312"/>
          <w:sz w:val="32"/>
          <w:szCs w:val="32"/>
        </w:rPr>
        <w:t>万元、医疗保险</w:t>
      </w:r>
      <w:r>
        <w:rPr>
          <w:rFonts w:hint="eastAsia" w:ascii="Times New Roman" w:hAnsi="Times New Roman" w:eastAsia="仿宋_GB2312"/>
          <w:sz w:val="32"/>
          <w:szCs w:val="32"/>
          <w:lang w:val="en-US" w:eastAsia="zh-CN"/>
        </w:rPr>
        <w:t>59.2</w:t>
      </w:r>
      <w:r>
        <w:rPr>
          <w:rFonts w:hint="eastAsia" w:ascii="Times New Roman" w:hAnsi="Times New Roman" w:eastAsia="仿宋_GB2312"/>
          <w:sz w:val="32"/>
          <w:szCs w:val="32"/>
        </w:rPr>
        <w:t>万元、其他社会保障缴费</w:t>
      </w:r>
      <w:r>
        <w:rPr>
          <w:rFonts w:hint="eastAsia" w:ascii="Times New Roman" w:hAnsi="Times New Roman" w:eastAsia="仿宋_GB2312"/>
          <w:sz w:val="32"/>
          <w:szCs w:val="32"/>
          <w:lang w:val="en-US" w:eastAsia="zh-CN"/>
        </w:rPr>
        <w:t>8.2</w:t>
      </w:r>
      <w:r>
        <w:rPr>
          <w:rFonts w:hint="eastAsia" w:ascii="Times New Roman" w:hAnsi="Times New Roman" w:eastAsia="仿宋_GB2312"/>
          <w:sz w:val="32"/>
          <w:szCs w:val="32"/>
        </w:rPr>
        <w:t>万元、住房公积金</w:t>
      </w:r>
      <w:r>
        <w:rPr>
          <w:rFonts w:hint="eastAsia" w:ascii="Times New Roman" w:hAnsi="Times New Roman" w:eastAsia="仿宋_GB2312"/>
          <w:sz w:val="32"/>
          <w:szCs w:val="32"/>
          <w:lang w:val="en-US" w:eastAsia="zh-CN"/>
        </w:rPr>
        <w:t>16.8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生活补助</w:t>
      </w:r>
      <w:r>
        <w:rPr>
          <w:rFonts w:hint="eastAsia" w:ascii="Times New Roman" w:hAnsi="Times New Roman" w:eastAsia="仿宋_GB2312"/>
          <w:sz w:val="32"/>
          <w:szCs w:val="32"/>
          <w:lang w:val="en-US" w:eastAsia="zh-CN"/>
        </w:rPr>
        <w:t>64.6万元、</w:t>
      </w:r>
      <w:r>
        <w:rPr>
          <w:rFonts w:hint="eastAsia" w:ascii="Times New Roman" w:hAnsi="Times New Roman" w:eastAsia="仿宋_GB2312"/>
          <w:sz w:val="32"/>
          <w:szCs w:val="32"/>
        </w:rPr>
        <w:t>救济费</w:t>
      </w:r>
      <w:r>
        <w:rPr>
          <w:rFonts w:hint="eastAsia" w:ascii="Times New Roman" w:hAnsi="Times New Roman" w:eastAsia="仿宋_GB2312"/>
          <w:sz w:val="32"/>
          <w:szCs w:val="32"/>
          <w:lang w:val="en-US" w:eastAsia="zh-CN"/>
        </w:rPr>
        <w:t>2.3</w:t>
      </w:r>
      <w:r>
        <w:rPr>
          <w:rFonts w:hint="eastAsia" w:ascii="Times New Roman" w:hAnsi="Times New Roman" w:eastAsia="仿宋_GB2312"/>
          <w:sz w:val="32"/>
          <w:szCs w:val="32"/>
        </w:rPr>
        <w:t>万元。</w:t>
      </w:r>
    </w:p>
    <w:p>
      <w:pPr>
        <w:pStyle w:val="15"/>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183.5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27.8</w:t>
      </w:r>
      <w:r>
        <w:rPr>
          <w:rFonts w:hint="eastAsia" w:ascii="Times New Roman" w:hAnsi="Times New Roman" w:eastAsia="仿宋_GB2312"/>
          <w:sz w:val="32"/>
          <w:szCs w:val="32"/>
        </w:rPr>
        <w:t>万元、印刷费</w:t>
      </w:r>
      <w:r>
        <w:rPr>
          <w:rFonts w:hint="eastAsia" w:ascii="Times New Roman" w:hAnsi="Times New Roman" w:eastAsia="仿宋_GB2312"/>
          <w:sz w:val="32"/>
          <w:szCs w:val="32"/>
          <w:lang w:val="en-US" w:eastAsia="zh-CN"/>
        </w:rPr>
        <w:t>11.9</w:t>
      </w:r>
      <w:r>
        <w:rPr>
          <w:rFonts w:hint="eastAsia" w:ascii="Times New Roman" w:hAnsi="Times New Roman" w:eastAsia="仿宋_GB2312"/>
          <w:sz w:val="32"/>
          <w:szCs w:val="32"/>
        </w:rPr>
        <w:t>万元、水费</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万元、电费</w:t>
      </w:r>
      <w:r>
        <w:rPr>
          <w:rFonts w:hint="eastAsia" w:ascii="Times New Roman" w:hAnsi="Times New Roman" w:eastAsia="仿宋_GB2312"/>
          <w:sz w:val="32"/>
          <w:szCs w:val="32"/>
          <w:lang w:val="en-US" w:eastAsia="zh-CN"/>
        </w:rPr>
        <w:t>5.5</w:t>
      </w:r>
      <w:r>
        <w:rPr>
          <w:rFonts w:hint="eastAsia" w:ascii="Times New Roman" w:hAnsi="Times New Roman" w:eastAsia="仿宋_GB2312"/>
          <w:sz w:val="32"/>
          <w:szCs w:val="32"/>
        </w:rPr>
        <w:t>万元、邮电费</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万元、差旅费</w:t>
      </w:r>
      <w:r>
        <w:rPr>
          <w:rFonts w:hint="eastAsia" w:ascii="Times New Roman" w:hAnsi="Times New Roman" w:eastAsia="仿宋_GB2312"/>
          <w:sz w:val="32"/>
          <w:szCs w:val="32"/>
          <w:lang w:val="en-US" w:eastAsia="zh-CN"/>
        </w:rPr>
        <w:t>4.2</w:t>
      </w:r>
      <w:r>
        <w:rPr>
          <w:rFonts w:hint="eastAsia" w:ascii="Times New Roman" w:hAnsi="Times New Roman" w:eastAsia="仿宋_GB2312"/>
          <w:sz w:val="32"/>
          <w:szCs w:val="32"/>
        </w:rPr>
        <w:t>万元、维修费</w:t>
      </w:r>
      <w:r>
        <w:rPr>
          <w:rFonts w:hint="eastAsia" w:ascii="Times New Roman" w:hAnsi="Times New Roman" w:eastAsia="仿宋_GB2312"/>
          <w:sz w:val="32"/>
          <w:szCs w:val="32"/>
          <w:lang w:val="en-US" w:eastAsia="zh-CN"/>
        </w:rPr>
        <w:t>10.1</w:t>
      </w:r>
      <w:r>
        <w:rPr>
          <w:rFonts w:hint="eastAsia" w:ascii="Times New Roman" w:hAnsi="Times New Roman" w:eastAsia="仿宋_GB2312"/>
          <w:sz w:val="32"/>
          <w:szCs w:val="32"/>
        </w:rPr>
        <w:t>万元、培训费</w:t>
      </w:r>
      <w:r>
        <w:rPr>
          <w:rFonts w:hint="eastAsia" w:ascii="Times New Roman" w:hAnsi="Times New Roman" w:eastAsia="仿宋_GB2312"/>
          <w:sz w:val="32"/>
          <w:szCs w:val="32"/>
          <w:lang w:val="en-US" w:eastAsia="zh-CN"/>
        </w:rPr>
        <w:t>3.1</w:t>
      </w:r>
      <w:r>
        <w:rPr>
          <w:rFonts w:hint="eastAsia" w:ascii="Times New Roman" w:hAnsi="Times New Roman" w:eastAsia="仿宋_GB2312"/>
          <w:sz w:val="32"/>
          <w:szCs w:val="32"/>
        </w:rPr>
        <w:t>万元、劳务费</w:t>
      </w:r>
      <w:r>
        <w:rPr>
          <w:rFonts w:hint="eastAsia" w:ascii="Times New Roman" w:hAnsi="Times New Roman" w:eastAsia="仿宋_GB2312"/>
          <w:sz w:val="32"/>
          <w:szCs w:val="32"/>
          <w:lang w:val="en-US" w:eastAsia="zh-CN"/>
        </w:rPr>
        <w:t>7.5</w:t>
      </w:r>
      <w:r>
        <w:rPr>
          <w:rFonts w:hint="eastAsia" w:ascii="Times New Roman" w:hAnsi="Times New Roman" w:eastAsia="仿宋_GB2312"/>
          <w:sz w:val="32"/>
          <w:szCs w:val="32"/>
        </w:rPr>
        <w:t>万元、工会经费</w:t>
      </w:r>
      <w:r>
        <w:rPr>
          <w:rFonts w:hint="eastAsia" w:ascii="Times New Roman" w:hAnsi="Times New Roman" w:eastAsia="仿宋_GB2312"/>
          <w:sz w:val="32"/>
          <w:szCs w:val="32"/>
          <w:lang w:val="en-US" w:eastAsia="zh-CN"/>
        </w:rPr>
        <w:t>37.9</w:t>
      </w:r>
      <w:r>
        <w:rPr>
          <w:rFonts w:hint="eastAsia" w:ascii="Times New Roman" w:hAnsi="Times New Roman" w:eastAsia="仿宋_GB2312"/>
          <w:sz w:val="32"/>
          <w:szCs w:val="32"/>
        </w:rPr>
        <w:t>万元、福利费</w:t>
      </w:r>
      <w:r>
        <w:rPr>
          <w:rFonts w:hint="eastAsia" w:ascii="Times New Roman" w:hAnsi="Times New Roman" w:eastAsia="仿宋_GB2312"/>
          <w:sz w:val="32"/>
          <w:szCs w:val="32"/>
          <w:lang w:val="en-US" w:eastAsia="zh-CN"/>
        </w:rPr>
        <w:t>21.4</w:t>
      </w:r>
      <w:r>
        <w:rPr>
          <w:rFonts w:hint="eastAsia" w:ascii="Times New Roman" w:hAnsi="Times New Roman" w:eastAsia="仿宋_GB2312"/>
          <w:sz w:val="32"/>
          <w:szCs w:val="32"/>
        </w:rPr>
        <w:t>万元、公务用车运行维护费</w:t>
      </w:r>
      <w:r>
        <w:rPr>
          <w:rFonts w:hint="eastAsia" w:ascii="Times New Roman" w:hAnsi="Times New Roman" w:eastAsia="仿宋_GB2312"/>
          <w:sz w:val="32"/>
          <w:szCs w:val="32"/>
          <w:lang w:val="en-US" w:eastAsia="zh-CN"/>
        </w:rPr>
        <w:t>4.4</w:t>
      </w:r>
      <w:r>
        <w:rPr>
          <w:rFonts w:hint="eastAsia" w:ascii="Times New Roman" w:hAnsi="Times New Roman" w:eastAsia="仿宋_GB2312"/>
          <w:sz w:val="32"/>
          <w:szCs w:val="32"/>
        </w:rPr>
        <w:t>万元、其他交通费用</w:t>
      </w:r>
      <w:r>
        <w:rPr>
          <w:rFonts w:hint="eastAsia" w:ascii="Times New Roman" w:hAnsi="Times New Roman" w:eastAsia="仿宋_GB2312"/>
          <w:sz w:val="32"/>
          <w:szCs w:val="32"/>
          <w:lang w:val="en-US" w:eastAsia="zh-CN"/>
        </w:rPr>
        <w:t>21.8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其他商品和服务支出</w:t>
      </w:r>
      <w:r>
        <w:rPr>
          <w:rFonts w:hint="eastAsia" w:ascii="Times New Roman" w:hAnsi="Times New Roman" w:eastAsia="仿宋_GB2312"/>
          <w:sz w:val="32"/>
          <w:szCs w:val="32"/>
          <w:lang w:val="en-US" w:eastAsia="zh-CN"/>
        </w:rPr>
        <w:t>24.9</w:t>
      </w:r>
      <w:r>
        <w:rPr>
          <w:rFonts w:hint="eastAsia" w:ascii="Times New Roman" w:hAnsi="Times New Roman" w:eastAsia="仿宋_GB2312"/>
          <w:sz w:val="32"/>
          <w:szCs w:val="32"/>
        </w:rPr>
        <w:t>万元。</w:t>
      </w:r>
    </w:p>
    <w:p>
      <w:pPr>
        <w:pStyle w:val="15"/>
        <w:spacing w:line="600" w:lineRule="exact"/>
        <w:ind w:firstLine="640" w:firstLineChars="200"/>
        <w:rPr>
          <w:rFonts w:ascii="Times New Roman" w:hAnsi="Times New Roman" w:eastAsia="仿宋_GB2312"/>
          <w:b/>
          <w:sz w:val="32"/>
          <w:szCs w:val="32"/>
        </w:rPr>
      </w:pPr>
      <w:r>
        <w:rPr>
          <w:rFonts w:hint="eastAsia" w:hAnsi="黑体"/>
          <w:bCs/>
          <w:sz w:val="32"/>
          <w:szCs w:val="32"/>
        </w:rPr>
        <w:t>七、财政拨款三公经费支出决算情况说明</w:t>
      </w:r>
    </w:p>
    <w:p>
      <w:pPr>
        <w:pStyle w:val="15"/>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4.4</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98</w:t>
      </w:r>
      <w:r>
        <w:rPr>
          <w:rFonts w:hint="eastAsia" w:ascii="Times New Roman" w:hAnsi="Times New Roman" w:eastAsia="仿宋_GB2312"/>
          <w:sz w:val="32"/>
          <w:szCs w:val="32"/>
        </w:rPr>
        <w:t>%，决算数小于预算数的主要原因是压缩了公务</w:t>
      </w:r>
      <w:r>
        <w:rPr>
          <w:rFonts w:hint="eastAsia" w:ascii="Times New Roman" w:hAnsi="Times New Roman" w:eastAsia="仿宋_GB2312"/>
          <w:sz w:val="32"/>
          <w:szCs w:val="32"/>
          <w:lang w:eastAsia="zh-CN"/>
        </w:rPr>
        <w:t>用车</w:t>
      </w:r>
      <w:r>
        <w:rPr>
          <w:rFonts w:hint="eastAsia" w:ascii="Times New Roman" w:hAnsi="Times New Roman" w:eastAsia="仿宋_GB2312"/>
          <w:sz w:val="32"/>
          <w:szCs w:val="32"/>
        </w:rPr>
        <w:t>费用，与上年相比</w:t>
      </w:r>
      <w:r>
        <w:rPr>
          <w:rFonts w:hint="eastAsia" w:ascii="Times New Roman" w:hAnsi="Times New Roman" w:eastAsia="仿宋_GB2312"/>
          <w:sz w:val="32"/>
          <w:szCs w:val="32"/>
          <w:lang w:eastAsia="zh-CN"/>
        </w:rPr>
        <w:t>减少了</w:t>
      </w:r>
      <w:r>
        <w:rPr>
          <w:rFonts w:hint="eastAsia" w:ascii="Times New Roman" w:hAnsi="Times New Roman" w:eastAsia="仿宋_GB2312"/>
          <w:sz w:val="32"/>
          <w:szCs w:val="32"/>
          <w:lang w:val="en-US" w:eastAsia="zh-CN"/>
        </w:rPr>
        <w:t>1.3</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23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eastAsia="zh-CN"/>
        </w:rPr>
        <w:t>公务接待实行零招待</w:t>
      </w:r>
      <w:r>
        <w:rPr>
          <w:rFonts w:hint="eastAsia" w:ascii="Times New Roman" w:hAnsi="Times New Roman" w:eastAsia="仿宋_GB2312"/>
          <w:sz w:val="32"/>
          <w:szCs w:val="32"/>
        </w:rPr>
        <w:t>。其中：</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因公出国（境）费支出预算为0万元，支出决算为0万元，完成预算的0%，与上年相比减少0万元，减少0%。</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公务用车购置费支出预算为0万元，支出决算为0万元，完成预算的0%，与上年相比减少0万元，减少0%。</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公务用车运行维护费支出预算为4.</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4.4</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98</w:t>
      </w:r>
      <w:r>
        <w:rPr>
          <w:rFonts w:hint="eastAsia" w:ascii="Times New Roman" w:hAnsi="Times New Roman" w:eastAsia="仿宋_GB2312"/>
          <w:sz w:val="32"/>
          <w:szCs w:val="32"/>
        </w:rPr>
        <w:t>%，决算数小于预算数的主要原因是压缩了公务用车量，与上年相比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0.04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，主要原因为今年公务用车维修费用减少</w:t>
      </w:r>
      <w:r>
        <w:rPr>
          <w:rFonts w:hint="eastAsia" w:ascii="Times New Roman" w:hAnsi="Times New Roman" w:eastAsia="仿宋_GB2312"/>
          <w:sz w:val="32"/>
          <w:szCs w:val="32"/>
        </w:rPr>
        <w:t>。</w:t>
      </w:r>
    </w:p>
    <w:p>
      <w:pPr>
        <w:pStyle w:val="15"/>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万元，因公出国（境）费支出决算0万元，占0%,公务用车购置费及运行维护费支出决算</w:t>
      </w:r>
      <w:r>
        <w:rPr>
          <w:rFonts w:hint="eastAsia" w:ascii="Times New Roman" w:hAnsi="Times New Roman" w:eastAsia="仿宋_GB2312"/>
          <w:sz w:val="32"/>
          <w:szCs w:val="32"/>
          <w:lang w:val="en-US" w:eastAsia="zh-CN"/>
        </w:rPr>
        <w:t>4.4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5"/>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1、因公出国（境）费支出决算为0万元，全年安排因公出国（境）团组0个，累计0人次</w:t>
      </w:r>
      <w:r>
        <w:rPr>
          <w:rFonts w:hint="eastAsia" w:ascii="楷体" w:hAnsi="楷体" w:eastAsia="楷体" w:cs="楷体"/>
          <w:b/>
          <w:bCs/>
          <w:i/>
          <w:color w:val="auto"/>
          <w:sz w:val="32"/>
          <w:szCs w:val="32"/>
        </w:rPr>
        <w:t>。</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元。</w:t>
      </w:r>
    </w:p>
    <w:p>
      <w:pPr>
        <w:spacing w:line="600" w:lineRule="exact"/>
        <w:ind w:firstLine="800" w:firstLineChars="250"/>
        <w:rPr>
          <w:rFonts w:ascii="楷体" w:hAnsi="楷体" w:eastAsia="楷体" w:cs="楷体"/>
          <w:b/>
          <w:bCs/>
          <w:i/>
          <w:kern w:val="0"/>
          <w:sz w:val="32"/>
          <w:szCs w:val="32"/>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4.4</w:t>
      </w:r>
      <w:r>
        <w:rPr>
          <w:rFonts w:hint="eastAsia" w:ascii="Times New Roman" w:hAnsi="Times New Roman" w:eastAsia="仿宋_GB2312"/>
          <w:sz w:val="32"/>
          <w:szCs w:val="32"/>
        </w:rPr>
        <w:t>万元，其中：公务用车购置费0万元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4.4</w:t>
      </w:r>
      <w:r>
        <w:rPr>
          <w:rFonts w:hint="eastAsia" w:ascii="Times New Roman" w:hAnsi="Times New Roman" w:eastAsia="仿宋_GB2312"/>
          <w:sz w:val="32"/>
          <w:szCs w:val="32"/>
        </w:rPr>
        <w:t>万元，主要是燃油支出、保险费用、修理费用支出，截止</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年12月31日，我单位开支财政拨款的公务用车保有量为1辆。</w:t>
      </w:r>
    </w:p>
    <w:p>
      <w:pPr>
        <w:pStyle w:val="15"/>
        <w:spacing w:line="600" w:lineRule="exact"/>
        <w:ind w:firstLine="640" w:firstLineChars="200"/>
        <w:rPr>
          <w:rFonts w:hAnsi="黑体"/>
          <w:bCs/>
          <w:sz w:val="32"/>
          <w:szCs w:val="32"/>
        </w:rPr>
      </w:pPr>
      <w:r>
        <w:rPr>
          <w:rFonts w:hint="eastAsia" w:hAnsi="黑体"/>
          <w:bCs/>
          <w:sz w:val="32"/>
          <w:szCs w:val="32"/>
        </w:rPr>
        <w:t>八、政府性基金预算收入支出决算情况</w:t>
      </w:r>
    </w:p>
    <w:p>
      <w:pPr>
        <w:pStyle w:val="15"/>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我单位没有政府性基金收入，也没有使用政府性基金安排的支出，故本表无数据。</w:t>
      </w:r>
    </w:p>
    <w:p>
      <w:pPr>
        <w:pStyle w:val="15"/>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183.5</w:t>
      </w:r>
      <w:r>
        <w:rPr>
          <w:rFonts w:hint="eastAsia" w:ascii="Times New Roman" w:hAnsi="Times New Roman" w:eastAsia="仿宋_GB2312"/>
          <w:sz w:val="32"/>
          <w:szCs w:val="32"/>
        </w:rPr>
        <w:t>万元，比年初预算数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3.5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，和上年基本持平</w:t>
      </w:r>
      <w:r>
        <w:rPr>
          <w:rFonts w:hint="eastAsia" w:ascii="Times New Roman" w:hAnsi="Times New Roman" w:eastAsia="仿宋_GB2312"/>
          <w:sz w:val="32"/>
          <w:szCs w:val="32"/>
        </w:rPr>
        <w:t>。</w:t>
      </w:r>
    </w:p>
    <w:p>
      <w:pPr>
        <w:pStyle w:val="15"/>
        <w:spacing w:line="600" w:lineRule="exact"/>
        <w:ind w:firstLine="640" w:firstLineChars="200"/>
        <w:rPr>
          <w:rFonts w:hAnsi="黑体"/>
          <w:bCs/>
          <w:sz w:val="32"/>
          <w:szCs w:val="32"/>
        </w:rPr>
      </w:pPr>
      <w:r>
        <w:rPr>
          <w:rFonts w:hint="eastAsia" w:hAnsi="黑体"/>
          <w:bCs/>
          <w:sz w:val="32"/>
          <w:szCs w:val="32"/>
        </w:rPr>
        <w:t>十、一般性支出情况说明</w:t>
      </w:r>
    </w:p>
    <w:p>
      <w:pPr>
        <w:pStyle w:val="15"/>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5"/>
        <w:spacing w:line="600" w:lineRule="exact"/>
        <w:ind w:firstLine="640" w:firstLineChars="200"/>
        <w:rPr>
          <w:rFonts w:hAnsi="黑体"/>
          <w:bCs/>
          <w:sz w:val="32"/>
          <w:szCs w:val="32"/>
        </w:rPr>
      </w:pPr>
      <w:r>
        <w:rPr>
          <w:rFonts w:hint="eastAsia" w:hAnsi="黑体"/>
          <w:bCs/>
          <w:sz w:val="32"/>
          <w:szCs w:val="32"/>
        </w:rPr>
        <w:t>十一、关于政府采购支出说明</w:t>
      </w:r>
    </w:p>
    <w:p>
      <w:pPr>
        <w:pStyle w:val="15"/>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5万元、政府采购工程支出0万元、政府采购服务支出0万元。</w:t>
      </w:r>
    </w:p>
    <w:p>
      <w:pPr>
        <w:pStyle w:val="15"/>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pPr>
        <w:pStyle w:val="15"/>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12月31日，部门（单位）共有车辆1辆，其中，副部（省）级及以上领导用车0辆、主要负责人用车0辆、机要通信用车0辆、应急保障用车0辆、执法执勤用车1辆、特种专业技术用车0辆、离退休干部服务用车0辆、其他用车0辆；单位价值100万元以上设备（不含车辆）0台（套）。</w:t>
      </w:r>
    </w:p>
    <w:p>
      <w:pPr>
        <w:pStyle w:val="15"/>
        <w:spacing w:line="580" w:lineRule="exact"/>
        <w:ind w:firstLine="640" w:firstLineChars="200"/>
        <w:rPr>
          <w:rFonts w:hAnsi="黑体"/>
          <w:bCs/>
          <w:color w:val="auto"/>
          <w:sz w:val="32"/>
          <w:szCs w:val="32"/>
        </w:rPr>
      </w:pPr>
      <w:r>
        <w:rPr>
          <w:rFonts w:hint="eastAsia" w:hAnsi="黑体"/>
          <w:bCs/>
          <w:color w:val="auto"/>
          <w:sz w:val="32"/>
          <w:szCs w:val="32"/>
        </w:rPr>
        <w:t>十三、关于</w:t>
      </w:r>
      <w:r>
        <w:rPr>
          <w:rFonts w:hint="eastAsia" w:ascii="Times New Roman" w:hAnsi="Times New Roman" w:eastAsia="仿宋_GB2312"/>
          <w:color w:val="auto"/>
          <w:sz w:val="32"/>
          <w:szCs w:val="32"/>
          <w:lang w:eastAsia="zh-CN"/>
        </w:rPr>
        <w:t>2025</w:t>
      </w:r>
      <w:r>
        <w:rPr>
          <w:rFonts w:hint="eastAsia" w:hAnsi="黑体"/>
          <w:bCs/>
          <w:color w:val="auto"/>
          <w:sz w:val="32"/>
          <w:szCs w:val="32"/>
        </w:rPr>
        <w:t>年度预算绩效情况的说明</w:t>
      </w:r>
    </w:p>
    <w:p>
      <w:pPr>
        <w:pStyle w:val="15"/>
        <w:numPr>
          <w:ilvl w:val="0"/>
          <w:numId w:val="2"/>
        </w:numPr>
        <w:spacing w:line="580" w:lineRule="exact"/>
        <w:rPr>
          <w:rFonts w:hint="eastAsia" w:ascii="楷体" w:hAnsi="楷体" w:eastAsia="楷体" w:cs="楷体"/>
          <w:b/>
          <w:bCs/>
          <w:sz w:val="32"/>
          <w:szCs w:val="32"/>
        </w:rPr>
      </w:pPr>
      <w:r>
        <w:rPr>
          <w:rFonts w:hint="eastAsia" w:ascii="楷体" w:hAnsi="楷体" w:eastAsia="楷体" w:cs="楷体"/>
          <w:b/>
          <w:bCs/>
          <w:sz w:val="32"/>
          <w:szCs w:val="32"/>
        </w:rPr>
        <w:t>绩效管理工作开展情况</w:t>
      </w:r>
    </w:p>
    <w:p>
      <w:pPr>
        <w:pStyle w:val="15"/>
        <w:spacing w:line="580" w:lineRule="exact"/>
        <w:ind w:left="643"/>
        <w:rPr>
          <w:rFonts w:ascii="楷体" w:hAnsi="楷体" w:eastAsia="楷体" w:cs="楷体"/>
          <w:bCs/>
          <w:sz w:val="32"/>
          <w:szCs w:val="32"/>
        </w:rPr>
      </w:pPr>
      <w:r>
        <w:rPr>
          <w:rFonts w:hint="eastAsia" w:ascii="楷体" w:hAnsi="楷体" w:eastAsia="楷体" w:cs="楷体"/>
          <w:bCs/>
          <w:sz w:val="32"/>
          <w:szCs w:val="32"/>
        </w:rPr>
        <w:t>道县西洲街道办事处</w:t>
      </w:r>
      <w:r>
        <w:rPr>
          <w:rFonts w:hint="eastAsia" w:ascii="楷体" w:hAnsi="楷体" w:eastAsia="楷体" w:cs="楷体"/>
          <w:bCs/>
          <w:sz w:val="32"/>
          <w:szCs w:val="32"/>
          <w:lang w:eastAsia="zh-CN"/>
        </w:rPr>
        <w:t>2025</w:t>
      </w:r>
      <w:r>
        <w:rPr>
          <w:rFonts w:hint="eastAsia" w:ascii="楷体" w:hAnsi="楷体" w:eastAsia="楷体" w:cs="楷体"/>
          <w:bCs/>
          <w:sz w:val="32"/>
          <w:szCs w:val="32"/>
        </w:rPr>
        <w:t>年度严格按照上级要求进行了绩效管理，并严格进行内部控制及内部审核工作。</w:t>
      </w:r>
    </w:p>
    <w:p>
      <w:pPr>
        <w:pStyle w:val="15"/>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（二）部门（单位）整体支出绩效情况</w:t>
      </w:r>
    </w:p>
    <w:p>
      <w:pPr>
        <w:pStyle w:val="15"/>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根据《会计法》、《预算法》、《行政单位会计制度》等法律和财政部及省财政厅有关财务规章的规定，乡政府先后制订了《财务管理制度》、《</w:t>
      </w:r>
      <w:r>
        <w:rPr>
          <w:rFonts w:hint="eastAsia" w:ascii="Times New Roman" w:hAnsi="Times New Roman" w:eastAsia="仿宋_GB2312"/>
          <w:sz w:val="32"/>
          <w:szCs w:val="32"/>
          <w:lang w:eastAsia="zh-CN"/>
        </w:rPr>
        <w:t>西洲街道办事处</w:t>
      </w:r>
      <w:r>
        <w:rPr>
          <w:rFonts w:hint="eastAsia" w:ascii="Times New Roman" w:hAnsi="Times New Roman" w:eastAsia="仿宋_GB2312"/>
          <w:sz w:val="32"/>
          <w:szCs w:val="32"/>
        </w:rPr>
        <w:t>公务接待管理办法》、《</w:t>
      </w:r>
      <w:r>
        <w:rPr>
          <w:rFonts w:hint="eastAsia" w:ascii="Times New Roman" w:hAnsi="Times New Roman" w:eastAsia="仿宋_GB2312"/>
          <w:sz w:val="32"/>
          <w:szCs w:val="32"/>
          <w:lang w:eastAsia="zh-CN"/>
        </w:rPr>
        <w:t>西洲街道办事处</w:t>
      </w:r>
      <w:r>
        <w:rPr>
          <w:rFonts w:hint="eastAsia" w:ascii="Times New Roman" w:hAnsi="Times New Roman" w:eastAsia="仿宋_GB2312"/>
          <w:sz w:val="32"/>
          <w:szCs w:val="32"/>
        </w:rPr>
        <w:t>差旅费管理办法》等制度，制度明确了经费审批权限及程序，经费预算、核算管理、资产购置与处置、财务监督等，针对“三公”经费建立公用经费标准定额体系，开展公用经费使用监督和绩效评估，领导重视，干部参与，制度建立完善。</w:t>
      </w:r>
    </w:p>
    <w:p>
      <w:pPr>
        <w:pStyle w:val="15"/>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（三）存在的问题及原因分析</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1、预算绩效管理机制有待进一步完善，需进一步结合工作实际完善资金管理文件办法等。</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2、绩效目标设定不够细化，绩效目标的科学性、合理性以及量化可考核性有待进一步加强。</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3、内控制度执行有待进一步规范。</w:t>
      </w:r>
    </w:p>
    <w:p>
      <w:pPr>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    4、存在预算资金不够细分，支出与预算匹配度不够等问题。</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改进方法：</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规范账务处理，提高财务信息质量。</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严格按照《会计法》、《行政单位会计制度》、《行政单位财务规则》等规定执行财务核算，并结合实际情况，完整、准确地披露相关信息，做到决算与预算相衔接。</w:t>
      </w:r>
    </w:p>
    <w:p>
      <w:pPr>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w:t>
      </w:r>
    </w:p>
    <w:p>
      <w:pPr>
        <w:pStyle w:val="15"/>
        <w:jc w:val="center"/>
        <w:rPr>
          <w:rFonts w:hint="eastAsia" w:ascii="Times New Roman" w:hAnsi="Times New Roman" w:eastAsia="仿宋_GB2312" w:cs="黑体"/>
          <w:color w:val="000000"/>
          <w:kern w:val="0"/>
          <w:sz w:val="32"/>
          <w:szCs w:val="32"/>
          <w:lang w:val="en-US" w:eastAsia="zh-CN" w:bidi="ar-SA"/>
        </w:rPr>
      </w:pPr>
    </w:p>
    <w:p>
      <w:pPr>
        <w:pStyle w:val="15"/>
        <w:jc w:val="center"/>
        <w:rPr>
          <w:rFonts w:hint="eastAsia" w:ascii="Times New Roman" w:hAnsi="Times New Roman" w:eastAsia="仿宋_GB2312" w:cs="黑体"/>
          <w:color w:val="000000"/>
          <w:kern w:val="0"/>
          <w:sz w:val="32"/>
          <w:szCs w:val="32"/>
          <w:lang w:val="en-US" w:eastAsia="zh-CN" w:bidi="ar-SA"/>
        </w:rPr>
      </w:pPr>
    </w:p>
    <w:p>
      <w:pPr>
        <w:pStyle w:val="15"/>
        <w:jc w:val="both"/>
        <w:rPr>
          <w:rFonts w:hint="eastAsia" w:ascii="Times New Roman" w:hAnsi="Times New Roman" w:eastAsia="仿宋_GB2312" w:cs="黑体"/>
          <w:color w:val="000000"/>
          <w:kern w:val="0"/>
          <w:sz w:val="32"/>
          <w:szCs w:val="32"/>
          <w:lang w:val="en-US" w:eastAsia="zh-CN" w:bidi="ar-SA"/>
        </w:rPr>
      </w:pP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sz w:val="72"/>
          <w:szCs w:val="72"/>
        </w:rPr>
        <w:t>第四部分</w:t>
      </w:r>
    </w:p>
    <w:p>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keepNext w:val="0"/>
        <w:keepLines w:val="0"/>
        <w:pageBreakBefore w:val="0"/>
        <w:widowControl w:val="0"/>
        <w:kinsoku/>
        <w:wordWrap/>
        <w:overflowPunct/>
        <w:topLinePunct w:val="0"/>
        <w:bidi w:val="0"/>
        <w:snapToGrid/>
        <w:ind w:firstLine="1280" w:firstLineChars="4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1．财政拨款收入：指单位本年度从同级财政部门取得的各类财政拨款。</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2．上级补助收入：指事业单位从主管部门和上级单位取得的非财政补助收入。</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5．对附属单位补助支出：指事业单位用财政拨款收入之外的收入对附属单位补助发生的支出。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6．经营支出：指事业单位在专业业务活动及其辅助活动之外开展非独立核算经营活动发生的支出。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7．上缴上级支出：指事业单位按照财政部门和主管部门的规定上缴上级单位的支出。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8．项目支出：指在为完成特定的工作任务和事业发展目标所发生的支出。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9．基本支出：指为保障机构正常运转、完成日常工作任务而发生的支出，包括人员经费和公用经费。</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10．年末结转和结余资金：指本年度或以前年度预算安排、因客观条件发生变化无法按原计划实施，需要延迟到以后年度按有关规定继续使用的资金。</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11．结余分配：指事业单位按规定对非财政拨款结余资金提取的专用基金、缴纳的所得税和转入非财政拨款结余等。</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12．年初结转和结余：指单位上年结转本年使用的基本支出结转、项目支出结转和结余和经营结余。</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13．使用非财政拨款结余：指事业单位使用非财政拨款结余（原事业基金）弥补当年收支差额的数额。</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14．其他收入：指单位取得的除上述“财政拨款收入”、“事业收入”、“经营收入”等以外的各项收入。</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15．事业收入：指事业单位开展专业业务活动及其辅助活动取得的收入，事业单位收到的财政专户实际核拨的教育收费等资金在此反映。</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16．经营收入：指事业单位在专业业务活动及其辅助活动之外开展非独立核算经营活动取得的收入。</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17．附属单位上缴收入：指事业单位附属独立核算单位按照有关规定上缴的收入。</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18．一般公共服务支出（类）人大事务（款）其他人大事务支出（项）：反映除上述项目以外的其他人大事务支出。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19．一般公共服务支出（类）政府办公厅（室）及相关机构事务（款）行政运行（项）：反映行政单位（包括实行公务员管理的事业单位）的基本 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20．一般公共服务支出（类）政府办公厅（室）及相关机构事务（款）其他政府办公厅（室）及相关机构事务支出（项）：反映除上述项目以外的其他政府办公厅（室）及相关机构事 务支出。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21．一般公共服务支出（类）纪检监察事务（款）其他纪检监察事务支出（项）：反映除上述项目以外其他纪检监察事务方面的支出。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22．一般公共服务支出（类）群众团体事务（款）其他群众团体事务支出（项）：反映除上述项目以外其他用于群众团体事务方面的支出。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23．一般公共服务支出（类）其他一般公共服务支出（款）其他一般公共服务支出（项）：反映除上述项目以外的其他一般公共服务支出O</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24．社会保障和就业支出（类）行政事业单位养老支出（款）机关事业单位基本养老保险缴费支出（项）：反映机关事业单位实施养老保险制度由单位缴纳的基本养老保险费支出。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25．社会保障和就业支出（类）抚恤（款）死亡抚恤（项）：反映按规定用于烈士和牺牲、病故人员家属的一次性和定期 抚恤金、丧葬补助费以及烈士褒扬金。</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27．农林水支出（类）巩固脱贫衔接乡村振兴（款）其他巩固脱贫衔接乡村振兴支出（项）：反映除上述项目以外其他用于巩固拓展脱贫攻坚成果同乡村</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28．农林水支出（类）农村综合改革（款）对村级公益事业建设的补助（项）：反映农村综合改革方面的支出。</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29．农林水支出（类）农村综合改革（款）对村民委员会和村党支部的补助（项）：反映各级财政对村民委员会和村党支部的补助支出，以及支持建立县级基本财力保障机制安排的村级组织运转奖补资金。</w:t>
      </w:r>
    </w:p>
    <w:p>
      <w:pPr>
        <w:keepNext w:val="0"/>
        <w:keepLines w:val="0"/>
        <w:pageBreakBefore w:val="0"/>
        <w:widowControl w:val="0"/>
        <w:kinsoku/>
        <w:wordWrap/>
        <w:overflowPunct/>
        <w:topLinePunct w:val="0"/>
        <w:bidi w:val="0"/>
        <w:snapToGrid/>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30．灾害防治及应急管理支出（类）自然灾害防治（款）森林草原防灾减灾（项）：反映防治森林草原火灾、自然水呈灾害等发生的支出。</w:t>
      </w:r>
    </w:p>
    <w:p>
      <w:pPr>
        <w:keepNext w:val="0"/>
        <w:keepLines w:val="0"/>
        <w:pageBreakBefore w:val="0"/>
        <w:widowControl w:val="0"/>
        <w:kinsoku/>
        <w:wordWrap/>
        <w:overflowPunct/>
        <w:topLinePunct w:val="0"/>
        <w:bidi w:val="0"/>
        <w:snapToGrid/>
        <w:ind w:firstLine="1440" w:firstLineChars="200"/>
        <w:jc w:val="left"/>
        <w:textAlignment w:val="auto"/>
        <w:rPr>
          <w:sz w:val="72"/>
          <w:szCs w:val="72"/>
        </w:rPr>
      </w:pPr>
    </w:p>
    <w:p>
      <w:pPr>
        <w:pStyle w:val="15"/>
        <w:keepNext w:val="0"/>
        <w:keepLines w:val="0"/>
        <w:pageBreakBefore w:val="0"/>
        <w:widowControl w:val="0"/>
        <w:kinsoku/>
        <w:wordWrap/>
        <w:overflowPunct/>
        <w:topLinePunct w:val="0"/>
        <w:bidi w:val="0"/>
        <w:snapToGrid/>
        <w:ind w:firstLine="1440" w:firstLineChars="200"/>
        <w:jc w:val="center"/>
        <w:textAlignment w:val="auto"/>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rPr>
          <w:sz w:val="72"/>
          <w:szCs w:val="72"/>
        </w:rPr>
      </w:pPr>
      <w:r>
        <w:rPr>
          <w:sz w:val="72"/>
          <w:szCs w:val="72"/>
        </w:rPr>
        <w:br w:type="page"/>
      </w: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72"/>
          <w:szCs w:val="72"/>
        </w:rPr>
      </w:pPr>
    </w:p>
    <w:p>
      <w:pPr>
        <w:pStyle w:val="15"/>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第五部分</w:t>
      </w:r>
    </w:p>
    <w:p>
      <w:pPr>
        <w:pStyle w:val="15"/>
        <w:jc w:val="center"/>
        <w:rPr>
          <w:sz w:val="72"/>
          <w:szCs w:val="72"/>
        </w:rPr>
      </w:pPr>
      <w:r>
        <w:rPr>
          <w:rFonts w:hint="eastAsia" w:ascii="方正小标宋_GBK" w:hAnsi="方正小标宋_GBK" w:eastAsia="方正小标宋_GBK" w:cs="方正小标宋_GBK"/>
          <w:sz w:val="70"/>
          <w:szCs w:val="70"/>
        </w:rPr>
        <w:t>附 件</w:t>
      </w:r>
    </w:p>
    <w:p>
      <w:pPr>
        <w:ind w:firstLine="2240" w:firstLineChars="700"/>
        <w:rPr>
          <w:rFonts w:hint="eastAsia" w:ascii="Times New Roman" w:hAnsi="Times New Roman" w:eastAsia="仿宋_GB2312"/>
          <w:sz w:val="32"/>
          <w:szCs w:val="32"/>
        </w:rPr>
      </w:pPr>
      <w:r>
        <w:rPr>
          <w:rFonts w:hint="eastAsia" w:ascii="楷体" w:hAnsi="楷体" w:eastAsia="楷体" w:cs="楷体"/>
          <w:b/>
          <w:bCs/>
          <w:sz w:val="32"/>
          <w:szCs w:val="32"/>
        </w:rPr>
        <w:t>一、</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年度部门(单位)整体支出绩效自评报告。</w:t>
      </w:r>
    </w:p>
    <w:p>
      <w:pPr>
        <w:pStyle w:val="2"/>
        <w:rPr>
          <w:rFonts w:hint="eastAsia" w:ascii="Times New Roman" w:hAnsi="Times New Roman" w:eastAsia="仿宋_GB2312"/>
          <w:sz w:val="32"/>
          <w:szCs w:val="32"/>
        </w:rPr>
      </w:pPr>
    </w:p>
    <w:p>
      <w:pPr>
        <w:rPr>
          <w:rFonts w:hint="eastAsia" w:ascii="Times New Roman" w:hAnsi="Times New Roman" w:eastAsia="仿宋_GB2312"/>
          <w:sz w:val="32"/>
          <w:szCs w:val="32"/>
        </w:rPr>
      </w:pPr>
    </w:p>
    <w:p>
      <w:pPr>
        <w:pStyle w:val="2"/>
        <w:rPr>
          <w:rFonts w:hint="eastAsia" w:ascii="Times New Roman" w:hAnsi="Times New Roman" w:eastAsia="仿宋_GB2312"/>
          <w:sz w:val="32"/>
          <w:szCs w:val="32"/>
        </w:rPr>
      </w:pPr>
    </w:p>
    <w:p>
      <w:pPr>
        <w:rPr>
          <w:rFonts w:hint="eastAsia" w:ascii="Times New Roman" w:hAnsi="Times New Roman" w:eastAsia="仿宋_GB2312"/>
          <w:sz w:val="32"/>
          <w:szCs w:val="32"/>
        </w:rPr>
      </w:pPr>
    </w:p>
    <w:p>
      <w:pPr>
        <w:pStyle w:val="2"/>
        <w:rPr>
          <w:rFonts w:hint="eastAsia" w:ascii="Times New Roman" w:hAnsi="Times New Roman" w:eastAsia="仿宋_GB2312"/>
          <w:sz w:val="32"/>
          <w:szCs w:val="32"/>
        </w:rPr>
      </w:pPr>
    </w:p>
    <w:p>
      <w:pPr>
        <w:rPr>
          <w:rFonts w:hint="eastAsia" w:ascii="Times New Roman" w:hAnsi="Times New Roman" w:eastAsia="仿宋_GB2312"/>
          <w:sz w:val="32"/>
          <w:szCs w:val="32"/>
        </w:rPr>
      </w:pPr>
    </w:p>
    <w:p>
      <w:pPr>
        <w:pStyle w:val="2"/>
        <w:rPr>
          <w:rFonts w:hint="eastAsia" w:ascii="Times New Roman" w:hAnsi="Times New Roman" w:eastAsia="仿宋_GB2312"/>
          <w:sz w:val="32"/>
          <w:szCs w:val="32"/>
        </w:rPr>
      </w:pPr>
    </w:p>
    <w:p>
      <w:pPr>
        <w:rPr>
          <w:rFonts w:hint="eastAsia" w:ascii="Times New Roman" w:hAnsi="Times New Roman" w:eastAsia="仿宋_GB2312"/>
          <w:sz w:val="32"/>
          <w:szCs w:val="32"/>
        </w:rPr>
      </w:pPr>
    </w:p>
    <w:p>
      <w:pPr>
        <w:pStyle w:val="2"/>
        <w:rPr>
          <w:rFonts w:hint="eastAsia" w:ascii="Times New Roman" w:hAnsi="Times New Roman" w:eastAsia="仿宋_GB2312"/>
          <w:sz w:val="32"/>
          <w:szCs w:val="32"/>
        </w:rPr>
      </w:pPr>
    </w:p>
    <w:p/>
    <w:p>
      <w:pPr>
        <w:adjustRightInd w:val="0"/>
        <w:spacing w:line="600" w:lineRule="exact"/>
        <w:jc w:val="center"/>
        <w:rPr>
          <w:rFonts w:ascii="宋体" w:cs="宋体"/>
          <w:sz w:val="48"/>
          <w:szCs w:val="48"/>
        </w:rPr>
      </w:pPr>
      <w:r>
        <w:rPr>
          <w:rFonts w:hint="eastAsia" w:ascii="宋体" w:hAnsi="宋体" w:cs="宋体"/>
          <w:b/>
          <w:bCs/>
          <w:sz w:val="48"/>
          <w:szCs w:val="48"/>
          <w:lang w:eastAsia="zh-CN"/>
        </w:rPr>
        <w:t>2025</w:t>
      </w:r>
      <w:r>
        <w:rPr>
          <w:rFonts w:hint="eastAsia" w:ascii="宋体" w:hAnsi="宋体" w:cs="宋体"/>
          <w:b/>
          <w:bCs/>
          <w:sz w:val="48"/>
          <w:szCs w:val="48"/>
        </w:rPr>
        <w:t>年度西洲街道办事处</w:t>
      </w:r>
    </w:p>
    <w:p>
      <w:pPr>
        <w:adjustRightInd w:val="0"/>
        <w:spacing w:line="600" w:lineRule="exact"/>
        <w:jc w:val="center"/>
        <w:rPr>
          <w:rFonts w:ascii="宋体" w:cs="宋体"/>
          <w:b/>
          <w:bCs/>
          <w:sz w:val="48"/>
          <w:szCs w:val="48"/>
        </w:rPr>
      </w:pPr>
      <w:r>
        <w:rPr>
          <w:rFonts w:hint="eastAsia" w:ascii="宋体" w:hAnsi="宋体" w:cs="宋体"/>
          <w:b/>
          <w:bCs/>
          <w:sz w:val="48"/>
          <w:szCs w:val="48"/>
        </w:rPr>
        <w:t>部门整体支出绩效评价报告</w:t>
      </w:r>
    </w:p>
    <w:p>
      <w:pPr>
        <w:adjustRightInd w:val="0"/>
        <w:spacing w:line="600" w:lineRule="exact"/>
        <w:rPr>
          <w:rFonts w:eastAsia="仿宋_GB2312"/>
          <w:sz w:val="32"/>
          <w:szCs w:val="32"/>
        </w:rPr>
      </w:pPr>
    </w:p>
    <w:p>
      <w:pPr>
        <w:adjustRightInd w:val="0"/>
        <w:snapToGrid w:val="0"/>
        <w:spacing w:line="600" w:lineRule="exact"/>
        <w:ind w:firstLine="640" w:firstLineChars="200"/>
        <w:rPr>
          <w:rFonts w:asciiTheme="minorEastAsia" w:hAnsiTheme="minorEastAsia" w:eastAsiaTheme="minorEastAsia"/>
          <w:sz w:val="32"/>
          <w:szCs w:val="32"/>
        </w:rPr>
      </w:pPr>
      <w:r>
        <w:rPr>
          <w:rFonts w:asciiTheme="minorEastAsia" w:hAnsiTheme="minorEastAsia" w:eastAsiaTheme="minorEastAsia"/>
          <w:sz w:val="32"/>
          <w:szCs w:val="32"/>
        </w:rPr>
        <w:t>一、</w:t>
      </w:r>
      <w:r>
        <w:rPr>
          <w:rFonts w:hint="eastAsia" w:asciiTheme="minorEastAsia" w:hAnsiTheme="minorEastAsia" w:eastAsiaTheme="minorEastAsia"/>
          <w:sz w:val="32"/>
          <w:szCs w:val="32"/>
        </w:rPr>
        <w:t>部门</w:t>
      </w:r>
      <w:r>
        <w:rPr>
          <w:rFonts w:asciiTheme="minorEastAsia" w:hAnsiTheme="minorEastAsia" w:eastAsiaTheme="minorEastAsia"/>
          <w:sz w:val="32"/>
          <w:szCs w:val="32"/>
        </w:rPr>
        <w:t>概况</w:t>
      </w:r>
    </w:p>
    <w:p>
      <w:pPr>
        <w:adjustRightInd w:val="0"/>
        <w:snapToGrid w:val="0"/>
        <w:spacing w:line="600" w:lineRule="exact"/>
        <w:ind w:firstLine="640" w:firstLineChars="200"/>
        <w:rPr>
          <w:rFonts w:asciiTheme="minorEastAsia" w:hAnsiTheme="minorEastAsia" w:eastAsiaTheme="minorEastAsia"/>
          <w:b/>
          <w:bCs/>
          <w:sz w:val="32"/>
          <w:szCs w:val="32"/>
        </w:rPr>
      </w:pPr>
      <w:r>
        <w:rPr>
          <w:rFonts w:asciiTheme="minorEastAsia" w:hAnsiTheme="minorEastAsia" w:eastAsiaTheme="minorEastAsia"/>
          <w:b/>
          <w:bCs/>
          <w:sz w:val="32"/>
          <w:szCs w:val="32"/>
        </w:rPr>
        <w:t>（一）</w:t>
      </w:r>
      <w:r>
        <w:rPr>
          <w:rFonts w:hint="eastAsia" w:asciiTheme="minorEastAsia" w:hAnsiTheme="minorEastAsia" w:eastAsiaTheme="minorEastAsia"/>
          <w:b/>
          <w:bCs/>
          <w:sz w:val="32"/>
          <w:szCs w:val="32"/>
        </w:rPr>
        <w:t>部门</w:t>
      </w:r>
      <w:r>
        <w:rPr>
          <w:rFonts w:asciiTheme="minorEastAsia" w:hAnsiTheme="minorEastAsia" w:eastAsiaTheme="minorEastAsia"/>
          <w:b/>
          <w:bCs/>
          <w:sz w:val="32"/>
          <w:szCs w:val="32"/>
        </w:rPr>
        <w:t>基本情况</w:t>
      </w:r>
    </w:p>
    <w:p>
      <w:pPr>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1、西洲街道办事处是全额拨款的行政单位，下辖6个社区，财务核算执行行政单位会计制度。</w:t>
      </w:r>
    </w:p>
    <w:p>
      <w:pPr>
        <w:ind w:firstLine="640" w:firstLineChars="200"/>
        <w:rPr>
          <w:rFonts w:asciiTheme="minorEastAsia" w:hAnsiTheme="minorEastAsia" w:eastAsiaTheme="minorEastAsia"/>
          <w:sz w:val="32"/>
          <w:szCs w:val="32"/>
        </w:rPr>
      </w:pPr>
      <w:r>
        <w:rPr>
          <w:rFonts w:hint="eastAsia" w:cs="仿宋" w:asciiTheme="minorEastAsia" w:hAnsiTheme="minorEastAsia" w:eastAsiaTheme="minorEastAsia"/>
          <w:color w:val="5A5A5A"/>
          <w:kern w:val="0"/>
          <w:sz w:val="32"/>
          <w:szCs w:val="32"/>
        </w:rPr>
        <w:t>2、</w:t>
      </w:r>
      <w:r>
        <w:rPr>
          <w:rFonts w:hint="eastAsia" w:asciiTheme="minorEastAsia" w:hAnsiTheme="minorEastAsia" w:eastAsiaTheme="minorEastAsia"/>
          <w:sz w:val="32"/>
          <w:szCs w:val="32"/>
        </w:rPr>
        <w:t>制定并落实本行政区域的经济计划和措施，促进产业结构调整及其他经济保持平衡协调发展，全面提高人民群众的生活水平和生活质量。加强镇级财政的监督和管理，按计划组织、管理乡财政收入和支出，执行国家有关财经纪律和政策，保证国家财政收入的完成。</w:t>
      </w:r>
    </w:p>
    <w:p>
      <w:pPr>
        <w:widowControl/>
        <w:spacing w:line="600" w:lineRule="atLeast"/>
        <w:ind w:firstLine="640" w:firstLineChars="200"/>
        <w:rPr>
          <w:rFonts w:asciiTheme="minorEastAsia" w:hAnsiTheme="minorEastAsia" w:eastAsiaTheme="minorEastAsia"/>
          <w:sz w:val="32"/>
          <w:szCs w:val="32"/>
        </w:rPr>
      </w:pPr>
      <w:r>
        <w:rPr>
          <w:rFonts w:hint="eastAsia" w:cs="仿宋" w:asciiTheme="minorEastAsia" w:hAnsiTheme="minorEastAsia" w:eastAsiaTheme="minorEastAsia"/>
          <w:color w:val="5A5A5A"/>
          <w:kern w:val="0"/>
          <w:sz w:val="32"/>
          <w:szCs w:val="32"/>
        </w:rPr>
        <w:t>3、</w:t>
      </w:r>
      <w:r>
        <w:rPr>
          <w:rFonts w:hint="eastAsia" w:asciiTheme="minorEastAsia" w:hAnsiTheme="minorEastAsia" w:eastAsiaTheme="minorEastAsia"/>
          <w:sz w:val="32"/>
          <w:szCs w:val="32"/>
        </w:rPr>
        <w:t>人员编制：</w:t>
      </w:r>
      <w:r>
        <w:rPr>
          <w:rFonts w:hint="eastAsia" w:ascii="仿宋_GB2312"/>
          <w:sz w:val="32"/>
          <w:szCs w:val="32"/>
        </w:rPr>
        <w:t>我单位为正科级全额拨款行政单位，内设办公室、财务室、民政室、计生办、综治办等5个职能部室。</w:t>
      </w:r>
      <w:r>
        <w:rPr>
          <w:rFonts w:hint="eastAsia" w:asciiTheme="minorEastAsia" w:hAnsiTheme="minorEastAsia" w:eastAsiaTheme="minorEastAsia"/>
          <w:sz w:val="32"/>
          <w:szCs w:val="32"/>
        </w:rPr>
        <w:t>现实有在编人数行政</w:t>
      </w:r>
      <w:r>
        <w:rPr>
          <w:rFonts w:hint="eastAsia" w:asciiTheme="minorEastAsia" w:hAnsiTheme="minorEastAsia" w:eastAsiaTheme="minorEastAsia"/>
          <w:sz w:val="32"/>
          <w:szCs w:val="32"/>
          <w:lang w:val="en-US" w:eastAsia="zh-CN"/>
        </w:rPr>
        <w:t>2</w:t>
      </w:r>
      <w:r>
        <w:rPr>
          <w:rFonts w:hint="eastAsia" w:asciiTheme="minorEastAsia" w:hAnsiTheme="minorEastAsia"/>
          <w:sz w:val="32"/>
          <w:szCs w:val="32"/>
          <w:lang w:val="en-US" w:eastAsia="zh-CN"/>
        </w:rPr>
        <w:t>9</w:t>
      </w:r>
      <w:r>
        <w:rPr>
          <w:rFonts w:hint="eastAsia" w:asciiTheme="minorEastAsia" w:hAnsiTheme="minorEastAsia" w:eastAsiaTheme="minorEastAsia"/>
          <w:sz w:val="32"/>
          <w:szCs w:val="32"/>
        </w:rPr>
        <w:t>人，事业</w:t>
      </w:r>
      <w:r>
        <w:rPr>
          <w:rFonts w:hint="eastAsia" w:asciiTheme="minorEastAsia" w:hAnsiTheme="minorEastAsia"/>
          <w:sz w:val="32"/>
          <w:szCs w:val="32"/>
          <w:lang w:val="en-US" w:eastAsia="zh-CN"/>
        </w:rPr>
        <w:t>49</w:t>
      </w:r>
      <w:r>
        <w:rPr>
          <w:rFonts w:hint="eastAsia" w:asciiTheme="minorEastAsia" w:hAnsiTheme="minorEastAsia" w:eastAsiaTheme="minorEastAsia"/>
          <w:sz w:val="32"/>
          <w:szCs w:val="32"/>
        </w:rPr>
        <w:t>人。</w:t>
      </w:r>
    </w:p>
    <w:p>
      <w:pPr>
        <w:widowControl/>
        <w:spacing w:line="600" w:lineRule="atLeast"/>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4、收支管理办法。严格执行上级制定的财务收支管理办法，加强整体部门支出和固定资产管理，提高资金和资产的使用效率和财务的精细化管理水平。</w:t>
      </w:r>
    </w:p>
    <w:p>
      <w:pPr>
        <w:adjustRightInd w:val="0"/>
        <w:snapToGrid w:val="0"/>
        <w:spacing w:line="600" w:lineRule="exact"/>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二、部门整体收支情况</w:t>
      </w:r>
    </w:p>
    <w:p>
      <w:pPr>
        <w:pStyle w:val="15"/>
        <w:spacing w:line="600" w:lineRule="exact"/>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sz w:val="32"/>
          <w:szCs w:val="32"/>
          <w:lang w:eastAsia="zh-CN"/>
        </w:rPr>
        <w:t>2025</w:t>
      </w:r>
      <w:r>
        <w:rPr>
          <w:rFonts w:hint="eastAsia" w:asciiTheme="minorEastAsia" w:hAnsiTheme="minorEastAsia" w:eastAsiaTheme="minorEastAsia"/>
          <w:sz w:val="32"/>
          <w:szCs w:val="32"/>
        </w:rPr>
        <w:t>年总体支出</w:t>
      </w:r>
      <w:r>
        <w:rPr>
          <w:rFonts w:hint="eastAsia" w:asciiTheme="minorEastAsia" w:hAnsiTheme="minorEastAsia" w:eastAsiaTheme="minorEastAsia"/>
          <w:sz w:val="32"/>
          <w:szCs w:val="32"/>
          <w:lang w:val="en-US" w:eastAsia="zh-CN"/>
        </w:rPr>
        <w:t>1555.4</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其中人员经费945.8万元，主要包括基本工资355.4万元、津贴补贴127.4万元、奖金32.9万元、伙食补助费0.3万元、绩效工资136.4万元、养老保险122万元、职业年金缴费20.3万元、医疗保险59.2万元、其他社会保障缴费8.2万元、住房公积金16.8万元、生活补助64.6万元、救济费2.3万元。</w:t>
      </w:r>
    </w:p>
    <w:p>
      <w:pPr>
        <w:ind w:firstLine="640" w:firstLineChars="200"/>
        <w:rPr>
          <w:rFonts w:asciiTheme="minorEastAsia" w:hAnsiTheme="minorEastAsia" w:eastAsiaTheme="minorEastAsia"/>
          <w:sz w:val="32"/>
          <w:szCs w:val="32"/>
        </w:rPr>
      </w:pPr>
    </w:p>
    <w:p>
      <w:pPr>
        <w:pStyle w:val="15"/>
        <w:spacing w:line="600" w:lineRule="exact"/>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机关运行经费情况：</w:t>
      </w:r>
      <w:r>
        <w:rPr>
          <w:rFonts w:hint="eastAsia" w:asciiTheme="minorEastAsia" w:hAnsiTheme="minorEastAsia"/>
          <w:sz w:val="32"/>
          <w:szCs w:val="32"/>
          <w:lang w:eastAsia="zh-CN"/>
        </w:rPr>
        <w:t>2025</w:t>
      </w:r>
      <w:r>
        <w:rPr>
          <w:rFonts w:hint="eastAsia" w:asciiTheme="minorEastAsia" w:hAnsiTheme="minorEastAsia" w:eastAsiaTheme="minorEastAsia"/>
          <w:sz w:val="32"/>
          <w:szCs w:val="32"/>
        </w:rPr>
        <w:t>年机关运行经费</w:t>
      </w:r>
      <w:r>
        <w:rPr>
          <w:rFonts w:hint="eastAsia" w:asciiTheme="minorEastAsia" w:hAnsiTheme="minorEastAsia" w:eastAsiaTheme="minorEastAsia"/>
          <w:sz w:val="32"/>
          <w:szCs w:val="32"/>
          <w:lang w:val="en-US" w:eastAsia="zh-CN"/>
        </w:rPr>
        <w:t>18</w:t>
      </w:r>
      <w:r>
        <w:rPr>
          <w:rFonts w:hint="eastAsia" w:asciiTheme="minorEastAsia" w:hAnsiTheme="minorEastAsia"/>
          <w:sz w:val="32"/>
          <w:szCs w:val="32"/>
          <w:lang w:val="en-US" w:eastAsia="zh-CN"/>
        </w:rPr>
        <w:t>3.5</w:t>
      </w:r>
      <w:r>
        <w:rPr>
          <w:rFonts w:hint="eastAsia" w:asciiTheme="minorEastAsia" w:hAnsiTheme="minorEastAsia" w:eastAsiaTheme="minorEastAsia"/>
          <w:sz w:val="32"/>
          <w:szCs w:val="32"/>
        </w:rPr>
        <w:t>万元，主要包括办公费</w:t>
      </w:r>
      <w:r>
        <w:rPr>
          <w:rFonts w:hint="eastAsia" w:asciiTheme="minorEastAsia" w:hAnsiTheme="minorEastAsia" w:eastAsiaTheme="minorEastAsia"/>
          <w:sz w:val="32"/>
          <w:szCs w:val="32"/>
          <w:lang w:val="en-US" w:eastAsia="zh-CN"/>
        </w:rPr>
        <w:t>27.8</w:t>
      </w:r>
      <w:r>
        <w:rPr>
          <w:rFonts w:hint="eastAsia" w:asciiTheme="minorEastAsia" w:hAnsiTheme="minorEastAsia" w:eastAsiaTheme="minorEastAsia"/>
          <w:sz w:val="32"/>
          <w:szCs w:val="32"/>
        </w:rPr>
        <w:t>万元、印刷费</w:t>
      </w:r>
      <w:r>
        <w:rPr>
          <w:rFonts w:hint="eastAsia" w:asciiTheme="minorEastAsia" w:hAnsiTheme="minorEastAsia" w:eastAsiaTheme="minorEastAsia"/>
          <w:sz w:val="32"/>
          <w:szCs w:val="32"/>
          <w:lang w:val="en-US" w:eastAsia="zh-CN"/>
        </w:rPr>
        <w:t>11.9</w:t>
      </w:r>
      <w:r>
        <w:rPr>
          <w:rFonts w:hint="eastAsia" w:asciiTheme="minorEastAsia" w:hAnsiTheme="minorEastAsia" w:eastAsiaTheme="minorEastAsia"/>
          <w:sz w:val="32"/>
          <w:szCs w:val="32"/>
        </w:rPr>
        <w:t>万元、水费</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万元、电费</w:t>
      </w:r>
      <w:r>
        <w:rPr>
          <w:rFonts w:hint="eastAsia" w:asciiTheme="minorEastAsia" w:hAnsiTheme="minorEastAsia" w:eastAsiaTheme="minorEastAsia"/>
          <w:sz w:val="32"/>
          <w:szCs w:val="32"/>
          <w:lang w:val="en-US" w:eastAsia="zh-CN"/>
        </w:rPr>
        <w:t>5.5</w:t>
      </w:r>
      <w:r>
        <w:rPr>
          <w:rFonts w:hint="eastAsia" w:asciiTheme="minorEastAsia" w:hAnsiTheme="minorEastAsia" w:eastAsiaTheme="minorEastAsia"/>
          <w:sz w:val="32"/>
          <w:szCs w:val="32"/>
        </w:rPr>
        <w:t>万元、邮电费</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万元、差旅费</w:t>
      </w:r>
      <w:r>
        <w:rPr>
          <w:rFonts w:hint="eastAsia" w:asciiTheme="minorEastAsia" w:hAnsiTheme="minorEastAsia" w:eastAsiaTheme="minorEastAsia"/>
          <w:sz w:val="32"/>
          <w:szCs w:val="32"/>
          <w:lang w:val="en-US" w:eastAsia="zh-CN"/>
        </w:rPr>
        <w:t>4.2</w:t>
      </w:r>
      <w:r>
        <w:rPr>
          <w:rFonts w:hint="eastAsia" w:asciiTheme="minorEastAsia" w:hAnsiTheme="minorEastAsia" w:eastAsiaTheme="minorEastAsia"/>
          <w:sz w:val="32"/>
          <w:szCs w:val="32"/>
        </w:rPr>
        <w:t>万元、维修费</w:t>
      </w:r>
      <w:r>
        <w:rPr>
          <w:rFonts w:hint="eastAsia" w:asciiTheme="minorEastAsia" w:hAnsiTheme="minorEastAsia" w:eastAsiaTheme="minorEastAsia"/>
          <w:sz w:val="32"/>
          <w:szCs w:val="32"/>
          <w:lang w:val="en-US" w:eastAsia="zh-CN"/>
        </w:rPr>
        <w:t>10.1</w:t>
      </w:r>
      <w:r>
        <w:rPr>
          <w:rFonts w:hint="eastAsia" w:asciiTheme="minorEastAsia" w:hAnsiTheme="minorEastAsia" w:eastAsiaTheme="minorEastAsia"/>
          <w:sz w:val="32"/>
          <w:szCs w:val="32"/>
        </w:rPr>
        <w:t>万元、培训费</w:t>
      </w:r>
      <w:r>
        <w:rPr>
          <w:rFonts w:hint="eastAsia" w:asciiTheme="minorEastAsia" w:hAnsiTheme="minorEastAsia" w:eastAsiaTheme="minorEastAsia"/>
          <w:sz w:val="32"/>
          <w:szCs w:val="32"/>
          <w:lang w:val="en-US" w:eastAsia="zh-CN"/>
        </w:rPr>
        <w:t>3.1</w:t>
      </w:r>
      <w:r>
        <w:rPr>
          <w:rFonts w:hint="eastAsia" w:asciiTheme="minorEastAsia" w:hAnsiTheme="minorEastAsia" w:eastAsiaTheme="minorEastAsia"/>
          <w:sz w:val="32"/>
          <w:szCs w:val="32"/>
        </w:rPr>
        <w:t>万元、劳务费</w:t>
      </w:r>
      <w:r>
        <w:rPr>
          <w:rFonts w:hint="eastAsia" w:asciiTheme="minorEastAsia" w:hAnsiTheme="minorEastAsia" w:eastAsiaTheme="minorEastAsia"/>
          <w:sz w:val="32"/>
          <w:szCs w:val="32"/>
          <w:lang w:val="en-US" w:eastAsia="zh-CN"/>
        </w:rPr>
        <w:t>7.5</w:t>
      </w:r>
      <w:r>
        <w:rPr>
          <w:rFonts w:hint="eastAsia" w:asciiTheme="minorEastAsia" w:hAnsiTheme="minorEastAsia" w:eastAsiaTheme="minorEastAsia"/>
          <w:sz w:val="32"/>
          <w:szCs w:val="32"/>
        </w:rPr>
        <w:t>万元、工会经费</w:t>
      </w:r>
      <w:r>
        <w:rPr>
          <w:rFonts w:hint="eastAsia" w:asciiTheme="minorEastAsia" w:hAnsiTheme="minorEastAsia" w:eastAsiaTheme="minorEastAsia"/>
          <w:sz w:val="32"/>
          <w:szCs w:val="32"/>
          <w:lang w:val="en-US" w:eastAsia="zh-CN"/>
        </w:rPr>
        <w:t>37.9</w:t>
      </w:r>
      <w:r>
        <w:rPr>
          <w:rFonts w:hint="eastAsia" w:asciiTheme="minorEastAsia" w:hAnsiTheme="minorEastAsia" w:eastAsiaTheme="minorEastAsia"/>
          <w:sz w:val="32"/>
          <w:szCs w:val="32"/>
        </w:rPr>
        <w:t>万元、福利费</w:t>
      </w:r>
      <w:r>
        <w:rPr>
          <w:rFonts w:hint="eastAsia" w:asciiTheme="minorEastAsia" w:hAnsiTheme="minorEastAsia" w:eastAsiaTheme="minorEastAsia"/>
          <w:sz w:val="32"/>
          <w:szCs w:val="32"/>
          <w:lang w:val="en-US" w:eastAsia="zh-CN"/>
        </w:rPr>
        <w:t>21.4</w:t>
      </w:r>
      <w:r>
        <w:rPr>
          <w:rFonts w:hint="eastAsia" w:asciiTheme="minorEastAsia" w:hAnsiTheme="minorEastAsia" w:eastAsiaTheme="minorEastAsia"/>
          <w:sz w:val="32"/>
          <w:szCs w:val="32"/>
        </w:rPr>
        <w:t>万元、公务用车运行维护费</w:t>
      </w:r>
      <w:r>
        <w:rPr>
          <w:rFonts w:hint="eastAsia" w:asciiTheme="minorEastAsia" w:hAnsiTheme="minorEastAsia" w:eastAsiaTheme="minorEastAsia"/>
          <w:sz w:val="32"/>
          <w:szCs w:val="32"/>
          <w:lang w:val="en-US" w:eastAsia="zh-CN"/>
        </w:rPr>
        <w:t>4.4</w:t>
      </w:r>
      <w:r>
        <w:rPr>
          <w:rFonts w:hint="eastAsia" w:asciiTheme="minorEastAsia" w:hAnsiTheme="minorEastAsia" w:eastAsiaTheme="minorEastAsia"/>
          <w:sz w:val="32"/>
          <w:szCs w:val="32"/>
        </w:rPr>
        <w:t>万元、其他交通费用</w:t>
      </w:r>
      <w:r>
        <w:rPr>
          <w:rFonts w:hint="eastAsia" w:asciiTheme="minorEastAsia" w:hAnsiTheme="minorEastAsia" w:eastAsiaTheme="minorEastAsia"/>
          <w:sz w:val="32"/>
          <w:szCs w:val="32"/>
          <w:lang w:val="en-US" w:eastAsia="zh-CN"/>
        </w:rPr>
        <w:t>21.8</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其他商品和服务支出</w:t>
      </w:r>
      <w:r>
        <w:rPr>
          <w:rFonts w:hint="eastAsia" w:asciiTheme="minorEastAsia" w:hAnsiTheme="minorEastAsia" w:eastAsiaTheme="minorEastAsia"/>
          <w:sz w:val="32"/>
          <w:szCs w:val="32"/>
          <w:lang w:val="en-US" w:eastAsia="zh-CN"/>
        </w:rPr>
        <w:t>24.9</w:t>
      </w:r>
      <w:r>
        <w:rPr>
          <w:rFonts w:hint="eastAsia" w:asciiTheme="minorEastAsia" w:hAnsiTheme="minorEastAsia" w:eastAsiaTheme="minorEastAsia"/>
          <w:sz w:val="32"/>
          <w:szCs w:val="32"/>
        </w:rPr>
        <w:t>万元。</w:t>
      </w:r>
    </w:p>
    <w:p>
      <w:pPr>
        <w:ind w:firstLine="640" w:firstLineChars="200"/>
        <w:rPr>
          <w:rFonts w:asciiTheme="minorEastAsia" w:hAnsiTheme="minorEastAsia" w:eastAsiaTheme="minorEastAsia"/>
          <w:sz w:val="32"/>
          <w:szCs w:val="32"/>
        </w:rPr>
      </w:pPr>
    </w:p>
    <w:p>
      <w:pPr>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三公经费使用情况：</w:t>
      </w:r>
      <w:r>
        <w:rPr>
          <w:rFonts w:hint="eastAsia" w:ascii="仿宋_GB2312" w:hAnsi="仿宋" w:eastAsia="仿宋_GB2312" w:cs="仿宋"/>
          <w:color w:val="000000"/>
          <w:sz w:val="32"/>
          <w:szCs w:val="32"/>
          <w:lang w:eastAsia="zh-CN"/>
        </w:rPr>
        <w:t>2025</w:t>
      </w:r>
      <w:r>
        <w:rPr>
          <w:rFonts w:hint="eastAsia" w:asciiTheme="minorEastAsia" w:hAnsiTheme="minorEastAsia" w:eastAsiaTheme="minorEastAsia"/>
          <w:sz w:val="32"/>
          <w:szCs w:val="32"/>
        </w:rPr>
        <w:t>年度本单位“三公”经费总额为</w:t>
      </w:r>
      <w:r>
        <w:rPr>
          <w:rFonts w:hint="eastAsia" w:asciiTheme="minorEastAsia" w:hAnsiTheme="minorEastAsia"/>
          <w:sz w:val="32"/>
          <w:szCs w:val="32"/>
          <w:lang w:val="en-US" w:eastAsia="zh-CN"/>
        </w:rPr>
        <w:t>4.4</w:t>
      </w:r>
      <w:r>
        <w:rPr>
          <w:rFonts w:hint="eastAsia" w:asciiTheme="minorEastAsia" w:hAnsiTheme="minorEastAsia" w:eastAsiaTheme="minorEastAsia"/>
          <w:sz w:val="32"/>
          <w:szCs w:val="32"/>
        </w:rPr>
        <w:t>万元，其中公务用车运行及维护费用</w:t>
      </w:r>
      <w:r>
        <w:rPr>
          <w:rFonts w:hint="eastAsia" w:asciiTheme="minorEastAsia" w:hAnsiTheme="minorEastAsia" w:eastAsiaTheme="minorEastAsia"/>
          <w:sz w:val="32"/>
          <w:szCs w:val="32"/>
          <w:lang w:val="en-US" w:eastAsia="zh-CN"/>
        </w:rPr>
        <w:t>4.4</w:t>
      </w:r>
      <w:r>
        <w:rPr>
          <w:rFonts w:hint="eastAsia" w:asciiTheme="minorEastAsia" w:hAnsiTheme="minorEastAsia" w:eastAsiaTheme="minorEastAsia"/>
          <w:sz w:val="32"/>
          <w:szCs w:val="32"/>
        </w:rPr>
        <w:t>万元，公务接待费</w:t>
      </w:r>
      <w:r>
        <w:rPr>
          <w:rFonts w:hint="eastAsia" w:asciiTheme="minorEastAsia" w:hAnsi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sz w:val="32"/>
          <w:szCs w:val="32"/>
          <w:lang w:eastAsia="zh-CN"/>
        </w:rPr>
        <w:t>2025</w:t>
      </w:r>
      <w:r>
        <w:rPr>
          <w:rFonts w:hint="eastAsia" w:asciiTheme="minorEastAsia" w:hAnsiTheme="minorEastAsia" w:eastAsiaTheme="minorEastAsia"/>
          <w:sz w:val="32"/>
          <w:szCs w:val="32"/>
        </w:rPr>
        <w:t>年公务用车购置数0台，车辆保有量1台</w:t>
      </w:r>
      <w:r>
        <w:rPr>
          <w:rFonts w:hint="eastAsia" w:ascii="仿宋_GB2312" w:hAnsi="黑体" w:eastAsia="仿宋_GB2312"/>
          <w:sz w:val="32"/>
          <w:szCs w:val="32"/>
        </w:rPr>
        <w:t>。</w:t>
      </w:r>
    </w:p>
    <w:p>
      <w:pPr>
        <w:widowControl/>
        <w:spacing w:line="600" w:lineRule="atLeast"/>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w:t>
      </w:r>
      <w:r>
        <w:rPr>
          <w:rFonts w:asciiTheme="minorEastAsia" w:hAnsiTheme="minorEastAsia" w:eastAsiaTheme="minorEastAsia"/>
          <w:b/>
          <w:sz w:val="32"/>
          <w:szCs w:val="32"/>
        </w:rPr>
        <w:t>、</w:t>
      </w:r>
      <w:r>
        <w:rPr>
          <w:rFonts w:hint="eastAsia" w:asciiTheme="minorEastAsia" w:hAnsiTheme="minorEastAsia" w:eastAsiaTheme="minorEastAsia"/>
          <w:b/>
          <w:sz w:val="32"/>
          <w:szCs w:val="32"/>
        </w:rPr>
        <w:t>部门整体支出管理情况</w:t>
      </w:r>
    </w:p>
    <w:p>
      <w:pPr>
        <w:adjustRightInd w:val="0"/>
        <w:snapToGrid w:val="0"/>
        <w:spacing w:line="600" w:lineRule="exact"/>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领导高度重视，制度执行比较到位，资金使用效益进一步提高。</w:t>
      </w:r>
      <w:r>
        <w:rPr>
          <w:rFonts w:hint="eastAsia" w:asciiTheme="minorEastAsia" w:hAnsiTheme="minorEastAsia"/>
          <w:sz w:val="32"/>
          <w:szCs w:val="32"/>
          <w:lang w:eastAsia="zh-CN"/>
        </w:rPr>
        <w:t>2025</w:t>
      </w:r>
      <w:r>
        <w:rPr>
          <w:rFonts w:hint="eastAsia" w:asciiTheme="minorEastAsia" w:hAnsiTheme="minorEastAsia" w:eastAsiaTheme="minorEastAsia"/>
          <w:sz w:val="32"/>
          <w:szCs w:val="32"/>
        </w:rPr>
        <w:t>年度加强了财务管理，落实厉行节约的各项规定，“三公”经费实现了有效压缩。</w:t>
      </w:r>
    </w:p>
    <w:p>
      <w:pPr>
        <w:widowControl/>
        <w:spacing w:line="600" w:lineRule="atLeast"/>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四</w:t>
      </w:r>
      <w:r>
        <w:rPr>
          <w:rFonts w:asciiTheme="minorEastAsia" w:hAnsiTheme="minorEastAsia" w:eastAsiaTheme="minorEastAsia"/>
          <w:b/>
          <w:sz w:val="32"/>
          <w:szCs w:val="32"/>
        </w:rPr>
        <w:t>、</w:t>
      </w:r>
      <w:r>
        <w:rPr>
          <w:rFonts w:hint="eastAsia" w:asciiTheme="minorEastAsia" w:hAnsiTheme="minorEastAsia" w:eastAsiaTheme="minorEastAsia"/>
          <w:b/>
          <w:sz w:val="32"/>
          <w:szCs w:val="32"/>
        </w:rPr>
        <w:t>部门整体支出</w:t>
      </w:r>
      <w:r>
        <w:rPr>
          <w:rFonts w:asciiTheme="minorEastAsia" w:hAnsiTheme="minorEastAsia" w:eastAsiaTheme="minorEastAsia"/>
          <w:b/>
          <w:sz w:val="32"/>
          <w:szCs w:val="32"/>
        </w:rPr>
        <w:t>绩效情况</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楷体_GB2312" w:hAnsi="楷体_GB2312" w:eastAsia="楷体_GB2312" w:cs="楷体_GB2312"/>
          <w:b/>
          <w:bCs/>
          <w:sz w:val="32"/>
          <w:szCs w:val="32"/>
          <w:lang w:val="en-US" w:eastAsia="zh-CN"/>
        </w:rPr>
        <w:t>（一）党建引领明方向，凝心聚力固根本。</w:t>
      </w:r>
      <w:r>
        <w:rPr>
          <w:rFonts w:hint="eastAsia" w:ascii="仿宋_GB2312" w:hAnsi="仿宋_GB2312" w:eastAsia="仿宋_GB2312" w:cs="仿宋_GB2312"/>
          <w:b/>
          <w:bCs/>
          <w:color w:val="000000"/>
          <w:kern w:val="2"/>
          <w:sz w:val="32"/>
          <w:szCs w:val="32"/>
          <w:lang w:val="en-US" w:eastAsia="zh-CN" w:bidi="ar-SA"/>
        </w:rPr>
        <w:t>一是坚持抓学习，理论武装入脑入心。</w:t>
      </w:r>
      <w:r>
        <w:rPr>
          <w:rFonts w:hint="eastAsia" w:ascii="仿宋_GB2312" w:hAnsi="仿宋_GB2312" w:eastAsia="仿宋_GB2312" w:cs="仿宋_GB2312"/>
          <w:b w:val="0"/>
          <w:bCs w:val="0"/>
          <w:color w:val="000000"/>
          <w:kern w:val="2"/>
          <w:sz w:val="32"/>
          <w:szCs w:val="32"/>
          <w:lang w:eastAsia="zh-CN" w:bidi="ar-SA"/>
        </w:rPr>
        <w:t>街道</w:t>
      </w:r>
      <w:r>
        <w:rPr>
          <w:rFonts w:hint="eastAsia" w:ascii="仿宋_GB2312" w:hAnsi="仿宋" w:eastAsia="仿宋_GB2312" w:cs="仿宋"/>
          <w:sz w:val="32"/>
          <w:szCs w:val="32"/>
          <w:lang w:val="en-US" w:eastAsia="zh-CN"/>
        </w:rPr>
        <w:t>始终</w:t>
      </w:r>
      <w:r>
        <w:rPr>
          <w:rFonts w:hint="eastAsia" w:ascii="仿宋_GB2312" w:hAnsi="仿宋_GB2312" w:eastAsia="仿宋_GB2312" w:cs="仿宋_GB2312"/>
          <w:b w:val="0"/>
          <w:bCs w:val="0"/>
          <w:color w:val="000000"/>
          <w:kern w:val="2"/>
          <w:sz w:val="32"/>
          <w:szCs w:val="32"/>
          <w:lang w:eastAsia="zh-CN" w:bidi="ar-SA"/>
        </w:rPr>
        <w:t>坚持</w:t>
      </w:r>
      <w:r>
        <w:rPr>
          <w:rFonts w:hint="eastAsia" w:ascii="仿宋_GB2312" w:hAnsi="仿宋" w:eastAsia="仿宋_GB2312" w:cs="仿宋"/>
          <w:sz w:val="32"/>
          <w:szCs w:val="32"/>
        </w:rPr>
        <w:t>把意识形态工作摆在</w:t>
      </w:r>
      <w:r>
        <w:rPr>
          <w:rFonts w:hint="eastAsia" w:ascii="仿宋_GB2312" w:hAnsi="仿宋" w:eastAsia="仿宋_GB2312" w:cs="仿宋"/>
          <w:sz w:val="32"/>
          <w:szCs w:val="32"/>
          <w:lang w:eastAsia="zh-CN"/>
        </w:rPr>
        <w:t>首</w:t>
      </w:r>
      <w:r>
        <w:rPr>
          <w:rFonts w:hint="eastAsia" w:ascii="仿宋_GB2312" w:hAnsi="仿宋" w:eastAsia="仿宋_GB2312" w:cs="仿宋"/>
          <w:sz w:val="32"/>
          <w:szCs w:val="32"/>
        </w:rPr>
        <w:t>要位置</w:t>
      </w:r>
      <w:r>
        <w:rPr>
          <w:rFonts w:hint="eastAsia" w:ascii="仿宋_GB2312" w:hAnsi="仿宋" w:eastAsia="仿宋_GB2312" w:cs="仿宋"/>
          <w:sz w:val="32"/>
          <w:szCs w:val="32"/>
          <w:lang w:eastAsia="zh-CN"/>
        </w:rPr>
        <w:t>，抓牢抓实第一议题和理论中心组学习。</w:t>
      </w:r>
      <w:r>
        <w:rPr>
          <w:rFonts w:hint="eastAsia" w:ascii="仿宋_GB2312" w:hAnsi="仿宋" w:eastAsia="仿宋_GB2312" w:cs="仿宋"/>
          <w:sz w:val="32"/>
          <w:szCs w:val="32"/>
          <w:lang w:val="en-US" w:eastAsia="zh-CN"/>
        </w:rPr>
        <w:t>2025年来共开展第一议题学习28次，</w:t>
      </w:r>
      <w:r>
        <w:rPr>
          <w:rFonts w:hint="eastAsia" w:ascii="仿宋_GB2312" w:hAnsi="仿宋_GB2312" w:eastAsia="仿宋_GB2312" w:cs="仿宋_GB2312"/>
          <w:sz w:val="32"/>
          <w:szCs w:val="32"/>
          <w:lang w:eastAsia="zh-CN"/>
        </w:rPr>
        <w:t>开展理论学习中心组学习</w:t>
      </w:r>
      <w:r>
        <w:rPr>
          <w:rFonts w:hint="eastAsia" w:ascii="仿宋_GB2312" w:hAnsi="仿宋_GB2312" w:eastAsia="仿宋_GB2312" w:cs="仿宋_GB2312"/>
          <w:sz w:val="32"/>
          <w:szCs w:val="32"/>
          <w:lang w:val="en-US" w:eastAsia="zh-CN"/>
        </w:rPr>
        <w:t>12次。</w:t>
      </w:r>
      <w:r>
        <w:rPr>
          <w:rFonts w:hint="eastAsia" w:ascii="仿宋" w:hAnsi="仿宋" w:eastAsia="仿宋" w:cs="仿宋"/>
          <w:i w:val="0"/>
          <w:iCs w:val="0"/>
          <w:caps w:val="0"/>
          <w:color w:val="auto"/>
          <w:spacing w:val="0"/>
          <w:sz w:val="32"/>
          <w:szCs w:val="32"/>
          <w:shd w:val="clear" w:fill="FFFFFF"/>
          <w:lang w:val="en-US" w:eastAsia="zh-CN"/>
        </w:rPr>
        <w:t>将习近平总书记对统战工作的指示及统战工作理论纳入党工委理论学习中心组、主题党课学习，认真组织干部职工学习《2025年全县统一战线工作要点》等理论政策，按照三级网络两级责任制的要求，切实摸清少数民族、宗教信徒、乡贤等民宗工作基本情况，做到基础数据心中有底。</w:t>
      </w:r>
      <w:r>
        <w:rPr>
          <w:rFonts w:hint="eastAsia" w:ascii="仿宋_GB2312" w:hAnsi="仿宋_GB2312" w:eastAsia="仿宋_GB2312" w:cs="仿宋_GB2312"/>
          <w:b w:val="0"/>
          <w:bCs w:val="0"/>
          <w:color w:val="000000"/>
          <w:kern w:val="2"/>
          <w:sz w:val="32"/>
          <w:szCs w:val="32"/>
          <w:lang w:eastAsia="zh-CN" w:bidi="ar-SA"/>
        </w:rPr>
        <w:t>把开展深入贯彻中央八项规定精神学习教育作为一项重要政治任务来抓，</w:t>
      </w:r>
      <w:r>
        <w:rPr>
          <w:rFonts w:hint="eastAsia" w:ascii="仿宋_GB2312" w:hAnsi="仿宋_GB2312" w:eastAsia="仿宋_GB2312" w:cs="仿宋_GB2312"/>
          <w:b w:val="0"/>
          <w:bCs w:val="0"/>
          <w:color w:val="000000"/>
          <w:kern w:val="2"/>
          <w:sz w:val="32"/>
          <w:szCs w:val="32"/>
          <w:lang w:val="en-US" w:eastAsia="zh-CN" w:bidi="ar-SA"/>
        </w:rPr>
        <w:t>党工委</w:t>
      </w:r>
      <w:r>
        <w:rPr>
          <w:rFonts w:hint="eastAsia" w:ascii="仿宋_GB2312" w:hAnsi="仿宋_GB2312" w:eastAsia="仿宋_GB2312" w:cs="仿宋_GB2312"/>
          <w:b w:val="0"/>
          <w:bCs w:val="0"/>
          <w:color w:val="000000"/>
          <w:kern w:val="2"/>
          <w:sz w:val="32"/>
          <w:szCs w:val="32"/>
          <w:lang w:eastAsia="zh-CN" w:bidi="ar-SA"/>
        </w:rPr>
        <w:t>第一时间召开学习教育启动会传达上级部署会精神，研究学习方案，制定《西洲街道深入贯彻中央八项规定精神学习教育计划》，形成学习教育“施工表”“路线图”，确保街道、社区上下联动、同频共振、一体推进。街道党工委专题研究党纪学习教育工作</w:t>
      </w:r>
      <w:r>
        <w:rPr>
          <w:rFonts w:hint="eastAsia" w:ascii="仿宋_GB2312" w:hAnsi="仿宋_GB2312" w:eastAsia="仿宋_GB2312" w:cs="仿宋_GB2312"/>
          <w:b w:val="0"/>
          <w:bCs w:val="0"/>
          <w:color w:val="000000"/>
          <w:kern w:val="2"/>
          <w:sz w:val="32"/>
          <w:szCs w:val="32"/>
          <w:lang w:val="en-US" w:eastAsia="zh-CN" w:bidi="ar-SA"/>
        </w:rPr>
        <w:t>6</w:t>
      </w:r>
      <w:r>
        <w:rPr>
          <w:rFonts w:hint="eastAsia" w:ascii="仿宋_GB2312" w:hAnsi="仿宋_GB2312" w:eastAsia="仿宋_GB2312" w:cs="仿宋_GB2312"/>
          <w:b w:val="0"/>
          <w:bCs w:val="0"/>
          <w:color w:val="000000"/>
          <w:kern w:val="2"/>
          <w:sz w:val="32"/>
          <w:szCs w:val="32"/>
          <w:lang w:eastAsia="zh-CN" w:bidi="ar-SA"/>
        </w:rPr>
        <w:t>次，组织各党（总）支部学习</w:t>
      </w:r>
      <w:r>
        <w:rPr>
          <w:rFonts w:hint="eastAsia" w:ascii="仿宋_GB2312" w:hAnsi="仿宋_GB2312" w:eastAsia="仿宋_GB2312" w:cs="仿宋_GB2312"/>
          <w:b w:val="0"/>
          <w:bCs w:val="0"/>
          <w:color w:val="000000"/>
          <w:kern w:val="2"/>
          <w:sz w:val="32"/>
          <w:szCs w:val="32"/>
          <w:lang w:val="en-US" w:eastAsia="zh-CN" w:bidi="ar-SA"/>
        </w:rPr>
        <w:t>5</w:t>
      </w:r>
      <w:r>
        <w:rPr>
          <w:rFonts w:hint="eastAsia" w:ascii="仿宋_GB2312" w:hAnsi="仿宋_GB2312" w:eastAsia="仿宋_GB2312" w:cs="仿宋_GB2312"/>
          <w:b w:val="0"/>
          <w:bCs w:val="0"/>
          <w:color w:val="000000"/>
          <w:kern w:val="2"/>
          <w:sz w:val="32"/>
          <w:szCs w:val="32"/>
          <w:lang w:eastAsia="zh-CN" w:bidi="ar-SA"/>
        </w:rPr>
        <w:t>次，集中研讨</w:t>
      </w:r>
      <w:r>
        <w:rPr>
          <w:rFonts w:hint="eastAsia" w:ascii="仿宋_GB2312" w:hAnsi="仿宋_GB2312" w:eastAsia="仿宋_GB2312" w:cs="仿宋_GB2312"/>
          <w:b w:val="0"/>
          <w:bCs w:val="0"/>
          <w:color w:val="000000"/>
          <w:kern w:val="2"/>
          <w:sz w:val="32"/>
          <w:szCs w:val="32"/>
          <w:lang w:val="en-US" w:eastAsia="zh-CN" w:bidi="ar-SA"/>
        </w:rPr>
        <w:t>5次，</w:t>
      </w:r>
      <w:r>
        <w:rPr>
          <w:rFonts w:hint="eastAsia" w:ascii="仿宋_GB2312" w:hAnsi="仿宋_GB2312" w:eastAsia="仿宋_GB2312" w:cs="仿宋_GB2312"/>
          <w:color w:val="000000"/>
          <w:kern w:val="2"/>
          <w:sz w:val="32"/>
          <w:szCs w:val="32"/>
          <w:lang w:val="en-US" w:eastAsia="zh-CN" w:bidi="ar-SA"/>
        </w:rPr>
        <w:t>党组织书记讲专题党课14次，党员、干部讲微党课18次。</w:t>
      </w:r>
      <w:r>
        <w:rPr>
          <w:rFonts w:hint="eastAsia" w:ascii="仿宋_GB2312" w:hAnsi="仿宋_GB2312" w:eastAsia="仿宋_GB2312" w:cs="仿宋_GB2312"/>
          <w:b w:val="0"/>
          <w:bCs w:val="0"/>
          <w:color w:val="000000"/>
          <w:kern w:val="2"/>
          <w:sz w:val="32"/>
          <w:szCs w:val="32"/>
          <w:lang w:eastAsia="zh-CN" w:bidi="ar-SA"/>
        </w:rPr>
        <w:t>根据不同类别党员的知识结构及学习需求，打造“一主多线”学习模式。针对青年干部，建立“小组推进+导师帮带”立体化组织体系，吸纳35岁以下干部全员参学。推行“双导师制”，班子成员与年轻干部结对帮带，开展青年理论学习小组专题学习研讨</w:t>
      </w:r>
      <w:r>
        <w:rPr>
          <w:rFonts w:hint="eastAsia" w:ascii="仿宋_GB2312" w:hAnsi="仿宋_GB2312" w:eastAsia="仿宋_GB2312" w:cs="仿宋_GB2312"/>
          <w:b w:val="0"/>
          <w:bCs w:val="0"/>
          <w:color w:val="000000"/>
          <w:kern w:val="2"/>
          <w:sz w:val="32"/>
          <w:szCs w:val="32"/>
          <w:lang w:val="en-US" w:eastAsia="zh-CN" w:bidi="ar-SA"/>
        </w:rPr>
        <w:t>4</w:t>
      </w:r>
      <w:r>
        <w:rPr>
          <w:rFonts w:hint="eastAsia" w:ascii="仿宋_GB2312" w:hAnsi="仿宋_GB2312" w:eastAsia="仿宋_GB2312" w:cs="仿宋_GB2312"/>
          <w:b w:val="0"/>
          <w:bCs w:val="0"/>
          <w:color w:val="000000"/>
          <w:kern w:val="2"/>
          <w:sz w:val="32"/>
          <w:szCs w:val="32"/>
          <w:lang w:eastAsia="zh-CN" w:bidi="ar-SA"/>
        </w:rPr>
        <w:t>次。同步推出“普通党员上讲台”“接地气”，将学习教育与“一月一课一片一实践”主题党日活动深度融合，每月安排1名普通党员结合自身经历和工作实际领学，让学习内容更接地气、更具感染力。借助“警示教育”“托深度”，召开全体干部警示教育大会2次，观看警示教育片528人次，引导党员干部以案为鉴、反躬自省，筑牢思想防线。</w:t>
      </w:r>
      <w:r>
        <w:rPr>
          <w:rFonts w:hint="eastAsia" w:ascii="仿宋_GB2312" w:hAnsi="仿宋_GB2312" w:eastAsia="仿宋_GB2312" w:cs="仿宋_GB2312"/>
          <w:b/>
          <w:bCs/>
          <w:color w:val="000000"/>
          <w:kern w:val="2"/>
          <w:sz w:val="32"/>
          <w:szCs w:val="32"/>
          <w:lang w:val="en-US" w:eastAsia="zh-CN" w:bidi="ar-SA"/>
        </w:rPr>
        <w:t>二是坚持强队伍</w:t>
      </w:r>
      <w:r>
        <w:rPr>
          <w:rFonts w:hint="default" w:ascii="仿宋_GB2312" w:hAnsi="仿宋_GB2312" w:eastAsia="仿宋_GB2312" w:cs="仿宋_GB2312"/>
          <w:b/>
          <w:bCs/>
          <w:color w:val="000000"/>
          <w:kern w:val="2"/>
          <w:sz w:val="32"/>
          <w:szCs w:val="32"/>
          <w:lang w:val="en-US" w:eastAsia="zh-CN" w:bidi="ar-SA"/>
        </w:rPr>
        <w:t>，基层基础</w:t>
      </w:r>
      <w:r>
        <w:rPr>
          <w:rFonts w:hint="eastAsia" w:ascii="仿宋_GB2312" w:hAnsi="仿宋_GB2312" w:eastAsia="仿宋_GB2312" w:cs="仿宋_GB2312"/>
          <w:b/>
          <w:bCs/>
          <w:color w:val="000000"/>
          <w:kern w:val="2"/>
          <w:sz w:val="32"/>
          <w:szCs w:val="32"/>
          <w:lang w:val="en-US" w:eastAsia="zh-CN" w:bidi="ar-SA"/>
        </w:rPr>
        <w:t>夯实夯牢</w:t>
      </w:r>
      <w:r>
        <w:rPr>
          <w:rFonts w:hint="default" w:ascii="仿宋_GB2312" w:hAnsi="仿宋_GB2312" w:eastAsia="仿宋_GB2312" w:cs="仿宋_GB2312"/>
          <w:b/>
          <w:bCs/>
          <w:color w:val="000000"/>
          <w:kern w:val="2"/>
          <w:sz w:val="32"/>
          <w:szCs w:val="32"/>
          <w:lang w:val="en-US" w:eastAsia="zh-CN" w:bidi="ar-SA"/>
        </w:rPr>
        <w:t>。</w:t>
      </w:r>
      <w:r>
        <w:rPr>
          <w:rFonts w:hint="eastAsia" w:ascii="仿宋_GB2312" w:hAnsi="仿宋_GB2312" w:eastAsia="仿宋_GB2312" w:cs="仿宋_GB2312"/>
          <w:b w:val="0"/>
          <w:bCs w:val="0"/>
          <w:color w:val="000000"/>
          <w:kern w:val="2"/>
          <w:sz w:val="32"/>
          <w:szCs w:val="32"/>
          <w:lang w:val="en-US" w:eastAsia="zh-CN" w:bidi="ar-SA"/>
        </w:rPr>
        <w:t>严格落实好“三会一课”、组织生活会、民主评议党员等制度，促进党内政治生活扎实开展。充分发挥居民自治共管作用，选优配强片、组、邻“三长”578名，收集并解决问题50余件，进一步夯实基层治理根基。</w:t>
      </w:r>
      <w:r>
        <w:rPr>
          <w:rFonts w:hint="eastAsia" w:ascii="仿宋_GB2312" w:hAnsi="仿宋_GB2312" w:eastAsia="仿宋_GB2312" w:cs="仿宋_GB2312"/>
          <w:color w:val="000000"/>
          <w:kern w:val="2"/>
          <w:sz w:val="32"/>
          <w:szCs w:val="32"/>
          <w:lang w:val="en-US" w:eastAsia="zh-CN" w:bidi="ar-SA"/>
        </w:rPr>
        <w:t>围绕“选准苗子、育强底子、压实担子、搭好台子”目标，按照“部门资格初审 + 党工委考察 + 县级联审”三级审查机制，储备社区后备干部71人（平均年龄32 岁，大专以上学历占83.9%，其中社区党组织书记后备力量13人，优秀大学生跨村任职后备干部2名）；全年补选两委干部1人，发展党员6人，街道32名优秀的网格员按程序转隶为社区专职工作者。“一月一课一片一实践”活动开展有声有色、有质有效；街道党校开展培训班6期，兜底培训582人次。全力推进新兴领域“两个覆盖”集中攻坚，成立党支部14个，省、市社会工作部多次到街道调研街道新兴领域党建工作。街道换届工作平稳有序推进，目前，2个试点社区已完成“两委”换届，“一肩挑”比例达到100%，“两委”干部结构更优，平均年龄下降2.6岁，实现了干部年青化、知识化、专业化“三化”目标，其它4个社区换届工作已完成初步人选推荐，正按程序有序推进中。</w:t>
      </w:r>
      <w:r>
        <w:rPr>
          <w:rFonts w:hint="eastAsia" w:ascii="仿宋_GB2312" w:hAnsi="仿宋_GB2312" w:eastAsia="仿宋_GB2312" w:cs="仿宋_GB2312"/>
          <w:b w:val="0"/>
          <w:bCs w:val="0"/>
          <w:color w:val="000000"/>
          <w:kern w:val="2"/>
          <w:sz w:val="32"/>
          <w:szCs w:val="32"/>
          <w:lang w:val="en-US" w:eastAsia="zh-CN" w:bidi="ar-SA"/>
        </w:rPr>
        <w:t>街道积极探索“志愿服务任务化、服务积分价值化、积分管理长效化”的创新机制，促进社区后备干部在常态化服务群众中提升能力、积累实战经验、树立良好形象。</w:t>
      </w:r>
      <w:r>
        <w:rPr>
          <w:rFonts w:hint="eastAsia" w:ascii="仿宋_GB2312" w:hAnsi="仿宋_GB2312" w:eastAsia="仿宋_GB2312" w:cs="仿宋_GB2312"/>
          <w:b/>
          <w:bCs/>
          <w:color w:val="000000"/>
          <w:kern w:val="2"/>
          <w:sz w:val="32"/>
          <w:szCs w:val="32"/>
          <w:lang w:val="en-US" w:eastAsia="zh-CN" w:bidi="ar-SA"/>
        </w:rPr>
        <w:t>三是坚持管武装，练兵用兵落实落细。</w:t>
      </w:r>
      <w:r>
        <w:rPr>
          <w:rFonts w:hint="eastAsia" w:ascii="仿宋_GB2312" w:hAnsi="仿宋_GB2312" w:eastAsia="仿宋_GB2312" w:cs="仿宋_GB2312"/>
          <w:b w:val="0"/>
          <w:bCs w:val="0"/>
          <w:color w:val="000000"/>
          <w:kern w:val="2"/>
          <w:sz w:val="32"/>
          <w:szCs w:val="32"/>
          <w:lang w:val="en-US" w:eastAsia="zh-CN" w:bidi="ar-SA"/>
        </w:rPr>
        <w:t>提升应急能力，锻造过硬队伍。今年来，我们秉持严谨态度，严格依照相关标准组织开展民兵点验工作，旨在着重提升应急处突能力。在点验过程中，我们严格遵循既定程序，对民兵的人员编成、装备配备以及战备状态等方面展开了全面且细致的检查。同时，结合点验工作同步开展应急训练，训练内容涵盖防汛抗旱、维稳处突、森林防火等多个项目。通过组织实战化演练，切实提高了民兵的应急响应能力与协同作战能力。严把兵员质量，输送优质力量。狠抓兵员征集工作，</w:t>
      </w:r>
      <w:r>
        <w:rPr>
          <w:rFonts w:hint="eastAsia" w:ascii="仿宋" w:hAnsi="仿宋" w:eastAsia="仿宋" w:cs="仿宋"/>
          <w:sz w:val="32"/>
          <w:szCs w:val="32"/>
          <w:lang w:val="en-US" w:eastAsia="zh-CN"/>
        </w:rPr>
        <w:t>街道成立征兵领导小组研究部署征兵工作，精准收集大学毕业生信息，完善信息台账，领导班子带队“一对一”登门动员。秉持优中选优的原则，严把“体检关、年龄关、学历关、走访关、政审关”，细致全面地进行政审和走访，真实地掌握各个应征青年具体情况。按照大学生征兵工作“三走遍，三签字”活动的要求，共印发宣传资料和征兵公告千余张，悬挂横幅40余条，宣传板报20余块，发放征兵宣传单6000余份。2025年度西洲街道上站体检15人，双合格5人，输送兵员2人无责任退兵。</w:t>
      </w:r>
      <w:r>
        <w:rPr>
          <w:rFonts w:hint="eastAsia" w:ascii="仿宋_GB2312" w:hAnsi="仿宋_GB2312" w:eastAsia="仿宋_GB2312" w:cs="仿宋_GB2312"/>
          <w:b/>
          <w:bCs/>
          <w:color w:val="000000"/>
          <w:kern w:val="2"/>
          <w:sz w:val="32"/>
          <w:szCs w:val="32"/>
          <w:lang w:val="en-US" w:eastAsia="zh-CN" w:bidi="ar-SA"/>
        </w:rPr>
        <w:t>四是坚持严作风，从严治党有力有效。</w:t>
      </w:r>
      <w:r>
        <w:rPr>
          <w:rFonts w:hint="eastAsia" w:ascii="仿宋_GB2312" w:hAnsi="仿宋_GB2312" w:eastAsia="仿宋_GB2312" w:cs="仿宋_GB2312"/>
          <w:b w:val="0"/>
          <w:bCs w:val="0"/>
          <w:color w:val="000000"/>
          <w:kern w:val="2"/>
          <w:sz w:val="32"/>
          <w:szCs w:val="32"/>
          <w:lang w:val="en-US" w:eastAsia="zh-CN" w:bidi="ar-SA"/>
        </w:rPr>
        <w:t>加强作风建设，按照党工委的重点工作部署在哪里，纪委的监督检查到哪里的要求，开展作风督查12次，为街道综治维稳、创文创卫、安全生产和经济发展等工作提供坚强的纪律保障。开展警示教育，组织观看警示教育片1次，传达学习上级纪委下发的通报和党员干部违纪违法案例及《三湘风纪》和《清廉永州》公众号中的典型案例通报，筑牢党员干部职工的思想防线和底线。突出案件办理，持续开展“群腐”集中整治，以“零容忍”的态度释放严的信号，处置问题线索7条，立案4起，办理县纪委指定管辖案件2起，结案3起，处分3人，提醒谈话4人，实现检举控告类“零信访”。</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（二）城市建设提品质，精雕细琢展新颜。</w:t>
      </w:r>
      <w:r>
        <w:rPr>
          <w:rFonts w:hint="eastAsia" w:ascii="仿宋_GB2312" w:hAnsi="仿宋_GB2312" w:eastAsia="仿宋_GB2312" w:cs="仿宋_GB2312"/>
          <w:b/>
          <w:bCs/>
          <w:kern w:val="2"/>
          <w:sz w:val="32"/>
          <w:szCs w:val="32"/>
          <w:lang w:val="en-US" w:eastAsia="zh-CN" w:bidi="ar-SA"/>
        </w:rPr>
        <w:t>一是城市发展有声有色。</w:t>
      </w:r>
      <w:r>
        <w:rPr>
          <w:rFonts w:hint="eastAsia" w:ascii="仿宋_GB2312" w:hAnsi="仿宋_GB2312" w:eastAsia="仿宋_GB2312" w:cs="仿宋_GB2312"/>
          <w:kern w:val="2"/>
          <w:sz w:val="32"/>
          <w:szCs w:val="32"/>
          <w:lang w:val="en-US" w:eastAsia="zh-CN" w:bidi="ar-SA"/>
        </w:rPr>
        <w:t>完成老旧小区改造</w:t>
      </w:r>
      <w:r>
        <w:rPr>
          <w:rFonts w:hint="eastAsia" w:ascii="仿宋_GB2312" w:hAnsi="仿宋_GB2312" w:eastAsia="仿宋_GB2312" w:cs="仿宋_GB2312"/>
          <w:color w:val="auto"/>
          <w:kern w:val="2"/>
          <w:sz w:val="32"/>
          <w:szCs w:val="32"/>
          <w:lang w:val="en-US" w:eastAsia="zh-CN" w:bidi="ar-SA"/>
        </w:rPr>
        <w:t>17</w:t>
      </w:r>
      <w:r>
        <w:rPr>
          <w:rFonts w:hint="eastAsia" w:ascii="仿宋_GB2312" w:hAnsi="仿宋_GB2312" w:eastAsia="仿宋_GB2312" w:cs="仿宋_GB2312"/>
          <w:kern w:val="2"/>
          <w:sz w:val="32"/>
          <w:szCs w:val="32"/>
          <w:lang w:val="en-US" w:eastAsia="zh-CN" w:bidi="ar-SA"/>
        </w:rPr>
        <w:t>个，完成背街小巷提质改造37条，有效解决辖区道路不通畅问题和老城区背街小巷污水排放不畅等问题，完成白马公园建设项目迁坟86座，城西片区开发、滨河路三段、江湾尚品小区等重点项目顺利推进。</w:t>
      </w:r>
      <w:r>
        <w:rPr>
          <w:rFonts w:hint="eastAsia" w:ascii="仿宋_GB2312" w:hAnsi="仿宋_GB2312" w:eastAsia="仿宋_GB2312" w:cs="仿宋_GB2312"/>
          <w:color w:val="000000"/>
          <w:kern w:val="2"/>
          <w:sz w:val="32"/>
          <w:szCs w:val="32"/>
          <w:lang w:val="en-US" w:eastAsia="zh-CN" w:bidi="ar-SA"/>
        </w:rPr>
        <w:t>持续推广</w:t>
      </w:r>
      <w:r>
        <w:rPr>
          <w:rFonts w:hint="default" w:ascii="仿宋_GB2312" w:hAnsi="仿宋_GB2312" w:eastAsia="仿宋_GB2312" w:cs="仿宋_GB2312"/>
          <w:color w:val="000000"/>
          <w:kern w:val="2"/>
          <w:sz w:val="32"/>
          <w:szCs w:val="32"/>
          <w:lang w:val="en-US" w:eastAsia="zh-CN" w:bidi="ar-SA"/>
        </w:rPr>
        <w:t>“党建+社区+公司”模式，社区公司发展到4家</w:t>
      </w:r>
      <w:r>
        <w:rPr>
          <w:rFonts w:hint="eastAsia" w:ascii="仿宋_GB2312" w:hAnsi="仿宋_GB2312" w:eastAsia="仿宋_GB2312" w:cs="仿宋_GB2312"/>
          <w:color w:val="000000"/>
          <w:kern w:val="2"/>
          <w:sz w:val="32"/>
          <w:szCs w:val="32"/>
          <w:lang w:val="en-US" w:eastAsia="zh-CN" w:bidi="ar-SA"/>
        </w:rPr>
        <w:t>并实体运营盈利。及时回应居民诉求，投入资金对小江口农贸市场进行了提质改造，通过改造和功能分区，进一步划行归市、完善相关设施，该市场经营环境差的问题得到了极大改善。以国家非遗龙舟赛文化为契机，大力开展宣传，推动玉龙湾沿河风光带及夜色经济蓬勃发展。</w:t>
      </w:r>
      <w:r>
        <w:rPr>
          <w:rFonts w:hint="eastAsia" w:ascii="仿宋_GB2312" w:hAnsi="仿宋_GB2312" w:eastAsia="仿宋_GB2312" w:cs="仿宋_GB2312"/>
          <w:b/>
          <w:bCs/>
          <w:kern w:val="2"/>
          <w:sz w:val="32"/>
          <w:szCs w:val="32"/>
          <w:lang w:val="en-US" w:eastAsia="zh-CN" w:bidi="ar-SA"/>
        </w:rPr>
        <w:t>二是</w:t>
      </w:r>
      <w:r>
        <w:rPr>
          <w:rFonts w:hint="eastAsia" w:ascii="仿宋_GB2312" w:hAnsi="仿宋_GB2312" w:eastAsia="仿宋_GB2312" w:cs="仿宋_GB2312"/>
          <w:b/>
          <w:bCs/>
          <w:kern w:val="2"/>
          <w:sz w:val="32"/>
          <w:szCs w:val="32"/>
          <w:lang w:eastAsia="zh-CN" w:bidi="ar-SA"/>
        </w:rPr>
        <w:t>文明创建</w:t>
      </w:r>
      <w:r>
        <w:rPr>
          <w:rFonts w:hint="eastAsia" w:ascii="仿宋_GB2312" w:hAnsi="仿宋_GB2312" w:eastAsia="仿宋_GB2312" w:cs="仿宋_GB2312"/>
          <w:b/>
          <w:bCs/>
          <w:kern w:val="2"/>
          <w:sz w:val="32"/>
          <w:szCs w:val="32"/>
          <w:lang w:val="en-US" w:eastAsia="zh-CN" w:bidi="ar-SA"/>
        </w:rPr>
        <w:t>有效巩固</w:t>
      </w:r>
      <w:r>
        <w:rPr>
          <w:rFonts w:hint="eastAsia" w:ascii="仿宋_GB2312" w:hAnsi="仿宋_GB2312" w:eastAsia="仿宋_GB2312" w:cs="仿宋_GB2312"/>
          <w:b/>
          <w:bCs/>
          <w:kern w:val="2"/>
          <w:sz w:val="32"/>
          <w:szCs w:val="32"/>
          <w:lang w:eastAsia="zh-CN" w:bidi="ar-SA"/>
        </w:rPr>
        <w:t>。</w:t>
      </w:r>
      <w:r>
        <w:rPr>
          <w:rFonts w:hint="eastAsia" w:ascii="仿宋_GB2312" w:hAnsi="仿宋_GB2312" w:eastAsia="仿宋_GB2312" w:cs="仿宋_GB2312"/>
          <w:kern w:val="2"/>
          <w:sz w:val="32"/>
          <w:szCs w:val="32"/>
          <w:lang w:val="en-US" w:eastAsia="zh-CN" w:bidi="ar-SA"/>
        </w:rPr>
        <w:t>常态化开展文明创建日活动及日常环境治理，制止“六乱”现象，维护交通、市容秩序，落实“门前三包”责任制，引导居民明确自身责任，履行自身义务，促进文明行为养成。</w:t>
      </w:r>
      <w:r>
        <w:rPr>
          <w:rFonts w:hint="eastAsia" w:ascii="仿宋_GB2312" w:hAnsi="仿宋_GB2312" w:eastAsia="仿宋_GB2312" w:cs="仿宋_GB2312"/>
          <w:kern w:val="0"/>
          <w:sz w:val="32"/>
          <w:szCs w:val="32"/>
          <w:lang w:val="en-US" w:eastAsia="zh-CN" w:bidi="ar"/>
        </w:rPr>
        <w:t>充分发挥红白理事会的作用，通过巡查入户等方式开展文明殡葬宣传，签订红白喜事操办承诺书，有效引导群众摒弃陈规陋习，树立文明新风尚。持续深入推进新时代文明实践所（站）建设，</w:t>
      </w:r>
      <w:r>
        <w:rPr>
          <w:rFonts w:hint="eastAsia" w:ascii="仿宋_GB2312" w:hAnsi="仿宋_GB2312" w:eastAsia="仿宋_GB2312" w:cs="仿宋_GB2312"/>
          <w:kern w:val="2"/>
          <w:sz w:val="32"/>
          <w:szCs w:val="32"/>
          <w:lang w:val="en-US" w:eastAsia="zh-CN" w:bidi="ar-SA"/>
        </w:rPr>
        <w:t>街道</w:t>
      </w:r>
      <w:r>
        <w:rPr>
          <w:rFonts w:hint="eastAsia" w:ascii="仿宋_GB2312" w:hAnsi="仿宋_GB2312" w:eastAsia="仿宋_GB2312" w:cs="仿宋_GB2312"/>
          <w:color w:val="000000"/>
          <w:kern w:val="2"/>
          <w:sz w:val="32"/>
          <w:szCs w:val="32"/>
          <w:lang w:val="en-US" w:eastAsia="zh-CN" w:bidi="ar-SA"/>
        </w:rPr>
        <w:t>投入近20万元在大坪子社区建立示范积分超市、文明集市，“道州好市民”志愿服务活动常态化开展，为巩固全国文明城市创建工作做出积极贡献</w:t>
      </w:r>
      <w:r>
        <w:rPr>
          <w:rFonts w:hint="eastAsia" w:ascii="仿宋_GB2312" w:hAnsi="仿宋_GB2312" w:eastAsia="仿宋_GB2312" w:cs="仿宋_GB2312"/>
          <w:b w:val="0"/>
          <w:bCs w:val="0"/>
          <w:color w:val="000000"/>
          <w:kern w:val="2"/>
          <w:sz w:val="32"/>
          <w:szCs w:val="32"/>
          <w:lang w:val="en-US" w:eastAsia="zh-CN" w:bidi="ar-SA"/>
        </w:rPr>
        <w:t>。</w:t>
      </w:r>
      <w:r>
        <w:rPr>
          <w:rFonts w:hint="eastAsia" w:ascii="仿宋_GB2312" w:hAnsi="仿宋_GB2312" w:eastAsia="仿宋_GB2312" w:cs="仿宋_GB2312"/>
          <w:b/>
          <w:bCs/>
          <w:color w:val="000000"/>
          <w:kern w:val="2"/>
          <w:sz w:val="32"/>
          <w:szCs w:val="32"/>
          <w:lang w:val="en-US" w:eastAsia="zh-CN" w:bidi="ar-SA"/>
        </w:rPr>
        <w:t>三是污染防治成效良好。</w:t>
      </w:r>
      <w:r>
        <w:rPr>
          <w:rFonts w:hint="eastAsia" w:ascii="仿宋" w:hAnsi="仿宋" w:eastAsia="仿宋" w:cs="仿宋"/>
          <w:sz w:val="32"/>
          <w:szCs w:val="32"/>
          <w:lang w:val="en-US" w:eastAsia="zh-CN"/>
        </w:rPr>
        <w:t>认真做好露天禁烧宣传，通过拉横幅、发放宣传资料、张贴标语、电子显示屏滚动播放等方式，大力宣传环保理念，提高群众环保意识，通过入户宣传秸秆禁限烧相关政策，辖区农户入户累计覆盖率已达到100%。持续开展禁燃禁放烟花爆竹防控行动，组织人员在除夕、立春和元宵节等节假日到火车站广场、敦颐广场、西洲公园参加烟花爆竹禁燃禁放联合防控，同时大力开展禁燃禁放烟花爆竹宣传活动，有效改善城市的空气质量。</w:t>
      </w:r>
      <w:r>
        <w:rPr>
          <w:rFonts w:hint="eastAsia" w:ascii="仿宋" w:hAnsi="仿宋" w:eastAsia="仿宋" w:cs="仿宋"/>
          <w:kern w:val="2"/>
          <w:sz w:val="32"/>
          <w:szCs w:val="32"/>
          <w:lang w:val="en-US" w:eastAsia="zh-CN" w:bidi="ar-SA"/>
        </w:rPr>
        <w:t>以河道清理和周边环境卫生整治、污染源排查整治为工作重点，联系环卫公司，定期发动街道、社区志愿者身穿红马甲对河道垃圾进行清理，河道面貌焕然一新。</w:t>
      </w:r>
      <w:r>
        <w:rPr>
          <w:rFonts w:hint="eastAsia" w:ascii="仿宋_GB2312" w:hAnsi="仿宋_GB2312" w:eastAsia="仿宋_GB2312" w:cs="仿宋_GB2312"/>
          <w:kern w:val="0"/>
          <w:sz w:val="32"/>
          <w:szCs w:val="32"/>
          <w:lang w:val="en-US" w:eastAsia="zh-CN" w:bidi="ar"/>
        </w:rPr>
        <w:t>对群众投诉的环境污染问题，主动作为，完成鹭鸶塘路污水管网建设2处，处理糖厂南区环境污染问题1起，</w:t>
      </w:r>
      <w:r>
        <w:rPr>
          <w:rFonts w:hint="eastAsia" w:ascii="仿宋" w:hAnsi="仿宋" w:eastAsia="仿宋" w:cs="仿宋"/>
          <w:sz w:val="32"/>
          <w:szCs w:val="32"/>
          <w:lang w:val="en-US" w:eastAsia="zh-CN"/>
        </w:rPr>
        <w:t>跟踪督促大坪子社区电力一巷黑臭水体整治工作，近两年来多次与相关职能部门沟通协调，通过现场实地查看和走访群众了解，电力一巷黑臭水体整治工作已达到预期效果，周边群众表示十分满意。</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b/>
          <w:bCs/>
          <w:sz w:val="32"/>
          <w:szCs w:val="32"/>
          <w:lang w:val="en-US" w:eastAsia="zh-CN"/>
        </w:rPr>
      </w:pPr>
      <w:r>
        <w:rPr>
          <w:rFonts w:hint="eastAsia" w:ascii="楷体_GB2312" w:hAnsi="楷体_GB2312" w:eastAsia="楷体_GB2312" w:cs="楷体_GB2312"/>
          <w:b/>
          <w:bCs/>
          <w:sz w:val="32"/>
          <w:szCs w:val="32"/>
          <w:lang w:val="en-US" w:eastAsia="zh-CN"/>
        </w:rPr>
        <w:t>（三）民生福祉挂心头，精准服务暖民心。</w:t>
      </w:r>
      <w:r>
        <w:rPr>
          <w:rFonts w:hint="eastAsia" w:ascii="仿宋_GB2312" w:hAnsi="仿宋_GB2312" w:eastAsia="仿宋_GB2312" w:cs="仿宋_GB2312"/>
          <w:b/>
          <w:bCs/>
          <w:sz w:val="32"/>
          <w:szCs w:val="32"/>
          <w:lang w:val="en-US" w:eastAsia="zh-CN"/>
        </w:rPr>
        <w:t>一是社会救助精准覆盖。</w:t>
      </w:r>
      <w:r>
        <w:rPr>
          <w:rFonts w:hint="eastAsia" w:ascii="仿宋" w:hAnsi="仿宋" w:eastAsia="仿宋" w:cs="仿宋"/>
          <w:sz w:val="32"/>
          <w:szCs w:val="32"/>
        </w:rPr>
        <w:t>严格按照低保纳入的有关文件要求</w:t>
      </w:r>
      <w:r>
        <w:rPr>
          <w:rFonts w:hint="eastAsia" w:ascii="仿宋" w:hAnsi="仿宋" w:eastAsia="仿宋" w:cs="仿宋"/>
          <w:sz w:val="32"/>
          <w:szCs w:val="32"/>
          <w:lang w:eastAsia="zh-CN"/>
        </w:rPr>
        <w:t>，</w:t>
      </w:r>
      <w:r>
        <w:rPr>
          <w:rFonts w:hint="eastAsia" w:ascii="仿宋" w:hAnsi="仿宋" w:eastAsia="仿宋" w:cs="仿宋"/>
          <w:sz w:val="32"/>
          <w:szCs w:val="32"/>
        </w:rPr>
        <w:t>入户调查认真核查低保对象的家庭情况</w:t>
      </w:r>
      <w:r>
        <w:rPr>
          <w:rFonts w:hint="eastAsia" w:ascii="仿宋" w:hAnsi="仿宋" w:eastAsia="仿宋" w:cs="仿宋"/>
          <w:sz w:val="32"/>
          <w:szCs w:val="32"/>
          <w:lang w:eastAsia="zh-CN"/>
        </w:rPr>
        <w:t>，</w:t>
      </w:r>
      <w:r>
        <w:rPr>
          <w:rFonts w:hint="eastAsia" w:ascii="仿宋" w:hAnsi="仿宋" w:eastAsia="仿宋" w:cs="仿宋"/>
          <w:sz w:val="32"/>
          <w:szCs w:val="32"/>
        </w:rPr>
        <w:t>做到应保尽保、应退尽退、不错保、不漏保、不搞人情保。</w:t>
      </w:r>
      <w:r>
        <w:rPr>
          <w:rFonts w:hint="eastAsia" w:ascii="仿宋" w:hAnsi="仿宋" w:eastAsia="仿宋" w:cs="仿宋"/>
          <w:sz w:val="32"/>
          <w:szCs w:val="32"/>
          <w:lang w:val="en-US" w:eastAsia="zh-CN"/>
        </w:rPr>
        <w:t>截止2025年12月底</w:t>
      </w:r>
      <w:r>
        <w:rPr>
          <w:rFonts w:hint="eastAsia" w:ascii="仿宋" w:hAnsi="仿宋" w:eastAsia="仿宋" w:cs="仿宋"/>
          <w:sz w:val="32"/>
          <w:szCs w:val="32"/>
        </w:rPr>
        <w:t>共</w:t>
      </w:r>
      <w:r>
        <w:rPr>
          <w:rFonts w:hint="eastAsia" w:ascii="仿宋" w:hAnsi="仿宋" w:eastAsia="仿宋" w:cs="仿宋"/>
          <w:sz w:val="32"/>
          <w:szCs w:val="32"/>
          <w:lang w:val="en-US" w:eastAsia="zh-CN"/>
        </w:rPr>
        <w:t>新增</w:t>
      </w:r>
      <w:r>
        <w:rPr>
          <w:rFonts w:hint="eastAsia" w:ascii="仿宋" w:hAnsi="仿宋" w:eastAsia="仿宋" w:cs="仿宋"/>
          <w:sz w:val="32"/>
          <w:szCs w:val="32"/>
        </w:rPr>
        <w:t>低保申请</w:t>
      </w:r>
      <w:r>
        <w:rPr>
          <w:rFonts w:hint="eastAsia" w:ascii="仿宋" w:hAnsi="仿宋" w:eastAsia="仿宋" w:cs="仿宋"/>
          <w:sz w:val="32"/>
          <w:szCs w:val="32"/>
          <w:u w:val="none"/>
          <w:lang w:val="en-US" w:eastAsia="zh-CN"/>
        </w:rPr>
        <w:t>108</w:t>
      </w:r>
      <w:r>
        <w:rPr>
          <w:rFonts w:hint="eastAsia" w:ascii="仿宋" w:hAnsi="仿宋" w:eastAsia="仿宋" w:cs="仿宋"/>
          <w:sz w:val="32"/>
          <w:szCs w:val="32"/>
        </w:rPr>
        <w:t>户</w:t>
      </w:r>
      <w:r>
        <w:rPr>
          <w:rFonts w:hint="eastAsia" w:ascii="仿宋" w:hAnsi="仿宋" w:eastAsia="仿宋" w:cs="仿宋"/>
          <w:sz w:val="32"/>
          <w:szCs w:val="32"/>
          <w:lang w:val="en-US" w:eastAsia="zh-CN"/>
        </w:rPr>
        <w:t>238人</w:t>
      </w:r>
      <w:r>
        <w:rPr>
          <w:rFonts w:hint="eastAsia" w:ascii="仿宋" w:hAnsi="仿宋" w:eastAsia="仿宋" w:cs="仿宋"/>
          <w:sz w:val="32"/>
          <w:szCs w:val="32"/>
        </w:rPr>
        <w:t>，</w:t>
      </w:r>
      <w:r>
        <w:rPr>
          <w:rFonts w:hint="eastAsia" w:ascii="仿宋" w:hAnsi="仿宋" w:eastAsia="仿宋" w:cs="仿宋"/>
          <w:sz w:val="32"/>
          <w:szCs w:val="32"/>
          <w:lang w:val="en-US" w:eastAsia="zh-CN"/>
        </w:rPr>
        <w:t>目前享受低保共有730户1629人</w:t>
      </w:r>
      <w:r>
        <w:rPr>
          <w:rFonts w:hint="eastAsia" w:ascii="仿宋" w:hAnsi="仿宋" w:eastAsia="仿宋" w:cs="仿宋"/>
          <w:sz w:val="32"/>
          <w:szCs w:val="32"/>
          <w:lang w:eastAsia="zh-CN"/>
        </w:rPr>
        <w:t>。</w:t>
      </w:r>
      <w:r>
        <w:rPr>
          <w:rFonts w:hint="eastAsia" w:ascii="仿宋" w:hAnsi="仿宋" w:eastAsia="仿宋" w:cs="仿宋"/>
          <w:sz w:val="32"/>
          <w:szCs w:val="32"/>
        </w:rPr>
        <w:t>始终把医疗救助、临时救助作为民政工作的重中之重，积极探索“救急难”改革，切实解决群众因病、因灾造成家庭暂时困难的问题，2025年为</w:t>
      </w:r>
      <w:r>
        <w:rPr>
          <w:rFonts w:hint="eastAsia" w:ascii="仿宋" w:hAnsi="仿宋" w:eastAsia="仿宋" w:cs="仿宋"/>
          <w:sz w:val="32"/>
          <w:szCs w:val="32"/>
          <w:u w:val="none"/>
          <w:lang w:val="en-US" w:eastAsia="zh-CN"/>
        </w:rPr>
        <w:t>64</w:t>
      </w:r>
      <w:r>
        <w:rPr>
          <w:rFonts w:hint="eastAsia" w:ascii="仿宋" w:hAnsi="仿宋" w:eastAsia="仿宋" w:cs="仿宋"/>
          <w:sz w:val="32"/>
          <w:szCs w:val="32"/>
        </w:rPr>
        <w:t>户困难家庭申请临时救助，共计金额</w:t>
      </w:r>
      <w:r>
        <w:rPr>
          <w:rFonts w:hint="eastAsia" w:ascii="仿宋" w:hAnsi="仿宋" w:eastAsia="仿宋" w:cs="仿宋"/>
          <w:sz w:val="32"/>
          <w:szCs w:val="32"/>
          <w:u w:val="none"/>
          <w:lang w:val="en-US" w:eastAsia="zh-CN"/>
        </w:rPr>
        <w:t>135000</w:t>
      </w:r>
      <w:r>
        <w:rPr>
          <w:rFonts w:hint="eastAsia" w:ascii="仿宋" w:hAnsi="仿宋" w:eastAsia="仿宋" w:cs="仿宋"/>
          <w:sz w:val="32"/>
          <w:szCs w:val="32"/>
        </w:rPr>
        <w:t>元。医疗救助</w:t>
      </w:r>
      <w:r>
        <w:rPr>
          <w:rFonts w:hint="eastAsia" w:ascii="仿宋" w:hAnsi="仿宋" w:eastAsia="仿宋" w:cs="仿宋"/>
          <w:sz w:val="32"/>
          <w:szCs w:val="32"/>
          <w:lang w:val="en-US" w:eastAsia="zh-CN"/>
        </w:rPr>
        <w:t>24</w:t>
      </w:r>
      <w:r>
        <w:rPr>
          <w:rFonts w:hint="eastAsia" w:ascii="仿宋" w:hAnsi="仿宋" w:eastAsia="仿宋" w:cs="仿宋"/>
          <w:sz w:val="32"/>
          <w:szCs w:val="32"/>
        </w:rPr>
        <w:t>人，救助金额</w:t>
      </w:r>
      <w:r>
        <w:rPr>
          <w:rFonts w:hint="eastAsia" w:ascii="仿宋" w:hAnsi="仿宋" w:eastAsia="仿宋" w:cs="仿宋"/>
          <w:sz w:val="32"/>
          <w:szCs w:val="32"/>
          <w:lang w:val="en-US" w:eastAsia="zh-CN"/>
        </w:rPr>
        <w:t>176849.8</w:t>
      </w:r>
      <w:r>
        <w:rPr>
          <w:rFonts w:hint="eastAsia" w:ascii="仿宋" w:hAnsi="仿宋" w:eastAsia="仿宋" w:cs="仿宋"/>
          <w:sz w:val="32"/>
          <w:szCs w:val="32"/>
        </w:rPr>
        <w:t>元</w:t>
      </w:r>
      <w:r>
        <w:rPr>
          <w:rFonts w:hint="eastAsia" w:ascii="仿宋" w:hAnsi="仿宋" w:eastAsia="仿宋" w:cs="仿宋"/>
          <w:sz w:val="32"/>
          <w:szCs w:val="32"/>
          <w:lang w:eastAsia="zh-CN"/>
        </w:rPr>
        <w:t>，</w:t>
      </w:r>
      <w:r>
        <w:rPr>
          <w:rFonts w:hint="eastAsia" w:ascii="仿宋" w:hAnsi="仿宋" w:eastAsia="仿宋" w:cs="仿宋"/>
          <w:sz w:val="32"/>
          <w:szCs w:val="32"/>
        </w:rPr>
        <w:t>再救助</w:t>
      </w:r>
      <w:r>
        <w:rPr>
          <w:rFonts w:hint="eastAsia" w:ascii="仿宋" w:hAnsi="仿宋" w:eastAsia="仿宋" w:cs="仿宋"/>
          <w:sz w:val="32"/>
          <w:szCs w:val="32"/>
          <w:lang w:val="en-US" w:eastAsia="zh-CN"/>
        </w:rPr>
        <w:t>7</w:t>
      </w:r>
      <w:r>
        <w:rPr>
          <w:rFonts w:hint="eastAsia" w:ascii="仿宋" w:hAnsi="仿宋" w:eastAsia="仿宋" w:cs="仿宋"/>
          <w:sz w:val="32"/>
          <w:szCs w:val="32"/>
        </w:rPr>
        <w:t>人，救助金额</w:t>
      </w:r>
      <w:r>
        <w:rPr>
          <w:rFonts w:hint="eastAsia" w:ascii="仿宋" w:hAnsi="仿宋" w:eastAsia="仿宋" w:cs="仿宋"/>
          <w:sz w:val="32"/>
          <w:szCs w:val="32"/>
          <w:lang w:val="en-US" w:eastAsia="zh-CN"/>
        </w:rPr>
        <w:t>16708.4</w:t>
      </w:r>
      <w:r>
        <w:rPr>
          <w:rFonts w:hint="eastAsia" w:ascii="仿宋" w:hAnsi="仿宋" w:eastAsia="仿宋" w:cs="仿宋"/>
          <w:sz w:val="32"/>
          <w:szCs w:val="32"/>
        </w:rPr>
        <w:t>元。</w:t>
      </w:r>
      <w:r>
        <w:rPr>
          <w:rFonts w:hint="eastAsia" w:ascii="仿宋_GB2312" w:hAnsi="仿宋_GB2312" w:eastAsia="仿宋_GB2312" w:cs="仿宋_GB2312"/>
          <w:b/>
          <w:bCs/>
          <w:sz w:val="32"/>
          <w:szCs w:val="32"/>
          <w:lang w:val="en-US" w:eastAsia="zh-CN"/>
        </w:rPr>
        <w:t>二是保障体系逐步完善。</w:t>
      </w:r>
      <w:r>
        <w:rPr>
          <w:rFonts w:hint="eastAsia" w:ascii="仿宋" w:hAnsi="仿宋" w:eastAsia="仿宋" w:cs="仿宋"/>
          <w:sz w:val="32"/>
          <w:szCs w:val="32"/>
          <w:lang w:val="en-US" w:eastAsia="zh-CN"/>
        </w:rPr>
        <w:t>逐步完善社区养老服务体系，</w:t>
      </w:r>
      <w:r>
        <w:rPr>
          <w:rFonts w:hint="eastAsia" w:ascii="仿宋" w:hAnsi="仿宋" w:eastAsia="仿宋" w:cs="仿宋"/>
          <w:sz w:val="32"/>
          <w:szCs w:val="32"/>
        </w:rPr>
        <w:t>大力营造敬老和爱老的社会氛围，丰富老年人文化生活</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新增80至90岁享受高龄补贴的共136人，目前我街道共有1031位老人享受高龄补贴</w:t>
      </w:r>
      <w:r>
        <w:rPr>
          <w:rFonts w:hint="eastAsia" w:ascii="仿宋" w:hAnsi="仿宋" w:eastAsia="仿宋" w:cs="仿宋"/>
          <w:sz w:val="32"/>
          <w:szCs w:val="32"/>
        </w:rPr>
        <w:t>。认真做好残疾人最低生活保障工作，切实将符合条件的残疾人家庭及时纳入最低生活保障范围</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街道共有</w:t>
      </w:r>
      <w:r>
        <w:rPr>
          <w:rFonts w:hint="eastAsia" w:ascii="仿宋" w:hAnsi="仿宋" w:eastAsia="仿宋" w:cs="仿宋"/>
          <w:sz w:val="32"/>
          <w:szCs w:val="32"/>
        </w:rPr>
        <w:t>残疾人</w:t>
      </w:r>
      <w:r>
        <w:rPr>
          <w:rFonts w:hint="eastAsia" w:ascii="仿宋" w:hAnsi="仿宋" w:eastAsia="仿宋" w:cs="仿宋"/>
          <w:sz w:val="32"/>
          <w:szCs w:val="32"/>
          <w:lang w:val="en-US" w:eastAsia="zh-CN"/>
        </w:rPr>
        <w:t>778人，符合享受生活补贴的270人</w:t>
      </w:r>
      <w:r>
        <w:rPr>
          <w:rFonts w:hint="eastAsia" w:ascii="仿宋" w:hAnsi="仿宋" w:eastAsia="仿宋" w:cs="仿宋"/>
          <w:sz w:val="32"/>
          <w:szCs w:val="32"/>
        </w:rPr>
        <w:t>，护理补贴</w:t>
      </w:r>
      <w:r>
        <w:rPr>
          <w:rFonts w:hint="eastAsia" w:ascii="仿宋" w:hAnsi="仿宋" w:eastAsia="仿宋" w:cs="仿宋"/>
          <w:sz w:val="32"/>
          <w:szCs w:val="32"/>
          <w:u w:val="none"/>
          <w:lang w:val="en-US" w:eastAsia="zh-CN"/>
        </w:rPr>
        <w:t>354</w:t>
      </w:r>
      <w:r>
        <w:rPr>
          <w:rFonts w:hint="eastAsia" w:ascii="仿宋" w:hAnsi="仿宋" w:eastAsia="仿宋" w:cs="仿宋"/>
          <w:sz w:val="32"/>
          <w:szCs w:val="32"/>
        </w:rPr>
        <w:t>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新增</w:t>
      </w:r>
      <w:r>
        <w:rPr>
          <w:rFonts w:hint="eastAsia" w:ascii="仿宋" w:hAnsi="仿宋" w:eastAsia="仿宋" w:cs="仿宋"/>
          <w:sz w:val="32"/>
          <w:szCs w:val="32"/>
        </w:rPr>
        <w:t>生活补贴</w:t>
      </w:r>
      <w:r>
        <w:rPr>
          <w:rFonts w:hint="eastAsia" w:ascii="仿宋" w:hAnsi="仿宋" w:eastAsia="仿宋" w:cs="仿宋"/>
          <w:sz w:val="32"/>
          <w:szCs w:val="32"/>
          <w:lang w:val="en-US" w:eastAsia="zh-CN"/>
        </w:rPr>
        <w:t>38</w:t>
      </w:r>
      <w:r>
        <w:rPr>
          <w:rFonts w:hint="eastAsia" w:ascii="仿宋" w:hAnsi="仿宋" w:eastAsia="仿宋" w:cs="仿宋"/>
          <w:sz w:val="32"/>
          <w:szCs w:val="32"/>
        </w:rPr>
        <w:t>人，</w:t>
      </w:r>
      <w:r>
        <w:rPr>
          <w:rFonts w:hint="eastAsia" w:ascii="仿宋" w:hAnsi="仿宋" w:eastAsia="仿宋" w:cs="仿宋"/>
          <w:sz w:val="32"/>
          <w:szCs w:val="32"/>
          <w:lang w:val="en-US" w:eastAsia="zh-CN"/>
        </w:rPr>
        <w:t>新增</w:t>
      </w:r>
      <w:r>
        <w:rPr>
          <w:rFonts w:hint="eastAsia" w:ascii="仿宋" w:hAnsi="仿宋" w:eastAsia="仿宋" w:cs="仿宋"/>
          <w:sz w:val="32"/>
          <w:szCs w:val="32"/>
        </w:rPr>
        <w:t>护理补贴</w:t>
      </w:r>
      <w:r>
        <w:rPr>
          <w:rFonts w:hint="eastAsia" w:ascii="仿宋" w:hAnsi="仿宋" w:eastAsia="仿宋" w:cs="仿宋"/>
          <w:sz w:val="32"/>
          <w:szCs w:val="32"/>
          <w:u w:val="none"/>
          <w:lang w:val="en-US" w:eastAsia="zh-CN"/>
        </w:rPr>
        <w:t>36</w:t>
      </w:r>
      <w:r>
        <w:rPr>
          <w:rFonts w:hint="eastAsia" w:ascii="仿宋" w:hAnsi="仿宋" w:eastAsia="仿宋" w:cs="仿宋"/>
          <w:sz w:val="32"/>
          <w:szCs w:val="32"/>
        </w:rPr>
        <w:t>人。用心</w:t>
      </w:r>
      <w:r>
        <w:rPr>
          <w:rFonts w:hint="eastAsia" w:ascii="仿宋" w:hAnsi="仿宋" w:eastAsia="仿宋" w:cs="仿宋"/>
          <w:sz w:val="32"/>
          <w:szCs w:val="32"/>
          <w:lang w:val="en-US" w:eastAsia="zh-CN"/>
        </w:rPr>
        <w:t>建设</w:t>
      </w:r>
      <w:r>
        <w:rPr>
          <w:rFonts w:hint="eastAsia" w:ascii="仿宋" w:hAnsi="仿宋" w:eastAsia="仿宋" w:cs="仿宋"/>
          <w:sz w:val="32"/>
          <w:szCs w:val="32"/>
        </w:rPr>
        <w:t>面向残疾人的</w:t>
      </w:r>
      <w:r>
        <w:rPr>
          <w:rFonts w:hint="eastAsia" w:ascii="仿宋" w:hAnsi="仿宋" w:eastAsia="仿宋" w:cs="仿宋"/>
          <w:sz w:val="32"/>
          <w:szCs w:val="32"/>
          <w:lang w:val="en-US" w:eastAsia="zh-CN"/>
        </w:rPr>
        <w:t>保障体系</w:t>
      </w:r>
      <w:r>
        <w:rPr>
          <w:rFonts w:hint="eastAsia" w:ascii="仿宋" w:hAnsi="仿宋" w:eastAsia="仿宋" w:cs="仿宋"/>
          <w:sz w:val="32"/>
          <w:szCs w:val="32"/>
        </w:rPr>
        <w:t>，落实各项残疾人政策和措施，残疾人的生活、上学、就业、康复治疗等权益得到保障。</w:t>
      </w:r>
      <w:r>
        <w:rPr>
          <w:rFonts w:hint="eastAsia" w:ascii="仿宋" w:hAnsi="仿宋" w:eastAsia="仿宋" w:cs="仿宋"/>
          <w:b/>
          <w:bCs/>
          <w:sz w:val="32"/>
          <w:szCs w:val="32"/>
          <w:lang w:val="en-US" w:eastAsia="zh-CN"/>
        </w:rPr>
        <w:t>三是脱贫攻坚成果丰硕。</w:t>
      </w:r>
      <w:r>
        <w:rPr>
          <w:rFonts w:hint="eastAsia" w:ascii="仿宋" w:hAnsi="仿宋" w:eastAsia="仿宋" w:cs="仿宋"/>
          <w:sz w:val="32"/>
          <w:szCs w:val="32"/>
          <w:lang w:val="en-US" w:eastAsia="zh-CN"/>
        </w:rPr>
        <w:t>严格落实“四个不摘”要求，健全防止返贫动态监测和帮扶机制。</w:t>
      </w:r>
      <w:r>
        <w:rPr>
          <w:rFonts w:hint="eastAsia" w:ascii="仿宋_GB2312" w:hAnsi="仿宋_GB2312" w:eastAsia="仿宋_GB2312" w:cs="仿宋_GB2312"/>
          <w:b w:val="0"/>
          <w:bCs w:val="0"/>
          <w:color w:val="auto"/>
          <w:spacing w:val="0"/>
          <w:sz w:val="32"/>
          <w:szCs w:val="32"/>
          <w:lang w:val="en-US" w:eastAsia="zh-CN"/>
        </w:rPr>
        <w:t>今年来脱贫户有劳动能力的家庭成员全部落实就近就业，保证贫困户收入来源，强化了造血功能。目前全街道</w:t>
      </w:r>
      <w:r>
        <w:rPr>
          <w:rFonts w:hint="eastAsia" w:ascii="仿宋_GB2312" w:hAnsi="仿宋_GB2312" w:eastAsia="仿宋_GB2312" w:cs="仿宋_GB2312"/>
          <w:color w:val="auto"/>
          <w:kern w:val="2"/>
          <w:sz w:val="32"/>
          <w:szCs w:val="32"/>
          <w:lang w:val="en"/>
        </w:rPr>
        <w:t>“3+1”保障</w:t>
      </w:r>
      <w:r>
        <w:rPr>
          <w:rFonts w:hint="eastAsia" w:ascii="仿宋_GB2312" w:hAnsi="仿宋_GB2312" w:eastAsia="仿宋_GB2312" w:cs="仿宋_GB2312"/>
          <w:color w:val="auto"/>
          <w:kern w:val="2"/>
          <w:sz w:val="32"/>
          <w:szCs w:val="32"/>
          <w:lang w:val="en" w:eastAsia="zh-CN"/>
        </w:rPr>
        <w:t>均得到落实，</w:t>
      </w:r>
      <w:r>
        <w:rPr>
          <w:rFonts w:hint="eastAsia" w:ascii="仿宋_GB2312" w:hAnsi="仿宋_GB2312" w:eastAsia="仿宋_GB2312" w:cs="仿宋_GB2312"/>
          <w:b w:val="0"/>
          <w:bCs w:val="0"/>
          <w:color w:val="auto"/>
          <w:spacing w:val="0"/>
          <w:sz w:val="32"/>
          <w:szCs w:val="32"/>
          <w:lang w:val="en-US" w:eastAsia="zh-CN"/>
        </w:rPr>
        <w:t>通过常态化和集中排查未发现新增监测户。在常态化进行排查的同时，重点进行了一次集中排查，对辖区小江口社区、石厨头社区居民的三保障情况进行了全覆盖，保证了全街道不出现因经济下行而产生返贫、确保不发生规模性返贫。走访街道脱贫人口，落实各项帮扶政策，促进持续增收，</w:t>
      </w:r>
      <w:r>
        <w:rPr>
          <w:rFonts w:hint="eastAsia" w:ascii="仿宋_GB2312" w:hAnsi="仿宋_GB2312" w:eastAsia="仿宋_GB2312" w:cs="仿宋_GB2312"/>
          <w:color w:val="auto"/>
          <w:kern w:val="2"/>
          <w:sz w:val="32"/>
          <w:szCs w:val="32"/>
          <w:lang w:val="en-US" w:eastAsia="zh-CN" w:bidi="ar-SA"/>
        </w:rPr>
        <w:t>街道脱贫户14户54人全部参加城乡医保，全面落实家庭医生签约服务。申报春季雨露计划1人次，</w:t>
      </w:r>
      <w:r>
        <w:rPr>
          <w:rFonts w:hint="eastAsia" w:ascii="仿宋_GB2312" w:hAnsi="仿宋_GB2312" w:eastAsia="仿宋_GB2312" w:cs="仿宋_GB2312"/>
          <w:b w:val="0"/>
          <w:bCs w:val="0"/>
          <w:color w:val="auto"/>
          <w:sz w:val="32"/>
          <w:szCs w:val="32"/>
          <w:lang w:val="en-US" w:eastAsia="zh-CN"/>
        </w:rPr>
        <w:t>申报脱贫劳动力一次性交通补贴7人次，</w:t>
      </w:r>
      <w:r>
        <w:rPr>
          <w:rFonts w:hint="eastAsia" w:ascii="仿宋_GB2312" w:hAnsi="仿宋_GB2312" w:eastAsia="仿宋_GB2312" w:cs="仿宋_GB2312"/>
          <w:color w:val="auto"/>
          <w:kern w:val="2"/>
          <w:sz w:val="32"/>
          <w:szCs w:val="32"/>
          <w:lang w:val="en-US" w:eastAsia="zh-CN" w:bidi="ar-SA"/>
        </w:rPr>
        <w:t>资助学前教育和义务教育建档立卡家庭资助10人次。按照上级要求，组织街道75名工作人员到营江街道做好136户脱贫户（监测户）结对帮扶和结对联系工作，今年来开展集中入户7次，发放脐橙9000斤。</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楷体_GB2312" w:hAnsi="楷体_GB2312" w:eastAsia="楷体_GB2312" w:cs="楷体_GB2312"/>
          <w:b/>
          <w:bCs/>
          <w:sz w:val="32"/>
          <w:szCs w:val="32"/>
          <w:lang w:val="en-US" w:eastAsia="zh-CN"/>
        </w:rPr>
        <w:t>（四）筑牢防线保安全，综合治理促和谐。</w:t>
      </w:r>
      <w:r>
        <w:rPr>
          <w:rFonts w:hint="eastAsia" w:ascii="仿宋_GB2312" w:hAnsi="仿宋_GB2312" w:eastAsia="仿宋_GB2312" w:cs="仿宋_GB2312"/>
          <w:b/>
          <w:bCs/>
          <w:sz w:val="32"/>
          <w:szCs w:val="32"/>
          <w:lang w:val="en-US" w:eastAsia="zh-CN"/>
        </w:rPr>
        <w:t>一是推进隐患治理，守牢安全生产底线。</w:t>
      </w:r>
      <w:r>
        <w:rPr>
          <w:rFonts w:hint="eastAsia" w:ascii="仿宋_GB2312" w:hAnsi="仿宋_GB2312" w:eastAsia="仿宋_GB2312" w:cs="仿宋_GB2312"/>
          <w:b w:val="0"/>
          <w:bCs w:val="0"/>
          <w:color w:val="000000"/>
          <w:kern w:val="2"/>
          <w:sz w:val="32"/>
          <w:szCs w:val="32"/>
          <w:lang w:val="en-US" w:eastAsia="zh-CN" w:bidi="ar-SA"/>
        </w:rPr>
        <w:t>街道始终将安全生产工作摆在突出位置，明确“街道统筹、部门联动、社区落实”的责任体系，将责任细化到岗、落实到人。定期调度安全生产工作进度，形成“主要领导亲自抓、分管领导具体抓、各部门协同抓”的工作格局。街道以“抓牢主体责任、排查安全隐患、提升防范能力”为核心，推进企业安全生产工作。街道干部深入辖区企业，开展“全覆盖、无死角”隐患排查，建立隐患台账并实行“销号管理”。此外，街道主动上门提供指导服务，邀请安全方面的专家为企业“把脉问诊”，推动企业从“被动整改”向“主动防范”转变，筑牢生产安全防线。聚焦沿街商铺、餐饮、旅馆等“九小场所”，开展专项排查整治行动，重点检查消防通道是否畅通、消防器材是否完好、食品安全等问题。同时加强经营者安全宣传教育，通过发放手册、现场讲解等方式，普及安全知识，引导其提高安全意识、落实防范措施，建立常态化机制，守护群众身边安全。</w:t>
      </w:r>
      <w:r>
        <w:rPr>
          <w:rFonts w:hint="eastAsia" w:ascii="仿宋_GB2312" w:hAnsi="仿宋_GB2312" w:eastAsia="仿宋_GB2312" w:cs="仿宋_GB2312"/>
          <w:b/>
          <w:bCs/>
          <w:sz w:val="32"/>
          <w:szCs w:val="32"/>
          <w:lang w:val="en-US" w:eastAsia="zh-CN"/>
        </w:rPr>
        <w:t>二是创新治理模式，主动化解矛盾纠纷。</w:t>
      </w:r>
      <w:r>
        <w:rPr>
          <w:rFonts w:hint="eastAsia" w:ascii="仿宋_GB2312" w:hAnsi="仿宋_GB2312" w:eastAsia="仿宋_GB2312" w:cs="仿宋_GB2312"/>
          <w:b w:val="0"/>
          <w:bCs w:val="0"/>
          <w:kern w:val="2"/>
          <w:sz w:val="32"/>
          <w:szCs w:val="32"/>
          <w:highlight w:val="none"/>
          <w:lang w:val="en-US" w:eastAsia="zh-CN" w:bidi="ar-SA"/>
        </w:rPr>
        <w:t>今年4月，在矛盾调解中心的基础上，</w:t>
      </w:r>
      <w:r>
        <w:rPr>
          <w:rFonts w:hint="eastAsia" w:ascii="仿宋_GB2312" w:hAnsi="仿宋_GB2312" w:eastAsia="仿宋_GB2312" w:cs="仿宋_GB2312"/>
          <w:kern w:val="2"/>
          <w:sz w:val="32"/>
          <w:szCs w:val="32"/>
          <w:lang w:val="en-US" w:eastAsia="zh-CN" w:bidi="ar-SA"/>
        </w:rPr>
        <w:t>有效整合辖区派出所、司法所、法律工作者、政法“五老”等力量，打造全县最优质的“一站受理、多元调解、全程服务”综治中心，实行“人民调解、行政处理、法律引导”相融合，确保矛盾纠纷集中有效化解、思想情绪有效疏导、难点问题有效引导、重点人员有效稳控。自综治中心成立以来，共受理矛盾调解</w:t>
      </w:r>
      <w:r>
        <w:rPr>
          <w:rFonts w:hint="eastAsia" w:ascii="仿宋_GB2312" w:hAnsi="仿宋_GB2312" w:eastAsia="仿宋_GB2312" w:cs="仿宋_GB2312"/>
          <w:color w:val="auto"/>
          <w:kern w:val="2"/>
          <w:sz w:val="32"/>
          <w:szCs w:val="32"/>
          <w:lang w:val="en-US" w:eastAsia="zh-CN" w:bidi="ar-SA"/>
        </w:rPr>
        <w:t>210起</w:t>
      </w:r>
      <w:r>
        <w:rPr>
          <w:rFonts w:hint="eastAsia" w:ascii="仿宋_GB2312" w:hAnsi="仿宋_GB2312" w:eastAsia="仿宋_GB2312" w:cs="仿宋_GB2312"/>
          <w:kern w:val="2"/>
          <w:sz w:val="32"/>
          <w:szCs w:val="32"/>
          <w:lang w:val="en-US" w:eastAsia="zh-CN" w:bidi="ar-SA"/>
        </w:rPr>
        <w:t>，调解成功</w:t>
      </w:r>
      <w:r>
        <w:rPr>
          <w:rFonts w:hint="eastAsia" w:ascii="仿宋_GB2312" w:hAnsi="仿宋_GB2312" w:eastAsia="仿宋_GB2312" w:cs="仿宋_GB2312"/>
          <w:color w:val="auto"/>
          <w:kern w:val="2"/>
          <w:sz w:val="32"/>
          <w:szCs w:val="32"/>
          <w:lang w:val="en-US" w:eastAsia="zh-CN" w:bidi="ar-SA"/>
        </w:rPr>
        <w:t>179</w:t>
      </w:r>
      <w:r>
        <w:rPr>
          <w:rFonts w:hint="eastAsia" w:ascii="仿宋_GB2312" w:hAnsi="仿宋_GB2312" w:eastAsia="仿宋_GB2312" w:cs="仿宋_GB2312"/>
          <w:kern w:val="2"/>
          <w:sz w:val="32"/>
          <w:szCs w:val="32"/>
          <w:lang w:val="en-US" w:eastAsia="zh-CN" w:bidi="ar-SA"/>
        </w:rPr>
        <w:t>起,矛盾纠纷同比下降24％,警情同比下降30％,调解成功率同比上升9％,真正做到“小事不出社区，大事不出街道”。</w:t>
      </w:r>
      <w:r>
        <w:rPr>
          <w:rFonts w:hint="eastAsia" w:ascii="仿宋_GB2312" w:hAnsi="仿宋_GB2312" w:eastAsia="仿宋_GB2312" w:cs="仿宋_GB2312"/>
          <w:b w:val="0"/>
          <w:bCs w:val="0"/>
          <w:kern w:val="2"/>
          <w:sz w:val="32"/>
          <w:szCs w:val="32"/>
          <w:highlight w:val="none"/>
          <w:lang w:val="en-US" w:eastAsia="zh-CN" w:bidi="ar-SA"/>
        </w:rPr>
        <w:t>坚持“预防为主，教育疏导，依法调处，防止激化”的原则，高质量办理中央巡视交办的8件信访件，办结率100%。</w:t>
      </w:r>
      <w:r>
        <w:rPr>
          <w:rFonts w:hint="eastAsia" w:ascii="仿宋_GB2312" w:hAnsi="仿宋_GB2312" w:eastAsia="仿宋_GB2312" w:cs="仿宋_GB2312"/>
          <w:b/>
          <w:bCs/>
          <w:sz w:val="32"/>
          <w:szCs w:val="32"/>
          <w:lang w:val="en-US" w:eastAsia="zh-CN"/>
        </w:rPr>
        <w:t>三是全面摸排管控，严防发生重大案件。</w:t>
      </w:r>
      <w:r>
        <w:rPr>
          <w:rFonts w:hint="eastAsia" w:ascii="仿宋_GB2312" w:hAnsi="仿宋_GB2312" w:eastAsia="仿宋_GB2312" w:cs="仿宋_GB2312"/>
          <w:b w:val="0"/>
          <w:bCs w:val="0"/>
          <w:color w:val="auto"/>
          <w:kern w:val="2"/>
          <w:sz w:val="32"/>
          <w:szCs w:val="32"/>
          <w:lang w:val="en-US" w:eastAsia="zh-CN" w:bidi="ar-SA"/>
        </w:rPr>
        <w:t>严格落实法治政府建设责任制，把握关键节点，针对重点人群、重点领域，</w:t>
      </w:r>
      <w:r>
        <w:rPr>
          <w:rFonts w:hint="eastAsia" w:ascii="仿宋_GB2312" w:hAnsi="仿宋_GB2312" w:eastAsia="仿宋_GB2312" w:cs="仿宋_GB2312"/>
          <w:b w:val="0"/>
          <w:bCs w:val="0"/>
          <w:kern w:val="2"/>
          <w:sz w:val="32"/>
          <w:szCs w:val="32"/>
          <w:highlight w:val="none"/>
          <w:lang w:val="en-US" w:eastAsia="zh-CN" w:bidi="ar-SA"/>
        </w:rPr>
        <w:t>全面摸排并建立辖区未成年重点人员台账。开展“利剑护蕾”法治进校园、社区、小区专项活动，发放各类宣传册，走访留守儿童等特殊人群家庭，</w:t>
      </w:r>
      <w:r>
        <w:rPr>
          <w:rFonts w:hint="eastAsia" w:ascii="仿宋_GB2312" w:hAnsi="仿宋_GB2312" w:eastAsia="仿宋_GB2312" w:cs="仿宋_GB2312"/>
          <w:b w:val="0"/>
          <w:bCs w:val="0"/>
          <w:color w:val="auto"/>
          <w:kern w:val="2"/>
          <w:sz w:val="32"/>
          <w:szCs w:val="32"/>
          <w:highlight w:val="none"/>
          <w:lang w:val="en-US" w:eastAsia="zh-CN" w:bidi="ar-SA"/>
        </w:rPr>
        <w:t>管控涉诈重点人员并对境外涉诈人员进行有效劝返。</w:t>
      </w:r>
      <w:r>
        <w:rPr>
          <w:rFonts w:hint="eastAsia" w:ascii="仿宋_GB2312" w:hAnsi="仿宋_GB2312" w:eastAsia="仿宋_GB2312" w:cs="仿宋_GB2312"/>
          <w:b w:val="0"/>
          <w:bCs w:val="0"/>
          <w:kern w:val="2"/>
          <w:sz w:val="32"/>
          <w:szCs w:val="32"/>
          <w:highlight w:val="none"/>
          <w:lang w:val="en-US" w:eastAsia="zh-CN" w:bidi="ar-SA"/>
        </w:rPr>
        <w:t>定期对571名社会面吸毒人员进行风险分类评估管控，建立“假币违法犯罪重点人员管控台账”，动态管控重点人员。每天晚11点常态化开展治安大巡防行动，重点整治辖区宾馆、旅店，处置违规接待未成年人行为。我街道辖区内今</w:t>
      </w:r>
      <w:r>
        <w:rPr>
          <w:rFonts w:hint="eastAsia" w:ascii="仿宋_GB2312" w:hAnsi="仿宋_GB2312" w:eastAsia="仿宋_GB2312" w:cs="仿宋_GB2312"/>
          <w:b w:val="0"/>
          <w:bCs w:val="0"/>
          <w:color w:val="auto"/>
          <w:kern w:val="2"/>
          <w:sz w:val="32"/>
          <w:szCs w:val="32"/>
          <w:lang w:val="en-US" w:eastAsia="zh-CN" w:bidi="ar-SA"/>
        </w:rPr>
        <w:t>年来未发生群体性事件、“民转刑”案件及重大网络舆情。</w:t>
      </w:r>
    </w:p>
    <w:p>
      <w:pPr>
        <w:adjustRightInd w:val="0"/>
        <w:snapToGrid w:val="0"/>
        <w:rPr>
          <w:rFonts w:asciiTheme="minorEastAsia" w:hAnsiTheme="minorEastAsia" w:eastAsiaTheme="minorEastAsia"/>
          <w:b/>
          <w:sz w:val="32"/>
          <w:szCs w:val="32"/>
        </w:rPr>
      </w:pPr>
      <w:r>
        <w:rPr>
          <w:rFonts w:hint="eastAsia" w:asciiTheme="minorEastAsia" w:hAnsiTheme="minorEastAsia" w:eastAsiaTheme="minorEastAsia"/>
          <w:b/>
          <w:sz w:val="32"/>
          <w:szCs w:val="32"/>
        </w:rPr>
        <w:t>五、改进措施和有关建议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1、规范账务处理，提高财务信息质量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2、落实财务管理制度，进一步加强接待管理。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3、搞好人员培训，加强会计队伍建设。</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4、进一步建章立制，确保会计核算规范化。</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附件：西洲街道办事处</w:t>
      </w:r>
      <w:r>
        <w:rPr>
          <w:rFonts w:hint="eastAsia" w:ascii="仿宋_GB2312" w:hAnsi="仿宋_GB2312" w:eastAsia="仿宋_GB2312" w:cs="仿宋_GB2312"/>
          <w:color w:val="auto"/>
          <w:kern w:val="2"/>
          <w:sz w:val="32"/>
          <w:szCs w:val="32"/>
          <w:lang w:val="en-US" w:eastAsia="zh-CN" w:bidi="ar-SA"/>
        </w:rPr>
        <w:fldChar w:fldCharType="begin"/>
      </w:r>
      <w:r>
        <w:rPr>
          <w:rFonts w:hint="eastAsia" w:ascii="仿宋_GB2312" w:hAnsi="仿宋_GB2312" w:eastAsia="仿宋_GB2312" w:cs="仿宋_GB2312"/>
          <w:color w:val="auto"/>
          <w:kern w:val="2"/>
          <w:sz w:val="32"/>
          <w:szCs w:val="32"/>
          <w:lang w:val="en-US" w:eastAsia="zh-CN" w:bidi="ar-SA"/>
        </w:rPr>
        <w:instrText xml:space="preserve"> HYPERLINK "C:/Users/Administrator/Desktop/10.18/%E7%BB%A9%E6%95%88%E8%87%AA%E8%AF%84%E6%A8%A1%E6%9D%BF/2016%E5%B9%B4%E6%B0%B8%E5%B7%9E%E5%B8%82%E7%9B%B4%E9%83%A8%E9%97%A8%E6%95%B4%E4%BD%93%E6%94%AF%E5%87%BA%E7%BB%A9%E6%95%88%E8%AF%84%E4%BB%B7%E6%8C%87%E6%A0%87%E8%A1%A8.doc" </w:instrText>
      </w:r>
      <w:r>
        <w:rPr>
          <w:rFonts w:hint="eastAsia" w:ascii="仿宋_GB2312" w:hAnsi="仿宋_GB2312" w:eastAsia="仿宋_GB2312" w:cs="仿宋_GB2312"/>
          <w:color w:val="auto"/>
          <w:kern w:val="2"/>
          <w:sz w:val="32"/>
          <w:szCs w:val="32"/>
          <w:lang w:val="en-US" w:eastAsia="zh-CN" w:bidi="ar-SA"/>
        </w:rPr>
        <w:fldChar w:fldCharType="separate"/>
      </w:r>
      <w:r>
        <w:rPr>
          <w:rFonts w:hint="eastAsia" w:ascii="仿宋_GB2312" w:hAnsi="仿宋_GB2312" w:eastAsia="仿宋_GB2312" w:cs="仿宋_GB2312"/>
          <w:color w:val="auto"/>
          <w:kern w:val="2"/>
          <w:sz w:val="32"/>
          <w:szCs w:val="32"/>
          <w:lang w:val="en-US" w:eastAsia="zh-CN" w:bidi="ar-SA"/>
        </w:rPr>
        <w:t>整体支出绩效评价指标表</w:t>
      </w:r>
      <w:r>
        <w:rPr>
          <w:rFonts w:hint="eastAsia" w:ascii="仿宋_GB2312" w:hAnsi="仿宋_GB2312" w:eastAsia="仿宋_GB2312" w:cs="仿宋_GB2312"/>
          <w:color w:val="auto"/>
          <w:kern w:val="2"/>
          <w:sz w:val="32"/>
          <w:szCs w:val="32"/>
          <w:lang w:val="en-US" w:eastAsia="zh-CN" w:bidi="ar-SA"/>
        </w:rPr>
        <w:fldChar w:fldCharType="end"/>
      </w:r>
    </w:p>
    <w:p>
      <w:pPr>
        <w:widowControl/>
        <w:spacing w:line="600" w:lineRule="atLeast"/>
        <w:ind w:firstLine="640"/>
        <w:rPr>
          <w:rFonts w:cs="仿宋" w:asciiTheme="minorEastAsia" w:hAnsiTheme="minorEastAsia" w:eastAsiaTheme="minorEastAsia"/>
          <w:color w:val="666666"/>
          <w:kern w:val="0"/>
          <w:sz w:val="32"/>
          <w:szCs w:val="32"/>
        </w:rPr>
      </w:pPr>
    </w:p>
    <w:p>
      <w:pPr>
        <w:widowControl/>
        <w:spacing w:line="600" w:lineRule="atLeast"/>
        <w:ind w:firstLine="640"/>
        <w:rPr>
          <w:rFonts w:cs="仿宋" w:asciiTheme="minorEastAsia" w:hAnsiTheme="minorEastAsia" w:eastAsiaTheme="minorEastAsia"/>
          <w:color w:val="666666"/>
          <w:kern w:val="0"/>
          <w:sz w:val="32"/>
          <w:szCs w:val="32"/>
        </w:rPr>
      </w:pPr>
    </w:p>
    <w:p>
      <w:pPr>
        <w:widowControl/>
        <w:spacing w:line="600" w:lineRule="atLeast"/>
        <w:ind w:firstLine="5120" w:firstLineChars="1600"/>
        <w:rPr>
          <w:rFonts w:asciiTheme="minorEastAsia" w:hAnsiTheme="minorEastAsia" w:eastAsiaTheme="minorEastAsia"/>
          <w:sz w:val="32"/>
          <w:szCs w:val="3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0000000000000000000"/>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3C23B6"/>
    <w:multiLevelType w:val="multilevel"/>
    <w:tmpl w:val="303C23B6"/>
    <w:lvl w:ilvl="0" w:tentative="0">
      <w:start w:val="1"/>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7D33"/>
    <w:rsid w:val="0002229B"/>
    <w:rsid w:val="000273BD"/>
    <w:rsid w:val="00040CBC"/>
    <w:rsid w:val="000415B7"/>
    <w:rsid w:val="00041E3F"/>
    <w:rsid w:val="00055DAA"/>
    <w:rsid w:val="00061F7B"/>
    <w:rsid w:val="000658A3"/>
    <w:rsid w:val="00074155"/>
    <w:rsid w:val="000A0108"/>
    <w:rsid w:val="000A3F69"/>
    <w:rsid w:val="000E2142"/>
    <w:rsid w:val="00103957"/>
    <w:rsid w:val="00152C6D"/>
    <w:rsid w:val="00162D39"/>
    <w:rsid w:val="001678BD"/>
    <w:rsid w:val="00182373"/>
    <w:rsid w:val="001A67DB"/>
    <w:rsid w:val="001C3C29"/>
    <w:rsid w:val="001D51E5"/>
    <w:rsid w:val="001D5737"/>
    <w:rsid w:val="001E080D"/>
    <w:rsid w:val="001E53D0"/>
    <w:rsid w:val="001F0C3B"/>
    <w:rsid w:val="00202C82"/>
    <w:rsid w:val="0020543B"/>
    <w:rsid w:val="00214427"/>
    <w:rsid w:val="00226CB7"/>
    <w:rsid w:val="00264552"/>
    <w:rsid w:val="00264EF9"/>
    <w:rsid w:val="00265724"/>
    <w:rsid w:val="0027426B"/>
    <w:rsid w:val="002E0A30"/>
    <w:rsid w:val="003130C4"/>
    <w:rsid w:val="00316C4B"/>
    <w:rsid w:val="0032192B"/>
    <w:rsid w:val="003458EE"/>
    <w:rsid w:val="003479BD"/>
    <w:rsid w:val="0037197D"/>
    <w:rsid w:val="003768D5"/>
    <w:rsid w:val="003926B9"/>
    <w:rsid w:val="003C47E6"/>
    <w:rsid w:val="003C4FC2"/>
    <w:rsid w:val="00416E61"/>
    <w:rsid w:val="0042790C"/>
    <w:rsid w:val="004506F9"/>
    <w:rsid w:val="004717A2"/>
    <w:rsid w:val="00473DF3"/>
    <w:rsid w:val="00487911"/>
    <w:rsid w:val="00491741"/>
    <w:rsid w:val="004A705E"/>
    <w:rsid w:val="004B0CEE"/>
    <w:rsid w:val="004E3468"/>
    <w:rsid w:val="00500E5F"/>
    <w:rsid w:val="005122EF"/>
    <w:rsid w:val="0051441A"/>
    <w:rsid w:val="00517C33"/>
    <w:rsid w:val="00517D5F"/>
    <w:rsid w:val="00523644"/>
    <w:rsid w:val="0054069E"/>
    <w:rsid w:val="00544866"/>
    <w:rsid w:val="00554F20"/>
    <w:rsid w:val="005711FE"/>
    <w:rsid w:val="005767CC"/>
    <w:rsid w:val="00587BFA"/>
    <w:rsid w:val="00590D9F"/>
    <w:rsid w:val="00592F3C"/>
    <w:rsid w:val="00595D26"/>
    <w:rsid w:val="005A5FF8"/>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951EA"/>
    <w:rsid w:val="0079747B"/>
    <w:rsid w:val="007C4539"/>
    <w:rsid w:val="007F0184"/>
    <w:rsid w:val="007F3657"/>
    <w:rsid w:val="00812ED5"/>
    <w:rsid w:val="008277D9"/>
    <w:rsid w:val="0084478C"/>
    <w:rsid w:val="0086638C"/>
    <w:rsid w:val="008A3E8D"/>
    <w:rsid w:val="008B3741"/>
    <w:rsid w:val="008F7371"/>
    <w:rsid w:val="008F7532"/>
    <w:rsid w:val="009237C4"/>
    <w:rsid w:val="009266BC"/>
    <w:rsid w:val="00944C48"/>
    <w:rsid w:val="00950252"/>
    <w:rsid w:val="00967F5D"/>
    <w:rsid w:val="009A0F95"/>
    <w:rsid w:val="009B3ADF"/>
    <w:rsid w:val="009C3B52"/>
    <w:rsid w:val="009D2DE5"/>
    <w:rsid w:val="009E6817"/>
    <w:rsid w:val="009E6E9A"/>
    <w:rsid w:val="00A01D2B"/>
    <w:rsid w:val="00A42218"/>
    <w:rsid w:val="00A70249"/>
    <w:rsid w:val="00A70B02"/>
    <w:rsid w:val="00A71D9F"/>
    <w:rsid w:val="00A92E9F"/>
    <w:rsid w:val="00AB18FF"/>
    <w:rsid w:val="00AD16F3"/>
    <w:rsid w:val="00B0414C"/>
    <w:rsid w:val="00B201EA"/>
    <w:rsid w:val="00B33BEA"/>
    <w:rsid w:val="00B57C9F"/>
    <w:rsid w:val="00B63572"/>
    <w:rsid w:val="00B845B3"/>
    <w:rsid w:val="00B85D8B"/>
    <w:rsid w:val="00B956BC"/>
    <w:rsid w:val="00BA51F7"/>
    <w:rsid w:val="00BB4A40"/>
    <w:rsid w:val="00BD6C3E"/>
    <w:rsid w:val="00BE3674"/>
    <w:rsid w:val="00C10681"/>
    <w:rsid w:val="00C111AC"/>
    <w:rsid w:val="00C3049A"/>
    <w:rsid w:val="00C31B1E"/>
    <w:rsid w:val="00C77645"/>
    <w:rsid w:val="00CE04C3"/>
    <w:rsid w:val="00CE76A0"/>
    <w:rsid w:val="00D148C6"/>
    <w:rsid w:val="00D17A8A"/>
    <w:rsid w:val="00D35FD2"/>
    <w:rsid w:val="00D415BA"/>
    <w:rsid w:val="00D63780"/>
    <w:rsid w:val="00D644EE"/>
    <w:rsid w:val="00DA615A"/>
    <w:rsid w:val="00DD06FF"/>
    <w:rsid w:val="00DD5FE9"/>
    <w:rsid w:val="00DF76D7"/>
    <w:rsid w:val="00E00C7A"/>
    <w:rsid w:val="00E257A8"/>
    <w:rsid w:val="00E37D6C"/>
    <w:rsid w:val="00E55B68"/>
    <w:rsid w:val="00E561AE"/>
    <w:rsid w:val="00E67BE6"/>
    <w:rsid w:val="00E8683C"/>
    <w:rsid w:val="00EA2B72"/>
    <w:rsid w:val="00EC2574"/>
    <w:rsid w:val="00EC5055"/>
    <w:rsid w:val="00EF1752"/>
    <w:rsid w:val="00F74360"/>
    <w:rsid w:val="00FB2D6F"/>
    <w:rsid w:val="00FB462F"/>
    <w:rsid w:val="00FE16FA"/>
    <w:rsid w:val="00FE328A"/>
    <w:rsid w:val="00FE6269"/>
    <w:rsid w:val="00FF5CD6"/>
    <w:rsid w:val="1748566D"/>
    <w:rsid w:val="1B8258F5"/>
    <w:rsid w:val="1D97DEFF"/>
    <w:rsid w:val="1DFF72E5"/>
    <w:rsid w:val="1EFC6F07"/>
    <w:rsid w:val="26336E94"/>
    <w:rsid w:val="2CB431A2"/>
    <w:rsid w:val="2FDF85B8"/>
    <w:rsid w:val="2FFFEE04"/>
    <w:rsid w:val="34DF85B0"/>
    <w:rsid w:val="3B8F36BC"/>
    <w:rsid w:val="491FF225"/>
    <w:rsid w:val="4FFD214C"/>
    <w:rsid w:val="5777D4F5"/>
    <w:rsid w:val="578832D5"/>
    <w:rsid w:val="59DD8326"/>
    <w:rsid w:val="5DEF592A"/>
    <w:rsid w:val="5FC6BB1E"/>
    <w:rsid w:val="5FF720F1"/>
    <w:rsid w:val="67FF5C0B"/>
    <w:rsid w:val="6EFC0924"/>
    <w:rsid w:val="6FB74722"/>
    <w:rsid w:val="6FEF8B7E"/>
    <w:rsid w:val="71A6591B"/>
    <w:rsid w:val="737D59BA"/>
    <w:rsid w:val="77C37683"/>
    <w:rsid w:val="79FF515B"/>
    <w:rsid w:val="7E952A1B"/>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unhideWhenUsed/>
    <w:qFormat/>
    <w:uiPriority w:val="0"/>
    <w:pPr>
      <w:keepNext/>
      <w:keepLines/>
      <w:spacing w:line="600" w:lineRule="exact"/>
      <w:outlineLvl w:val="1"/>
    </w:pPr>
    <w:rPr>
      <w:rFonts w:ascii="黑体" w:hAnsi="黑体" w:eastAsia="黑体"/>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1"/>
    <w:semiHidden/>
    <w:unhideWhenUsed/>
    <w:qFormat/>
    <w:uiPriority w:val="99"/>
    <w:pPr>
      <w:spacing w:after="12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character" w:customStyle="1" w:styleId="21">
    <w:name w:val="正文文本 Char"/>
    <w:basedOn w:val="12"/>
    <w:link w:val="2"/>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DEAEDE-B160-4920-9E29-776F92C0FDE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13283</Words>
  <Characters>14704</Characters>
  <Lines>117</Lines>
  <Paragraphs>33</Paragraphs>
  <TotalTime>3</TotalTime>
  <ScaleCrop>false</ScaleCrop>
  <LinksUpToDate>false</LinksUpToDate>
  <CharactersWithSpaces>15708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2026-09-14T08:15:36Z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TemplateDocerSaveRecord">
    <vt:lpwstr>eyJoZGlkIjoiNmU1ZGFmNmY4OTQ0OTAxYTcyNjFhODBmODkyY2MyZjAiLCJ1c2VySWQiOiI0Mzg2MTMzNDkifQ==</vt:lpwstr>
  </property>
  <property fmtid="{D5CDD505-2E9C-101B-9397-08002B2CF9AE}" pid="4" name="ICV">
    <vt:lpwstr>CCEA24EF47CD47D592ED15FD32246D65_13</vt:lpwstr>
  </property>
</Properties>
</file>