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sz w:val="56"/>
          <w:szCs w:val="56"/>
        </w:rPr>
      </w:pPr>
      <w:r>
        <w:rPr>
          <w:sz w:val="56"/>
        </w:rPr>
        <w:pict>
          <v:shape id="_x0000_s1026" o:spid="_x0000_s1026" o:spt="202" type="#_x0000_t202" style="position:absolute;left:0pt;margin-left:-18.6pt;margin-top:-23.4pt;height:40.75pt;width:119.95pt;z-index:251659264;mso-width-relative:page;mso-height-relative:page;" fillcolor="#FFFFFF"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path/>
            <v:fill on="t" focussize="0,0"/>
            <v:stroke on="f" weight="0.5pt" joinstyle="miter"/>
            <v:imagedata o:title=""/>
            <o:lock v:ext="edit"/>
            <v:textbox>
              <w:txbxContent>
                <w:p>
                  <w:pPr>
                    <w:rPr>
                      <w:rFonts w:ascii="楷体" w:hAnsi="楷体" w:eastAsia="楷体" w:cs="楷体"/>
                      <w:sz w:val="30"/>
                      <w:szCs w:val="30"/>
                    </w:rPr>
                  </w:pPr>
                  <w:r>
                    <w:rPr>
                      <w:rFonts w:hint="eastAsia" w:ascii="楷体" w:hAnsi="楷体" w:eastAsia="楷体" w:cs="楷体"/>
                      <w:sz w:val="30"/>
                      <w:szCs w:val="30"/>
                    </w:rPr>
                    <w:t>附件1：</w:t>
                  </w:r>
                </w:p>
              </w:txbxContent>
            </v:textbox>
          </v:shape>
        </w:pict>
      </w:r>
    </w:p>
    <w:p>
      <w:pPr>
        <w:pStyle w:val="12"/>
        <w:jc w:val="center"/>
        <w:rPr>
          <w:sz w:val="56"/>
          <w:szCs w:val="56"/>
        </w:rPr>
      </w:pPr>
    </w:p>
    <w:p>
      <w:pPr>
        <w:pStyle w:val="12"/>
        <w:jc w:val="center"/>
        <w:rPr>
          <w:sz w:val="84"/>
          <w:szCs w:val="84"/>
        </w:rPr>
      </w:pPr>
    </w:p>
    <w:p>
      <w:pPr>
        <w:pStyle w:val="12"/>
        <w:jc w:val="center"/>
        <w:rPr>
          <w:sz w:val="84"/>
          <w:szCs w:val="84"/>
        </w:rPr>
      </w:pPr>
    </w:p>
    <w:p>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w:t>
      </w:r>
      <w:r>
        <w:rPr>
          <w:rFonts w:hint="eastAsia" w:ascii="方正小标宋_GBK" w:hAnsi="方正小标宋_GBK" w:eastAsia="方正小标宋_GBK" w:cs="方正小标宋_GBK"/>
          <w:sz w:val="84"/>
          <w:szCs w:val="84"/>
        </w:rPr>
        <w:t>年度</w:t>
      </w:r>
    </w:p>
    <w:p>
      <w:pPr>
        <w:pStyle w:val="12"/>
        <w:jc w:val="center"/>
        <w:rPr>
          <w:rFonts w:hint="default"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rPr>
        <w:t>湖南月岩国家森林公园管理局部门决算</w:t>
      </w:r>
    </w:p>
    <w:p>
      <w:pPr>
        <w:pStyle w:val="12"/>
        <w:jc w:val="center"/>
        <w:rPr>
          <w:rFonts w:ascii="方正小标宋_GBK" w:hAnsi="方正小标宋_GBK" w:eastAsia="方正小标宋_GBK" w:cs="方正小标宋_GBK"/>
          <w:sz w:val="56"/>
          <w:szCs w:val="56"/>
        </w:rPr>
      </w:pP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32"/>
          <w:szCs w:val="32"/>
        </w:rPr>
      </w:pPr>
    </w:p>
    <w:p>
      <w:pPr>
        <w:pStyle w:val="12"/>
        <w:jc w:val="center"/>
        <w:rPr>
          <w:sz w:val="32"/>
          <w:szCs w:val="32"/>
        </w:rPr>
      </w:pPr>
    </w:p>
    <w:p>
      <w:pPr>
        <w:pStyle w:val="12"/>
        <w:spacing w:line="540" w:lineRule="exact"/>
        <w:jc w:val="both"/>
        <w:rPr>
          <w:sz w:val="56"/>
          <w:szCs w:val="56"/>
        </w:rPr>
      </w:pPr>
    </w:p>
    <w:p>
      <w:pPr>
        <w:pStyle w:val="12"/>
        <w:spacing w:line="500" w:lineRule="exact"/>
        <w:jc w:val="both"/>
        <w:rPr>
          <w:b/>
          <w:sz w:val="36"/>
          <w:szCs w:val="28"/>
        </w:rPr>
      </w:pPr>
    </w:p>
    <w:p>
      <w:pPr>
        <w:pStyle w:val="12"/>
        <w:spacing w:line="500" w:lineRule="exact"/>
        <w:jc w:val="center"/>
        <w:rPr>
          <w:rFonts w:hint="eastAsia"/>
          <w:b/>
          <w:sz w:val="36"/>
          <w:szCs w:val="28"/>
        </w:rPr>
      </w:pPr>
      <w:r>
        <w:rPr>
          <w:rFonts w:hint="eastAsia"/>
          <w:b/>
          <w:sz w:val="36"/>
          <w:szCs w:val="28"/>
        </w:rPr>
        <w:t>目</w:t>
      </w:r>
      <w:r>
        <w:rPr>
          <w:rFonts w:hint="eastAsia"/>
          <w:b/>
          <w:sz w:val="36"/>
          <w:szCs w:val="28"/>
          <w:lang w:val="en-US" w:eastAsia="zh-CN"/>
        </w:rPr>
        <w:t xml:space="preserve">   </w:t>
      </w:r>
      <w:r>
        <w:rPr>
          <w:rFonts w:hint="eastAsia"/>
          <w:b/>
          <w:sz w:val="36"/>
          <w:szCs w:val="28"/>
        </w:rPr>
        <w:t>录</w:t>
      </w:r>
    </w:p>
    <w:p>
      <w:pPr>
        <w:pStyle w:val="12"/>
        <w:spacing w:line="500" w:lineRule="exact"/>
        <w:jc w:val="center"/>
        <w:rPr>
          <w:rFonts w:hint="eastAsia"/>
          <w:b/>
          <w:sz w:val="36"/>
          <w:szCs w:val="28"/>
        </w:rPr>
      </w:pPr>
    </w:p>
    <w:p>
      <w:pPr>
        <w:pStyle w:val="12"/>
        <w:spacing w:line="500" w:lineRule="exact"/>
        <w:rPr>
          <w:rFonts w:hAnsi="黑体"/>
          <w:bCs/>
          <w:sz w:val="28"/>
          <w:szCs w:val="28"/>
        </w:rPr>
      </w:pPr>
      <w:r>
        <w:rPr>
          <w:rFonts w:hint="eastAsia" w:hAnsi="黑体"/>
          <w:bCs/>
          <w:sz w:val="28"/>
          <w:szCs w:val="28"/>
        </w:rPr>
        <w:t>第一部分湖南月岩国家森林公园管理局概况</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2"/>
        <w:spacing w:line="500" w:lineRule="exact"/>
        <w:rPr>
          <w:rFonts w:hAnsi="黑体"/>
          <w:bCs/>
          <w:sz w:val="28"/>
          <w:szCs w:val="28"/>
        </w:rPr>
      </w:pPr>
      <w:r>
        <w:rPr>
          <w:rFonts w:hint="eastAsia" w:hAnsi="黑体"/>
          <w:bCs/>
          <w:sz w:val="28"/>
          <w:szCs w:val="28"/>
        </w:rPr>
        <w:t>第二部分部门决算表</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2"/>
        <w:spacing w:line="500" w:lineRule="exact"/>
        <w:rPr>
          <w:rFonts w:hAnsi="黑体"/>
          <w:bCs/>
          <w:sz w:val="28"/>
          <w:szCs w:val="28"/>
        </w:rPr>
      </w:pPr>
      <w:r>
        <w:rPr>
          <w:rFonts w:hint="eastAsia" w:hAnsi="黑体"/>
          <w:bCs/>
          <w:sz w:val="28"/>
          <w:szCs w:val="28"/>
        </w:rPr>
        <w:t>第三部分部门决算情况说明</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w:t>
      </w:r>
      <w:r>
        <w:rPr>
          <w:rFonts w:hint="eastAsia" w:ascii="仿宋_GB2312" w:hAnsi="仿宋_GB2312" w:eastAsia="仿宋_GB2312" w:cs="仿宋_GB2312"/>
          <w:sz w:val="28"/>
          <w:szCs w:val="28"/>
        </w:rPr>
        <w:t>年度预算绩效情况的说明</w:t>
      </w:r>
    </w:p>
    <w:p>
      <w:pPr>
        <w:pStyle w:val="12"/>
        <w:spacing w:line="500" w:lineRule="exact"/>
        <w:rPr>
          <w:rFonts w:hAnsi="黑体"/>
          <w:bCs/>
          <w:sz w:val="28"/>
          <w:szCs w:val="28"/>
        </w:rPr>
      </w:pPr>
      <w:r>
        <w:rPr>
          <w:rFonts w:hint="eastAsia" w:hAnsi="黑体"/>
          <w:bCs/>
          <w:sz w:val="28"/>
          <w:szCs w:val="28"/>
        </w:rPr>
        <w:t>第四部分名词解释</w:t>
      </w:r>
    </w:p>
    <w:p>
      <w:pPr>
        <w:pStyle w:val="12"/>
        <w:spacing w:line="500" w:lineRule="exact"/>
        <w:rPr>
          <w:rFonts w:hAnsi="黑体"/>
          <w:bCs/>
          <w:sz w:val="28"/>
          <w:szCs w:val="28"/>
        </w:rPr>
      </w:pPr>
      <w:r>
        <w:rPr>
          <w:rFonts w:hint="eastAsia" w:hAnsi="黑体"/>
          <w:bCs/>
          <w:sz w:val="28"/>
          <w:szCs w:val="28"/>
        </w:rPr>
        <w:t>第五部分附件</w:t>
      </w:r>
    </w:p>
    <w:p>
      <w:pPr>
        <w:pStyle w:val="12"/>
        <w:spacing w:line="500" w:lineRule="exact"/>
        <w:rPr>
          <w:rFonts w:hAnsi="黑体"/>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ascii="方正小标宋_GBK" w:hAnsi="方正小标宋_GBK" w:eastAsia="方正小标宋_GBK" w:cs="方正小标宋_GBK"/>
          <w:sz w:val="72"/>
          <w:szCs w:val="72"/>
        </w:rPr>
      </w:pPr>
    </w:p>
    <w:p>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2"/>
        <w:jc w:val="center"/>
        <w:rPr>
          <w:rFonts w:ascii="方正小标宋_GBK" w:hAnsi="方正小标宋_GBK" w:eastAsia="方正小标宋_GBK" w:cs="方正小标宋_GBK"/>
          <w:sz w:val="84"/>
          <w:szCs w:val="84"/>
        </w:rPr>
      </w:pPr>
    </w:p>
    <w:p>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湖南月岩国家森林公园管理局概况</w:t>
      </w:r>
    </w:p>
    <w:p>
      <w:pPr>
        <w:jc w:val="center"/>
        <w:rPr>
          <w:rFonts w:ascii="方正小标宋_GBK" w:hAnsi="方正小标宋_GBK" w:eastAsia="方正小标宋_GBK" w:cs="方正小标宋_GBK"/>
          <w:sz w:val="72"/>
          <w:szCs w:val="72"/>
        </w:rPr>
      </w:pPr>
    </w:p>
    <w:p>
      <w:pPr>
        <w:jc w:val="both"/>
        <w:rPr>
          <w:rFonts w:hint="eastAsia" w:eastAsiaTheme="minorEastAsia"/>
          <w:sz w:val="72"/>
          <w:szCs w:val="72"/>
          <w:lang w:eastAsia="zh-CN"/>
        </w:rPr>
      </w:pPr>
    </w:p>
    <w:p>
      <w:pPr>
        <w:pStyle w:val="2"/>
        <w:rPr>
          <w:rFonts w:hint="eastAsia" w:eastAsiaTheme="minorEastAsia"/>
          <w:sz w:val="72"/>
          <w:szCs w:val="72"/>
          <w:lang w:eastAsia="zh-CN"/>
        </w:rPr>
      </w:pPr>
    </w:p>
    <w:p>
      <w:pPr>
        <w:pStyle w:val="3"/>
        <w:rPr>
          <w:rFonts w:hint="eastAsia"/>
          <w:lang w:eastAsia="zh-CN"/>
        </w:rPr>
      </w:pPr>
    </w:p>
    <w:p>
      <w:pPr>
        <w:pStyle w:val="13"/>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保护森林风景资源和生物多样性，维护生态平衡，管理国有林场，</w:t>
      </w:r>
    </w:p>
    <w:p>
      <w:pPr>
        <w:pStyle w:val="13"/>
        <w:ind w:firstLine="0"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普及生态文化知识，开展森林生态旅游；</w:t>
      </w:r>
    </w:p>
    <w:p>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编制森林公园总体规划， 森林公园建设，森林风景资源的培育、保护和利用；</w:t>
      </w:r>
    </w:p>
    <w:p>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野生动植物珍</w:t>
      </w:r>
      <w:r>
        <w:rPr>
          <w:rFonts w:hint="eastAsia" w:ascii="Times New Roman" w:hAnsi="Times New Roman" w:eastAsia="仿宋_GB2312" w:cs="仿宋_GB2312"/>
          <w:bCs/>
          <w:kern w:val="0"/>
          <w:sz w:val="32"/>
          <w:szCs w:val="32"/>
          <w:lang w:val="en-US" w:eastAsia="zh-CN"/>
        </w:rPr>
        <w:t>稀</w:t>
      </w:r>
      <w:r>
        <w:rPr>
          <w:rFonts w:hint="eastAsia" w:ascii="Times New Roman" w:hAnsi="Times New Roman" w:eastAsia="仿宋_GB2312" w:cs="仿宋_GB2312"/>
          <w:bCs/>
          <w:kern w:val="0"/>
          <w:sz w:val="32"/>
          <w:szCs w:val="32"/>
        </w:rPr>
        <w:t>物种栖息地环境监测与治理、基础数据收集分析，</w:t>
      </w:r>
    </w:p>
    <w:p>
      <w:pPr>
        <w:pStyle w:val="13"/>
        <w:ind w:firstLine="0"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自然保护科学研究、宣传教育；</w:t>
      </w:r>
    </w:p>
    <w:p>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林木种苗生产供应与经营， 护林防火，林业信息服务，林业违法行为处罚；</w:t>
      </w:r>
    </w:p>
    <w:p>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森林生态旅游及旅游产品开发。</w:t>
      </w:r>
    </w:p>
    <w:p>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pPr>
        <w:pStyle w:val="13"/>
        <w:numPr>
          <w:ilvl w:val="0"/>
          <w:numId w:val="3"/>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内设机构设置</w:t>
      </w:r>
    </w:p>
    <w:p>
      <w:pPr>
        <w:pStyle w:val="13"/>
        <w:ind w:left="420" w:firstLine="64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湖南月岩国家森林公园管理局为副处级全额拨款事业单位，下辖一个集材场及香炉山、坦里源、黄土江、南北冲、中坪、空树岩、王家七个分场，总场内设办公室、计财科、政工人事科、经营科、项目开发科、资源管护科、保护区管理科7个科室。事业编制</w:t>
      </w:r>
      <w:r>
        <w:rPr>
          <w:rFonts w:hint="eastAsia" w:ascii="Times New Roman" w:hAnsi="Times New Roman" w:eastAsia="仿宋_GB2312" w:cs="仿宋_GB2312"/>
          <w:bCs/>
          <w:kern w:val="0"/>
          <w:sz w:val="32"/>
          <w:szCs w:val="32"/>
          <w:lang w:val="en-US" w:eastAsia="zh-CN"/>
        </w:rPr>
        <w:t>184</w:t>
      </w:r>
      <w:r>
        <w:rPr>
          <w:rFonts w:hint="eastAsia" w:ascii="Times New Roman" w:hAnsi="Times New Roman" w:eastAsia="仿宋_GB2312" w:cs="仿宋_GB2312"/>
          <w:bCs/>
          <w:kern w:val="0"/>
          <w:sz w:val="32"/>
          <w:szCs w:val="32"/>
        </w:rPr>
        <w:t>人，现有在编人数</w:t>
      </w:r>
      <w:r>
        <w:rPr>
          <w:rFonts w:hint="eastAsia" w:ascii="Times New Roman" w:hAnsi="Times New Roman" w:eastAsia="仿宋_GB2312" w:cs="仿宋_GB2312"/>
          <w:bCs/>
          <w:kern w:val="0"/>
          <w:sz w:val="32"/>
          <w:szCs w:val="32"/>
          <w:lang w:val="en-US" w:eastAsia="zh-CN"/>
        </w:rPr>
        <w:t>184</w:t>
      </w:r>
      <w:r>
        <w:rPr>
          <w:rFonts w:hint="eastAsia" w:ascii="Times New Roman" w:hAnsi="Times New Roman" w:eastAsia="仿宋_GB2312" w:cs="仿宋_GB2312"/>
          <w:bCs/>
          <w:kern w:val="0"/>
          <w:sz w:val="32"/>
          <w:szCs w:val="32"/>
        </w:rPr>
        <w:t>人，配有19座防火运兵车1辆，防火宣传车1辆，</w:t>
      </w:r>
      <w:r>
        <w:rPr>
          <w:rFonts w:hint="eastAsia" w:ascii="Times New Roman" w:hAnsi="Times New Roman" w:eastAsia="仿宋_GB2312" w:cs="仿宋_GB2312"/>
          <w:bCs/>
          <w:kern w:val="0"/>
          <w:sz w:val="32"/>
          <w:szCs w:val="32"/>
          <w:lang w:val="en-US" w:eastAsia="zh-CN"/>
        </w:rPr>
        <w:t>1</w:t>
      </w:r>
      <w:r>
        <w:rPr>
          <w:rFonts w:hint="eastAsia" w:ascii="Times New Roman" w:hAnsi="Times New Roman" w:eastAsia="仿宋_GB2312" w:cs="仿宋_GB2312"/>
          <w:bCs/>
          <w:kern w:val="0"/>
          <w:sz w:val="32"/>
          <w:szCs w:val="32"/>
        </w:rPr>
        <w:t>辆越野车，消防</w:t>
      </w:r>
      <w:r>
        <w:rPr>
          <w:rFonts w:hint="eastAsia" w:ascii="Times New Roman" w:hAnsi="Times New Roman" w:eastAsia="仿宋_GB2312" w:cs="仿宋_GB2312"/>
          <w:bCs/>
          <w:kern w:val="0"/>
          <w:sz w:val="32"/>
          <w:szCs w:val="32"/>
          <w:lang w:val="en-US" w:eastAsia="zh-CN"/>
        </w:rPr>
        <w:t>水</w:t>
      </w:r>
      <w:r>
        <w:rPr>
          <w:rFonts w:hint="eastAsia" w:ascii="Times New Roman" w:hAnsi="Times New Roman" w:eastAsia="仿宋_GB2312" w:cs="仿宋_GB2312"/>
          <w:bCs/>
          <w:kern w:val="0"/>
          <w:sz w:val="32"/>
          <w:szCs w:val="32"/>
        </w:rPr>
        <w:t>车1台</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lang w:val="en-US" w:eastAsia="zh-CN"/>
        </w:rPr>
        <w:t>消防机具车1辆</w:t>
      </w:r>
      <w:r>
        <w:rPr>
          <w:rFonts w:hint="eastAsia" w:ascii="Times New Roman" w:hAnsi="Times New Roman" w:eastAsia="仿宋_GB2312" w:cs="仿宋_GB2312"/>
          <w:bCs/>
          <w:kern w:val="0"/>
          <w:sz w:val="32"/>
          <w:szCs w:val="32"/>
        </w:rPr>
        <w:t>。</w:t>
      </w:r>
    </w:p>
    <w:p>
      <w:pPr>
        <w:pStyle w:val="13"/>
        <w:numPr>
          <w:ilvl w:val="0"/>
          <w:numId w:val="3"/>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pStyle w:val="13"/>
        <w:ind w:left="420" w:leftChars="200" w:firstLine="64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湖南月岩国家森林公园管理局 </w:t>
      </w:r>
      <w:r>
        <w:rPr>
          <w:rFonts w:hint="eastAsia" w:ascii="Times New Roman" w:hAnsi="Times New Roman" w:eastAsia="仿宋_GB2312" w:cs="仿宋_GB2312"/>
          <w:bCs/>
          <w:kern w:val="0"/>
          <w:sz w:val="32"/>
          <w:szCs w:val="32"/>
          <w:lang w:eastAsia="zh-CN"/>
        </w:rPr>
        <w:t>2025</w:t>
      </w:r>
      <w:r>
        <w:rPr>
          <w:rFonts w:hint="eastAsia" w:ascii="Times New Roman" w:hAnsi="Times New Roman" w:eastAsia="仿宋_GB2312" w:cs="仿宋_GB2312"/>
          <w:bCs/>
          <w:kern w:val="0"/>
          <w:sz w:val="32"/>
          <w:szCs w:val="32"/>
        </w:rPr>
        <w:t xml:space="preserve"> 年部门决算汇总公开单位构成包括：湖南月岩国家森林公园管理局本级。</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pStyle w:val="12"/>
        <w:jc w:val="both"/>
        <w:rPr>
          <w:rFonts w:ascii="方正小标宋_GBK" w:hAnsi="方正小标宋_GBK" w:eastAsia="方正小标宋_GBK" w:cs="方正小标宋_GBK"/>
          <w:sz w:val="84"/>
          <w:szCs w:val="84"/>
        </w:rPr>
      </w:pPr>
    </w:p>
    <w:p>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2"/>
        <w:jc w:val="center"/>
        <w:rPr>
          <w:rFonts w:ascii="方正小标宋_GBK" w:hAnsi="方正小标宋_GBK" w:eastAsia="方正小标宋_GBK" w:cs="方正小标宋_GBK"/>
          <w:sz w:val="84"/>
          <w:szCs w:val="84"/>
        </w:rPr>
      </w:pPr>
    </w:p>
    <w:p>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8"/>
        <w:tblW w:w="15370" w:type="dxa"/>
        <w:tblInd w:w="0" w:type="dxa"/>
        <w:tblLayout w:type="fixed"/>
        <w:tblCellMar>
          <w:top w:w="0" w:type="dxa"/>
          <w:left w:w="0" w:type="dxa"/>
          <w:bottom w:w="0" w:type="dxa"/>
          <w:right w:w="0" w:type="dxa"/>
        </w:tblCellMar>
      </w:tblPr>
      <w:tblGrid>
        <w:gridCol w:w="250"/>
        <w:gridCol w:w="1759"/>
        <w:gridCol w:w="3750"/>
        <w:gridCol w:w="1380"/>
        <w:gridCol w:w="1290"/>
        <w:gridCol w:w="900"/>
        <w:gridCol w:w="1300"/>
        <w:gridCol w:w="1420"/>
        <w:gridCol w:w="1400"/>
        <w:gridCol w:w="1921"/>
      </w:tblGrid>
      <w:tr>
        <w:tblPrEx>
          <w:tblCellMar>
            <w:top w:w="0" w:type="dxa"/>
            <w:left w:w="0" w:type="dxa"/>
            <w:bottom w:w="0" w:type="dxa"/>
            <w:right w:w="0" w:type="dxa"/>
          </w:tblCellMar>
        </w:tblPrEx>
        <w:trPr>
          <w:trHeight w:val="424" w:hRule="atLeast"/>
        </w:trPr>
        <w:tc>
          <w:tcPr>
            <w:tcW w:w="15370"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8"/>
              <w:tblW w:w="15398" w:type="dxa"/>
              <w:tblInd w:w="0" w:type="dxa"/>
              <w:tblLayout w:type="fixed"/>
              <w:tblCellMar>
                <w:top w:w="0" w:type="dxa"/>
                <w:left w:w="108" w:type="dxa"/>
                <w:bottom w:w="0" w:type="dxa"/>
                <w:right w:w="108" w:type="dxa"/>
              </w:tblCellMar>
            </w:tblPr>
            <w:tblGrid>
              <w:gridCol w:w="4074"/>
              <w:gridCol w:w="569"/>
              <w:gridCol w:w="1993"/>
              <w:gridCol w:w="4590"/>
              <w:gridCol w:w="844"/>
              <w:gridCol w:w="819"/>
              <w:gridCol w:w="2437"/>
              <w:gridCol w:w="72"/>
            </w:tblGrid>
            <w:tr>
              <w:tblPrEx>
                <w:tblCellMar>
                  <w:top w:w="0" w:type="dxa"/>
                  <w:left w:w="108" w:type="dxa"/>
                  <w:bottom w:w="0" w:type="dxa"/>
                  <w:right w:w="108" w:type="dxa"/>
                </w:tblCellMar>
              </w:tblPrEx>
              <w:trPr>
                <w:trHeight w:val="304" w:hRule="atLeast"/>
              </w:trPr>
              <w:tc>
                <w:tcPr>
                  <w:tcW w:w="4074" w:type="dxa"/>
                  <w:tcBorders>
                    <w:top w:val="nil"/>
                    <w:left w:val="nil"/>
                    <w:bottom w:val="nil"/>
                    <w:right w:val="nil"/>
                  </w:tcBorders>
                  <w:shd w:val="clear" w:color="auto" w:fill="auto"/>
                  <w:noWrap/>
                  <w:vAlign w:val="center"/>
                </w:tcPr>
                <w:p>
                  <w:pPr>
                    <w:jc w:val="left"/>
                    <w:rPr>
                      <w:rFonts w:ascii="黑体" w:hAnsi="宋体" w:eastAsia="黑体" w:cs="黑体"/>
                      <w:color w:val="000000"/>
                      <w:sz w:val="24"/>
                      <w:szCs w:val="24"/>
                    </w:rPr>
                  </w:pPr>
                </w:p>
              </w:tc>
              <w:tc>
                <w:tcPr>
                  <w:tcW w:w="569" w:type="dxa"/>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1993" w:type="dxa"/>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4590" w:type="dxa"/>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1663" w:type="dxa"/>
                  <w:gridSpan w:val="2"/>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2509" w:type="dxa"/>
                  <w:gridSpan w:val="2"/>
                  <w:tcBorders>
                    <w:top w:val="nil"/>
                    <w:left w:val="nil"/>
                    <w:bottom w:val="nil"/>
                    <w:right w:val="nil"/>
                  </w:tcBorders>
                  <w:shd w:val="clear" w:color="auto" w:fill="auto"/>
                  <w:noWrap/>
                  <w:vAlign w:val="center"/>
                </w:tcPr>
                <w:p>
                  <w:pPr>
                    <w:jc w:val="right"/>
                    <w:rPr>
                      <w:rFonts w:ascii="黑体" w:hAnsi="宋体" w:eastAsia="黑体" w:cs="黑体"/>
                      <w:color w:val="000000"/>
                      <w:sz w:val="24"/>
                      <w:szCs w:val="24"/>
                    </w:rPr>
                  </w:pPr>
                </w:p>
              </w:tc>
            </w:tr>
            <w:tr>
              <w:tblPrEx>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tblPrEx>
                <w:tblCellMar>
                  <w:top w:w="0" w:type="dxa"/>
                  <w:left w:w="108" w:type="dxa"/>
                  <w:bottom w:w="0" w:type="dxa"/>
                  <w:right w:w="108" w:type="dxa"/>
                </w:tblCellMar>
              </w:tblPrEx>
              <w:trPr>
                <w:trHeight w:val="304" w:hRule="atLeast"/>
              </w:trPr>
              <w:tc>
                <w:tcPr>
                  <w:tcW w:w="4074"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569"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1993"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4590"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1663" w:type="dxa"/>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2509"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304" w:hRule="atLeast"/>
              </w:trPr>
              <w:tc>
                <w:tcPr>
                  <w:tcW w:w="4074" w:type="dxa"/>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部门：湖南月岩国家森林公园管理局</w:t>
                  </w:r>
                </w:p>
              </w:tc>
              <w:tc>
                <w:tcPr>
                  <w:tcW w:w="569"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1993"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4590"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1663" w:type="dxa"/>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2509"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72" w:type="dxa"/>
                <w:trHeight w:val="448" w:hRule="atLeast"/>
              </w:trPr>
              <w:tc>
                <w:tcPr>
                  <w:tcW w:w="663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收入</w:t>
                  </w:r>
                </w:p>
              </w:tc>
              <w:tc>
                <w:tcPr>
                  <w:tcW w:w="869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支出</w:t>
                  </w:r>
                </w:p>
              </w:tc>
            </w:tr>
            <w:tr>
              <w:tblPrEx>
                <w:tblCellMar>
                  <w:top w:w="0" w:type="dxa"/>
                  <w:left w:w="108" w:type="dxa"/>
                  <w:bottom w:w="0" w:type="dxa"/>
                  <w:right w:w="108" w:type="dxa"/>
                </w:tblCellMar>
              </w:tblPrEx>
              <w:trPr>
                <w:gridAfter w:val="1"/>
                <w:wAfter w:w="72" w:type="dxa"/>
                <w:trHeight w:val="62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eastAsia="宋体" w:cs="宋体"/>
                      <w:color w:val="000000"/>
                      <w:sz w:val="24"/>
                      <w:szCs w:val="24"/>
                    </w:rPr>
                  </w:pP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eastAsia="宋体" w:cs="宋体"/>
                      <w:color w:val="000000"/>
                      <w:sz w:val="24"/>
                      <w:szCs w:val="24"/>
                    </w:rPr>
                  </w:pP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3017.71</w:t>
                  </w: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三、国有资本经营预算财政拨款收入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四、上级补助收入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四、社会保障和就业支出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357.44 </w:t>
                  </w: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五、事业收入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五、卫生健康支出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167.17 </w:t>
                  </w: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六、经营收入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六、节能环保支出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180.60 </w:t>
                  </w: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七、附属单位上缴收入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七、农林水支出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2,312.50 </w:t>
                  </w: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八、其他收入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b/>
                      <w:color w:val="000000"/>
                      <w:sz w:val="22"/>
                    </w:rPr>
                  </w:pP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lang w:val="en-US" w:eastAsia="zh-CN"/>
                    </w:rPr>
                    <w:t>3017.71</w:t>
                  </w: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2"/>
                    </w:rPr>
                  </w:pPr>
                  <w:r>
                    <w:rPr>
                      <w:rFonts w:hint="eastAsia" w:ascii="宋体" w:hAnsi="宋体" w:eastAsia="宋体" w:cs="宋体"/>
                      <w:color w:val="000000"/>
                      <w:sz w:val="22"/>
                      <w:lang w:val="en-US" w:eastAsia="zh-CN"/>
                    </w:rPr>
                    <w:t>3017.71</w:t>
                  </w: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使用非财政拨款结余（含专用结余）</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结余分配</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2"/>
                    </w:rPr>
                  </w:pPr>
                </w:p>
              </w:tc>
            </w:tr>
            <w:tr>
              <w:tblPrEx>
                <w:tblCellMar>
                  <w:top w:w="0" w:type="dxa"/>
                  <w:left w:w="108" w:type="dxa"/>
                  <w:bottom w:w="0" w:type="dxa"/>
                  <w:right w:w="108" w:type="dxa"/>
                </w:tblCellMar>
              </w:tblPrEx>
              <w:trPr>
                <w:gridAfter w:val="1"/>
                <w:wAfter w:w="72" w:type="dxa"/>
                <w:trHeight w:val="62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年初结转和结余</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年末结转和结余</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2"/>
                    </w:rPr>
                  </w:pPr>
                </w:p>
              </w:tc>
            </w:tr>
            <w:tr>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lang w:val="en-US" w:eastAsia="zh-CN"/>
                    </w:rPr>
                    <w:t>3017.71</w:t>
                  </w: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b/>
                      <w:color w:val="000000"/>
                      <w:sz w:val="22"/>
                    </w:rPr>
                  </w:pPr>
                  <w:r>
                    <w:rPr>
                      <w:rFonts w:hint="eastAsia" w:ascii="宋体" w:hAnsi="宋体" w:eastAsia="宋体" w:cs="宋体"/>
                      <w:color w:val="000000"/>
                      <w:sz w:val="22"/>
                      <w:lang w:val="en-US" w:eastAsia="zh-CN"/>
                    </w:rPr>
                    <w:t>3017.71</w:t>
                  </w:r>
                </w:p>
              </w:tc>
            </w:tr>
            <w:tr>
              <w:tblPrEx>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注：1.本表反映部门本年度的总收支和年末结转结余情况。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337" w:hRule="atLeast"/>
        </w:trPr>
        <w:tc>
          <w:tcPr>
            <w:tcW w:w="2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5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7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2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425" w:hRule="atLeast"/>
        </w:trPr>
        <w:tc>
          <w:tcPr>
            <w:tcW w:w="200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color w:val="000000"/>
                <w:kern w:val="0"/>
                <w:sz w:val="20"/>
                <w:szCs w:val="20"/>
              </w:rPr>
              <w:t>湖南月岩国家森林公园管理局</w:t>
            </w:r>
          </w:p>
        </w:tc>
        <w:tc>
          <w:tcPr>
            <w:tcW w:w="37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00"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3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2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575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3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29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9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3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4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4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9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200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37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3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312" w:hRule="atLeast"/>
        </w:trPr>
        <w:tc>
          <w:tcPr>
            <w:tcW w:w="200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375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640" w:hRule="atLeast"/>
        </w:trPr>
        <w:tc>
          <w:tcPr>
            <w:tcW w:w="575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3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2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9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4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9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575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3017.71</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3017.71</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r>
      <w:tr>
        <w:tblPrEx>
          <w:tblCellMar>
            <w:top w:w="0" w:type="dxa"/>
            <w:left w:w="0" w:type="dxa"/>
            <w:bottom w:w="0" w:type="dxa"/>
            <w:right w:w="0" w:type="dxa"/>
          </w:tblCellMar>
        </w:tblPrEx>
        <w:trPr>
          <w:trHeight w:val="509"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ascii="宋体" w:hAnsi="宋体" w:eastAsia="宋体" w:cs="宋体"/>
                <w:sz w:val="24"/>
                <w:szCs w:val="24"/>
              </w:rPr>
            </w:pPr>
            <w:r>
              <w:rPr>
                <w:rFonts w:hint="eastAsia" w:ascii="瀹嬩綋" w:hAnsi="瀹嬩綋" w:eastAsia="瀹嬩綋"/>
                <w:color w:val="000000"/>
                <w:sz w:val="22"/>
                <w:szCs w:val="24"/>
              </w:rPr>
              <w:t>2080505</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ascii="宋体" w:hAnsi="宋体" w:eastAsia="宋体" w:cs="宋体"/>
                <w:sz w:val="24"/>
                <w:szCs w:val="24"/>
              </w:rPr>
            </w:pPr>
            <w:r>
              <w:rPr>
                <w:rFonts w:hint="eastAsia" w:ascii="瀹嬩綋" w:hAnsi="瀹嬩綋" w:eastAsia="瀹嬩綋"/>
                <w:color w:val="000000"/>
                <w:sz w:val="22"/>
                <w:szCs w:val="24"/>
              </w:rPr>
              <w:t>机关事业单位基本养老保险缴费支出</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 xml:space="preserve">319.64 </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319.64</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r>
      <w:tr>
        <w:tblPrEx>
          <w:tblCellMar>
            <w:top w:w="0" w:type="dxa"/>
            <w:left w:w="0" w:type="dxa"/>
            <w:bottom w:w="0" w:type="dxa"/>
            <w:right w:w="0" w:type="dxa"/>
          </w:tblCellMar>
        </w:tblPrEx>
        <w:trPr>
          <w:trHeight w:val="419"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ascii="宋体" w:hAnsi="宋体" w:eastAsia="宋体" w:cs="宋体"/>
                <w:sz w:val="24"/>
                <w:szCs w:val="24"/>
              </w:rPr>
            </w:pPr>
            <w:r>
              <w:rPr>
                <w:rFonts w:hint="eastAsia" w:ascii="瀹嬩綋" w:hAnsi="瀹嬩綋" w:eastAsia="瀹嬩綋"/>
                <w:color w:val="000000"/>
                <w:sz w:val="22"/>
                <w:szCs w:val="24"/>
              </w:rPr>
              <w:t>2080801</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ascii="宋体" w:hAnsi="宋体" w:eastAsia="宋体" w:cs="宋体"/>
                <w:sz w:val="24"/>
                <w:szCs w:val="24"/>
              </w:rPr>
            </w:pPr>
            <w:r>
              <w:rPr>
                <w:rFonts w:hint="eastAsia" w:ascii="瀹嬩綋" w:hAnsi="瀹嬩綋" w:eastAsia="瀹嬩綋"/>
                <w:color w:val="000000"/>
                <w:sz w:val="22"/>
                <w:szCs w:val="24"/>
              </w:rPr>
              <w:t>死亡抚恤</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 xml:space="preserve">37.80 </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 xml:space="preserve">37.80 </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r>
      <w:tr>
        <w:tblPrEx>
          <w:tblCellMar>
            <w:top w:w="0" w:type="dxa"/>
            <w:left w:w="0" w:type="dxa"/>
            <w:bottom w:w="0" w:type="dxa"/>
            <w:right w:w="0" w:type="dxa"/>
          </w:tblCellMar>
        </w:tblPrEx>
        <w:trPr>
          <w:trHeight w:val="618"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jc w:val="left"/>
              <w:rPr>
                <w:rFonts w:ascii="宋体" w:hAnsi="宋体" w:eastAsia="宋体" w:cs="宋体"/>
                <w:sz w:val="24"/>
                <w:szCs w:val="24"/>
              </w:rPr>
            </w:pPr>
            <w:r>
              <w:rPr>
                <w:rFonts w:hint="eastAsia" w:ascii="瀹嬩綋" w:hAnsi="瀹嬩綋" w:eastAsia="瀹嬩綋"/>
                <w:color w:val="000000"/>
                <w:sz w:val="22"/>
                <w:szCs w:val="24"/>
              </w:rPr>
              <w:t>2101102</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jc w:val="left"/>
              <w:rPr>
                <w:rFonts w:ascii="宋体" w:hAnsi="宋体" w:eastAsia="宋体" w:cs="宋体"/>
                <w:sz w:val="24"/>
                <w:szCs w:val="24"/>
              </w:rPr>
            </w:pPr>
            <w:r>
              <w:rPr>
                <w:rFonts w:hint="eastAsia" w:ascii="瀹嬩綋" w:hAnsi="瀹嬩綋" w:eastAsia="瀹嬩綋"/>
                <w:color w:val="000000"/>
                <w:sz w:val="22"/>
                <w:szCs w:val="24"/>
              </w:rPr>
              <w:t>事业单位医疗</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167.17</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jc w:val="right"/>
              <w:rPr>
                <w:rFonts w:hint="default" w:ascii="宋体" w:hAnsi="宋体" w:eastAsia="宋体" w:cs="宋体"/>
                <w:sz w:val="24"/>
                <w:szCs w:val="24"/>
                <w:lang w:val="en-US" w:eastAsia="zh-CN"/>
              </w:rPr>
            </w:pPr>
            <w:r>
              <w:rPr>
                <w:rFonts w:hint="eastAsia" w:ascii="瀹嬩綋" w:hAnsi="瀹嬩綋" w:eastAsia="瀹嬩綋"/>
                <w:color w:val="000000"/>
                <w:sz w:val="22"/>
                <w:szCs w:val="24"/>
                <w:lang w:val="en-US" w:eastAsia="zh-CN"/>
              </w:rPr>
              <w:t>112.88</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r>
      <w:tr>
        <w:tblPrEx>
          <w:tblCellMar>
            <w:top w:w="0" w:type="dxa"/>
            <w:left w:w="0" w:type="dxa"/>
            <w:bottom w:w="0" w:type="dxa"/>
            <w:right w:w="0" w:type="dxa"/>
          </w:tblCellMar>
        </w:tblPrEx>
        <w:trPr>
          <w:trHeight w:val="450"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hint="default" w:ascii="宋体" w:hAnsi="宋体" w:eastAsia="瀹嬩綋" w:cs="宋体"/>
                <w:sz w:val="24"/>
                <w:szCs w:val="24"/>
                <w:lang w:val="en-US" w:eastAsia="zh-CN"/>
              </w:rPr>
            </w:pPr>
            <w:r>
              <w:rPr>
                <w:rFonts w:hint="eastAsia" w:ascii="瀹嬩綋" w:hAnsi="瀹嬩綋" w:eastAsia="瀹嬩綋"/>
                <w:color w:val="000000"/>
                <w:sz w:val="22"/>
                <w:szCs w:val="24"/>
              </w:rPr>
              <w:t>2</w:t>
            </w:r>
            <w:r>
              <w:rPr>
                <w:rFonts w:hint="eastAsia" w:ascii="瀹嬩綋" w:hAnsi="瀹嬩綋" w:eastAsia="瀹嬩綋"/>
                <w:color w:val="000000"/>
                <w:sz w:val="22"/>
                <w:szCs w:val="24"/>
                <w:lang w:val="en-US" w:eastAsia="zh-CN"/>
              </w:rPr>
              <w:t>110501</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森林管护</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180.60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jc w:val="right"/>
              <w:rPr>
                <w:rFonts w:hint="default" w:ascii="宋体" w:hAnsi="宋体" w:eastAsia="宋体" w:cs="宋体"/>
                <w:sz w:val="24"/>
                <w:szCs w:val="24"/>
                <w:lang w:val="en-US"/>
              </w:rPr>
            </w:pPr>
            <w:r>
              <w:rPr>
                <w:rFonts w:hint="eastAsia" w:ascii="瀹嬩綋" w:hAnsi="瀹嬩綋" w:eastAsia="瀹嬩綋"/>
                <w:color w:val="000000"/>
                <w:sz w:val="22"/>
                <w:szCs w:val="24"/>
                <w:lang w:val="en-US" w:eastAsia="zh-CN"/>
              </w:rPr>
              <w:t>180.60</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r>
      <w:tr>
        <w:tblPrEx>
          <w:tblCellMar>
            <w:top w:w="0" w:type="dxa"/>
            <w:left w:w="0" w:type="dxa"/>
            <w:bottom w:w="0" w:type="dxa"/>
            <w:right w:w="0" w:type="dxa"/>
          </w:tblCellMar>
        </w:tblPrEx>
        <w:trPr>
          <w:trHeight w:val="450"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hint="default" w:eastAsia="瀹嬩綋"/>
                <w:lang w:val="en-US" w:eastAsia="zh-CN"/>
              </w:rPr>
            </w:pPr>
            <w:r>
              <w:rPr>
                <w:rFonts w:hint="eastAsia" w:ascii="瀹嬩綋" w:hAnsi="瀹嬩綋" w:eastAsia="瀹嬩綋"/>
                <w:color w:val="000000"/>
                <w:sz w:val="22"/>
                <w:szCs w:val="24"/>
              </w:rPr>
              <w:t>21302</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hint="default" w:eastAsiaTheme="minorEastAsia"/>
                <w:lang w:val="en-US" w:eastAsia="zh-CN"/>
              </w:rPr>
            </w:pPr>
            <w:r>
              <w:rPr>
                <w:rFonts w:hint="eastAsia"/>
                <w:lang w:val="en-US" w:eastAsia="zh-CN"/>
              </w:rPr>
              <w:t>林业和草原</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2312.50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jc w:val="right"/>
              <w:rPr>
                <w:rFonts w:hint="default" w:eastAsiaTheme="minorEastAsia"/>
                <w:lang w:val="en-US" w:eastAsia="zh-CN"/>
              </w:rPr>
            </w:pPr>
            <w:r>
              <w:rPr>
                <w:rFonts w:hint="eastAsia" w:ascii="瀹嬩綋" w:hAnsi="瀹嬩綋" w:eastAsia="瀹嬩綋"/>
                <w:color w:val="000000"/>
                <w:sz w:val="22"/>
                <w:szCs w:val="24"/>
                <w:lang w:val="en-US" w:eastAsia="zh-CN"/>
              </w:rPr>
              <w:t>2312.50</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c>
          <w:tcPr>
            <w:tcW w:w="1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r>
      <w:tr>
        <w:tblPrEx>
          <w:tblCellMar>
            <w:top w:w="0" w:type="dxa"/>
            <w:left w:w="0" w:type="dxa"/>
            <w:bottom w:w="0" w:type="dxa"/>
            <w:right w:w="0" w:type="dxa"/>
          </w:tblCellMar>
        </w:tblPrEx>
        <w:trPr>
          <w:trHeight w:val="429"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pPr>
              <w:jc w:val="left"/>
            </w:pPr>
            <w:r>
              <w:rPr>
                <w:rFonts w:hint="eastAsia" w:ascii="瀹嬩綋" w:hAnsi="瀹嬩綋" w:eastAsia="瀹嬩綋"/>
                <w:color w:val="000000"/>
                <w:sz w:val="22"/>
                <w:szCs w:val="24"/>
              </w:rPr>
              <w:t>2130204</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pPr>
              <w:jc w:val="left"/>
            </w:pPr>
            <w:r>
              <w:rPr>
                <w:rFonts w:hint="eastAsia" w:ascii="瀹嬩綋" w:hAnsi="瀹嬩綋" w:eastAsia="瀹嬩綋"/>
                <w:color w:val="000000"/>
                <w:sz w:val="22"/>
                <w:szCs w:val="24"/>
              </w:rPr>
              <w:t>事业机构</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2033.22</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jc w:val="right"/>
              <w:rPr>
                <w:rFonts w:hint="default"/>
                <w:lang w:val="en-US"/>
              </w:rPr>
            </w:pPr>
            <w:r>
              <w:rPr>
                <w:rFonts w:hint="eastAsia" w:ascii="瀹嬩綋" w:hAnsi="瀹嬩綋" w:eastAsia="瀹嬩綋"/>
                <w:color w:val="000000"/>
                <w:sz w:val="22"/>
                <w:szCs w:val="24"/>
                <w:lang w:val="en-US" w:eastAsia="zh-CN"/>
              </w:rPr>
              <w:t>2033.22</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c>
          <w:tcPr>
            <w:tcW w:w="1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pPr>
            <w:r>
              <w:rPr>
                <w:rFonts w:hint="eastAsia" w:ascii="瀹嬩綋" w:hAnsi="瀹嬩綋" w:eastAsia="瀹嬩綋"/>
                <w:color w:val="000000"/>
                <w:sz w:val="22"/>
                <w:szCs w:val="24"/>
              </w:rPr>
              <w:t>0.00</w:t>
            </w:r>
          </w:p>
        </w:tc>
      </w:tr>
      <w:tr>
        <w:tblPrEx>
          <w:tblCellMar>
            <w:top w:w="0" w:type="dxa"/>
            <w:left w:w="0" w:type="dxa"/>
            <w:bottom w:w="0" w:type="dxa"/>
            <w:right w:w="0" w:type="dxa"/>
          </w:tblCellMar>
        </w:tblPrEx>
        <w:trPr>
          <w:trHeight w:val="309"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hint="default" w:ascii="宋体" w:hAnsi="宋体" w:eastAsia="瀹嬩綋" w:cs="宋体"/>
                <w:sz w:val="24"/>
                <w:szCs w:val="24"/>
                <w:lang w:val="en-US" w:eastAsia="zh-CN"/>
              </w:rPr>
            </w:pPr>
            <w:r>
              <w:rPr>
                <w:rFonts w:hint="eastAsia" w:ascii="瀹嬩綋" w:hAnsi="瀹嬩綋" w:eastAsia="瀹嬩綋"/>
                <w:color w:val="000000"/>
                <w:sz w:val="22"/>
                <w:szCs w:val="24"/>
              </w:rPr>
              <w:t>2</w:t>
            </w:r>
            <w:r>
              <w:rPr>
                <w:rFonts w:hint="eastAsia" w:ascii="瀹嬩綋" w:hAnsi="瀹嬩綋" w:eastAsia="瀹嬩綋"/>
                <w:color w:val="000000"/>
                <w:sz w:val="22"/>
                <w:szCs w:val="24"/>
                <w:lang w:val="en-US" w:eastAsia="zh-CN"/>
              </w:rPr>
              <w:t>130299</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其他林业和草原支出</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45.00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jc w:val="right"/>
              <w:rPr>
                <w:rFonts w:hint="default" w:ascii="宋体" w:hAnsi="宋体" w:eastAsia="宋体" w:cs="宋体"/>
                <w:sz w:val="24"/>
                <w:szCs w:val="24"/>
                <w:lang w:val="en-US"/>
              </w:rPr>
            </w:pPr>
            <w:r>
              <w:rPr>
                <w:rFonts w:hint="eastAsia" w:ascii="瀹嬩綋" w:hAnsi="瀹嬩綋" w:eastAsia="瀹嬩綋"/>
                <w:color w:val="000000"/>
                <w:sz w:val="22"/>
                <w:szCs w:val="24"/>
                <w:lang w:val="en-US" w:eastAsia="zh-CN"/>
              </w:rPr>
              <w:t>45.00</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r>
      <w:tr>
        <w:tblPrEx>
          <w:tblCellMar>
            <w:top w:w="0" w:type="dxa"/>
            <w:left w:w="0" w:type="dxa"/>
            <w:bottom w:w="0" w:type="dxa"/>
            <w:right w:w="0" w:type="dxa"/>
          </w:tblCellMar>
        </w:tblPrEx>
        <w:trPr>
          <w:trHeight w:val="618"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ascii="宋体" w:hAnsi="宋体" w:eastAsia="宋体" w:cs="宋体"/>
                <w:sz w:val="24"/>
                <w:szCs w:val="24"/>
              </w:rPr>
            </w:pPr>
            <w:r>
              <w:rPr>
                <w:rFonts w:hint="eastAsia" w:ascii="瀹嬩綋" w:hAnsi="瀹嬩綋" w:eastAsia="瀹嬩綋"/>
                <w:color w:val="000000"/>
                <w:sz w:val="22"/>
                <w:szCs w:val="24"/>
              </w:rPr>
              <w:t>2130234</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pPr>
              <w:jc w:val="left"/>
              <w:rPr>
                <w:rFonts w:ascii="宋体" w:hAnsi="宋体" w:eastAsia="宋体" w:cs="宋体"/>
                <w:sz w:val="24"/>
                <w:szCs w:val="24"/>
              </w:rPr>
            </w:pPr>
            <w:r>
              <w:rPr>
                <w:rFonts w:hint="eastAsia" w:ascii="瀹嬩綋" w:hAnsi="瀹嬩綋" w:eastAsia="瀹嬩綋"/>
                <w:color w:val="000000"/>
                <w:sz w:val="22"/>
                <w:szCs w:val="24"/>
              </w:rPr>
              <w:t>林业草原防灾减灾</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hint="default" w:ascii="宋体" w:hAnsi="宋体" w:eastAsia="宋体" w:cs="宋体"/>
                <w:sz w:val="24"/>
                <w:szCs w:val="24"/>
                <w:lang w:val="en-US" w:eastAsia="zh-CN"/>
              </w:rPr>
            </w:pPr>
            <w:r>
              <w:rPr>
                <w:rFonts w:hint="eastAsia" w:ascii="瀹嬩綋" w:hAnsi="瀹嬩綋" w:eastAsia="瀹嬩綋"/>
                <w:color w:val="000000"/>
                <w:sz w:val="22"/>
                <w:szCs w:val="24"/>
                <w:lang w:val="en-US" w:eastAsia="zh-CN"/>
              </w:rPr>
              <w:t>234.29</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jc w:val="right"/>
              <w:rPr>
                <w:rFonts w:hint="default" w:ascii="宋体" w:hAnsi="宋体" w:eastAsia="宋体" w:cs="宋体"/>
                <w:sz w:val="24"/>
                <w:szCs w:val="24"/>
                <w:lang w:val="en-US"/>
              </w:rPr>
            </w:pPr>
            <w:r>
              <w:rPr>
                <w:rFonts w:hint="eastAsia" w:ascii="瀹嬩綋" w:hAnsi="瀹嬩綋" w:eastAsia="瀹嬩綋"/>
                <w:color w:val="000000"/>
                <w:sz w:val="22"/>
                <w:szCs w:val="24"/>
                <w:lang w:val="en-US" w:eastAsia="zh-CN"/>
              </w:rPr>
              <w:t>234.29</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pPr>
              <w:jc w:val="right"/>
              <w:rPr>
                <w:rFonts w:ascii="宋体" w:hAnsi="宋体" w:eastAsia="宋体" w:cs="宋体"/>
                <w:sz w:val="24"/>
                <w:szCs w:val="24"/>
              </w:rPr>
            </w:pPr>
            <w:r>
              <w:rPr>
                <w:rFonts w:hint="eastAsia" w:ascii="瀹嬩綋" w:hAnsi="瀹嬩綋" w:eastAsia="瀹嬩綋"/>
                <w:color w:val="000000"/>
                <w:sz w:val="22"/>
                <w:szCs w:val="24"/>
              </w:rPr>
              <w:t>0.00</w:t>
            </w:r>
          </w:p>
        </w:tc>
      </w:tr>
      <w:tr>
        <w:tblPrEx>
          <w:tblCellMar>
            <w:top w:w="0" w:type="dxa"/>
            <w:left w:w="0" w:type="dxa"/>
            <w:bottom w:w="0" w:type="dxa"/>
            <w:right w:w="0" w:type="dxa"/>
          </w:tblCellMar>
        </w:tblPrEx>
        <w:trPr>
          <w:trHeight w:val="615" w:hRule="atLeast"/>
        </w:trPr>
        <w:tc>
          <w:tcPr>
            <w:tcW w:w="15370"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p>
    <w:p>
      <w:pPr>
        <w:widowControl/>
        <w:rPr>
          <w:rFonts w:ascii="Times New Roman" w:hAnsi="Times New Roman" w:eastAsia="方正小标宋_GBK" w:cs="Times New Roman"/>
          <w:color w:val="000000"/>
          <w:kern w:val="0"/>
          <w:sz w:val="36"/>
          <w:szCs w:val="36"/>
        </w:rPr>
      </w:pPr>
    </w:p>
    <w:tbl>
      <w:tblPr>
        <w:tblStyle w:val="8"/>
        <w:tblW w:w="15640" w:type="dxa"/>
        <w:tblInd w:w="93" w:type="dxa"/>
        <w:tblLayout w:type="fixed"/>
        <w:tblCellMar>
          <w:top w:w="0" w:type="dxa"/>
          <w:left w:w="108" w:type="dxa"/>
          <w:bottom w:w="0" w:type="dxa"/>
          <w:right w:w="108" w:type="dxa"/>
        </w:tblCellMar>
      </w:tblPr>
      <w:tblGrid>
        <w:gridCol w:w="1236"/>
        <w:gridCol w:w="263"/>
        <w:gridCol w:w="3940"/>
        <w:gridCol w:w="1900"/>
        <w:gridCol w:w="1260"/>
        <w:gridCol w:w="1540"/>
        <w:gridCol w:w="1840"/>
        <w:gridCol w:w="1320"/>
        <w:gridCol w:w="2341"/>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0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6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2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41"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部门：湖南月岩国家森林公园管理局</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0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6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0"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2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41"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543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26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5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8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4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3940"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39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4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543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26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54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84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3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4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543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0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3017.71</w:t>
            </w:r>
          </w:p>
        </w:tc>
        <w:tc>
          <w:tcPr>
            <w:tcW w:w="126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2557.82</w:t>
            </w:r>
          </w:p>
        </w:tc>
        <w:tc>
          <w:tcPr>
            <w:tcW w:w="1540" w:type="dxa"/>
            <w:tcBorders>
              <w:top w:val="nil"/>
              <w:left w:val="nil"/>
              <w:bottom w:val="single" w:color="auto" w:sz="4" w:space="0"/>
              <w:right w:val="single" w:color="auto" w:sz="4" w:space="0"/>
            </w:tcBorders>
            <w:shd w:val="clear" w:color="auto" w:fill="auto"/>
            <w:noWrap/>
          </w:tcPr>
          <w:p>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459.89</w:t>
            </w:r>
          </w:p>
        </w:tc>
        <w:tc>
          <w:tcPr>
            <w:tcW w:w="18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2080505</w:t>
            </w:r>
          </w:p>
        </w:tc>
        <w:tc>
          <w:tcPr>
            <w:tcW w:w="3940" w:type="dxa"/>
            <w:tcBorders>
              <w:top w:val="nil"/>
              <w:left w:val="nil"/>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机关事业单位基本养老保险缴费支出</w:t>
            </w:r>
          </w:p>
        </w:tc>
        <w:tc>
          <w:tcPr>
            <w:tcW w:w="1900" w:type="dxa"/>
            <w:tcBorders>
              <w:top w:val="nil"/>
              <w:left w:val="nil"/>
              <w:bottom w:val="single" w:color="auto" w:sz="4" w:space="0"/>
              <w:right w:val="single" w:color="auto" w:sz="4" w:space="0"/>
            </w:tcBorders>
            <w:shd w:val="clear" w:color="auto" w:fill="auto"/>
            <w:noWrap/>
            <w:vAlign w:val="cente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 xml:space="preserve">319.64 </w:t>
            </w:r>
          </w:p>
        </w:tc>
        <w:tc>
          <w:tcPr>
            <w:tcW w:w="1260" w:type="dxa"/>
            <w:tcBorders>
              <w:top w:val="nil"/>
              <w:left w:val="nil"/>
              <w:bottom w:val="single" w:color="auto" w:sz="4" w:space="0"/>
              <w:right w:val="single" w:color="auto" w:sz="4" w:space="0"/>
            </w:tcBorders>
            <w:shd w:val="clear" w:color="auto" w:fill="auto"/>
            <w:noWrap/>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319.64</w:t>
            </w:r>
          </w:p>
        </w:tc>
        <w:tc>
          <w:tcPr>
            <w:tcW w:w="15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8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2080801</w:t>
            </w:r>
          </w:p>
        </w:tc>
        <w:tc>
          <w:tcPr>
            <w:tcW w:w="3940" w:type="dxa"/>
            <w:tcBorders>
              <w:top w:val="nil"/>
              <w:left w:val="nil"/>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死亡抚恤</w:t>
            </w:r>
          </w:p>
        </w:tc>
        <w:tc>
          <w:tcPr>
            <w:tcW w:w="1900" w:type="dxa"/>
            <w:tcBorders>
              <w:top w:val="nil"/>
              <w:left w:val="nil"/>
              <w:bottom w:val="single" w:color="auto" w:sz="4" w:space="0"/>
              <w:right w:val="single" w:color="auto" w:sz="4" w:space="0"/>
            </w:tcBorders>
            <w:shd w:val="clear" w:color="auto" w:fill="auto"/>
            <w:noWrap/>
            <w:vAlign w:val="cente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 xml:space="preserve">37.80 </w:t>
            </w:r>
          </w:p>
        </w:tc>
        <w:tc>
          <w:tcPr>
            <w:tcW w:w="1260" w:type="dxa"/>
            <w:tcBorders>
              <w:top w:val="nil"/>
              <w:left w:val="nil"/>
              <w:bottom w:val="single" w:color="auto" w:sz="4" w:space="0"/>
              <w:right w:val="single" w:color="auto" w:sz="4" w:space="0"/>
            </w:tcBorders>
            <w:shd w:val="clear" w:color="auto" w:fill="auto"/>
            <w:noWrap/>
            <w:vAlign w:val="cente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 xml:space="preserve">37.80 </w:t>
            </w:r>
          </w:p>
        </w:tc>
        <w:tc>
          <w:tcPr>
            <w:tcW w:w="15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8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2101102</w:t>
            </w:r>
          </w:p>
        </w:tc>
        <w:tc>
          <w:tcPr>
            <w:tcW w:w="3940" w:type="dxa"/>
            <w:tcBorders>
              <w:top w:val="nil"/>
              <w:left w:val="nil"/>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事业单位医疗</w:t>
            </w:r>
          </w:p>
        </w:tc>
        <w:tc>
          <w:tcPr>
            <w:tcW w:w="190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167.17</w:t>
            </w:r>
          </w:p>
        </w:tc>
        <w:tc>
          <w:tcPr>
            <w:tcW w:w="126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112.88</w:t>
            </w:r>
          </w:p>
        </w:tc>
        <w:tc>
          <w:tcPr>
            <w:tcW w:w="1540" w:type="dxa"/>
            <w:tcBorders>
              <w:top w:val="nil"/>
              <w:left w:val="nil"/>
              <w:bottom w:val="single" w:color="auto" w:sz="4" w:space="0"/>
              <w:right w:val="single" w:color="auto" w:sz="4" w:space="0"/>
            </w:tcBorders>
            <w:shd w:val="clear" w:color="auto" w:fill="auto"/>
            <w:noWra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0.00</w:t>
            </w:r>
          </w:p>
        </w:tc>
        <w:tc>
          <w:tcPr>
            <w:tcW w:w="18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w:t>
            </w:r>
            <w:r>
              <w:rPr>
                <w:rFonts w:hint="eastAsia" w:ascii="瀹嬩綋" w:hAnsi="瀹嬩綋" w:eastAsia="瀹嬩綋"/>
                <w:color w:val="000000"/>
                <w:sz w:val="22"/>
                <w:szCs w:val="24"/>
                <w:lang w:val="en-US" w:eastAsia="zh-CN"/>
              </w:rPr>
              <w:t>110501</w:t>
            </w:r>
          </w:p>
        </w:tc>
        <w:tc>
          <w:tcPr>
            <w:tcW w:w="3940" w:type="dxa"/>
            <w:tcBorders>
              <w:top w:val="nil"/>
              <w:left w:val="nil"/>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宋体" w:hAnsi="宋体" w:eastAsia="宋体" w:cs="宋体"/>
                <w:sz w:val="24"/>
                <w:szCs w:val="24"/>
                <w:lang w:val="en-US" w:eastAsia="zh-CN"/>
              </w:rPr>
              <w:t>森林管护</w:t>
            </w:r>
          </w:p>
        </w:tc>
        <w:tc>
          <w:tcPr>
            <w:tcW w:w="1900" w:type="dxa"/>
            <w:tcBorders>
              <w:top w:val="nil"/>
              <w:left w:val="nil"/>
              <w:bottom w:val="single" w:color="auto" w:sz="4" w:space="0"/>
              <w:right w:val="single" w:color="auto" w:sz="4" w:space="0"/>
            </w:tcBorders>
            <w:shd w:val="clear" w:color="auto" w:fill="auto"/>
            <w:noWrap/>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180.60</w:t>
            </w:r>
          </w:p>
        </w:tc>
        <w:tc>
          <w:tcPr>
            <w:tcW w:w="1260" w:type="dxa"/>
            <w:tcBorders>
              <w:top w:val="nil"/>
              <w:left w:val="nil"/>
              <w:bottom w:val="single" w:color="auto" w:sz="4" w:space="0"/>
              <w:right w:val="single" w:color="auto" w:sz="4" w:space="0"/>
            </w:tcBorders>
            <w:shd w:val="clear" w:color="auto" w:fill="auto"/>
            <w:noWrap/>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180.60</w:t>
            </w:r>
          </w:p>
        </w:tc>
        <w:tc>
          <w:tcPr>
            <w:tcW w:w="1540" w:type="dxa"/>
            <w:tcBorders>
              <w:top w:val="nil"/>
              <w:left w:val="nil"/>
              <w:bottom w:val="single" w:color="auto" w:sz="4" w:space="0"/>
              <w:right w:val="single" w:color="auto" w:sz="4" w:space="0"/>
            </w:tcBorders>
            <w:shd w:val="clear" w:color="auto" w:fill="auto"/>
            <w:noWra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180.60</w:t>
            </w:r>
          </w:p>
        </w:tc>
        <w:tc>
          <w:tcPr>
            <w:tcW w:w="18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jc w:val="lef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rPr>
              <w:t>21302</w:t>
            </w:r>
          </w:p>
        </w:tc>
        <w:tc>
          <w:tcPr>
            <w:tcW w:w="3940" w:type="dxa"/>
            <w:tcBorders>
              <w:top w:val="nil"/>
              <w:left w:val="nil"/>
              <w:bottom w:val="single" w:color="auto" w:sz="4" w:space="0"/>
              <w:right w:val="single" w:color="auto" w:sz="4" w:space="0"/>
            </w:tcBorders>
            <w:shd w:val="clear" w:color="000000" w:fill="FFFFFF"/>
            <w:noWrap/>
            <w:vAlign w:val="top"/>
          </w:tcPr>
          <w:p>
            <w:pPr>
              <w:jc w:val="left"/>
              <w:rPr>
                <w:rFonts w:hint="default" w:ascii="瀹嬩綋" w:hAnsi="瀹嬩綋" w:eastAsia="瀹嬩綋"/>
                <w:color w:val="000000"/>
                <w:sz w:val="22"/>
                <w:szCs w:val="24"/>
                <w:lang w:val="en-US" w:eastAsia="zh-CN"/>
              </w:rPr>
            </w:pPr>
            <w:r>
              <w:rPr>
                <w:rFonts w:hint="eastAsia"/>
                <w:lang w:val="en-US" w:eastAsia="zh-CN"/>
              </w:rPr>
              <w:t>林业和草原</w:t>
            </w:r>
          </w:p>
        </w:tc>
        <w:tc>
          <w:tcPr>
            <w:tcW w:w="190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2312.50</w:t>
            </w:r>
          </w:p>
        </w:tc>
        <w:tc>
          <w:tcPr>
            <w:tcW w:w="126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color w:val="000000"/>
                <w:sz w:val="22"/>
                <w:szCs w:val="24"/>
                <w:lang w:val="en-US"/>
              </w:rPr>
            </w:pPr>
            <w:r>
              <w:rPr>
                <w:rFonts w:hint="eastAsia" w:ascii="瀹嬩綋" w:hAnsi="瀹嬩綋" w:eastAsia="瀹嬩綋"/>
                <w:color w:val="000000"/>
                <w:sz w:val="22"/>
                <w:szCs w:val="24"/>
                <w:lang w:val="en-US" w:eastAsia="zh-CN"/>
              </w:rPr>
              <w:t>2033.22</w:t>
            </w:r>
          </w:p>
        </w:tc>
        <w:tc>
          <w:tcPr>
            <w:tcW w:w="1540" w:type="dxa"/>
            <w:tcBorders>
              <w:top w:val="nil"/>
              <w:left w:val="nil"/>
              <w:bottom w:val="single" w:color="auto" w:sz="4" w:space="0"/>
              <w:right w:val="single" w:color="auto" w:sz="4" w:space="0"/>
            </w:tcBorders>
            <w:shd w:val="clear" w:color="auto" w:fill="auto"/>
            <w:noWra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279.29</w:t>
            </w:r>
          </w:p>
        </w:tc>
        <w:tc>
          <w:tcPr>
            <w:tcW w:w="18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2130204</w:t>
            </w:r>
          </w:p>
        </w:tc>
        <w:tc>
          <w:tcPr>
            <w:tcW w:w="3940" w:type="dxa"/>
            <w:tcBorders>
              <w:top w:val="nil"/>
              <w:left w:val="nil"/>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事业机构</w:t>
            </w:r>
          </w:p>
        </w:tc>
        <w:tc>
          <w:tcPr>
            <w:tcW w:w="190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2033.22</w:t>
            </w:r>
          </w:p>
        </w:tc>
        <w:tc>
          <w:tcPr>
            <w:tcW w:w="126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2033.22</w:t>
            </w:r>
          </w:p>
        </w:tc>
        <w:tc>
          <w:tcPr>
            <w:tcW w:w="15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8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w:t>
            </w:r>
            <w:r>
              <w:rPr>
                <w:rFonts w:hint="eastAsia" w:ascii="瀹嬩綋" w:hAnsi="瀹嬩綋" w:eastAsia="瀹嬩綋"/>
                <w:color w:val="000000"/>
                <w:sz w:val="22"/>
                <w:szCs w:val="24"/>
                <w:lang w:val="en-US" w:eastAsia="zh-CN"/>
              </w:rPr>
              <w:t>130299</w:t>
            </w:r>
          </w:p>
        </w:tc>
        <w:tc>
          <w:tcPr>
            <w:tcW w:w="3940" w:type="dxa"/>
            <w:tcBorders>
              <w:top w:val="nil"/>
              <w:left w:val="nil"/>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宋体" w:hAnsi="宋体" w:eastAsia="宋体" w:cs="宋体"/>
                <w:sz w:val="24"/>
                <w:szCs w:val="24"/>
                <w:lang w:val="en-US" w:eastAsia="zh-CN"/>
              </w:rPr>
              <w:t>其他林业和草原支出</w:t>
            </w:r>
          </w:p>
        </w:tc>
        <w:tc>
          <w:tcPr>
            <w:tcW w:w="190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45.00</w:t>
            </w:r>
          </w:p>
        </w:tc>
        <w:tc>
          <w:tcPr>
            <w:tcW w:w="1260" w:type="dxa"/>
            <w:tcBorders>
              <w:top w:val="nil"/>
              <w:left w:val="nil"/>
              <w:bottom w:val="single" w:color="auto" w:sz="4" w:space="0"/>
              <w:right w:val="single" w:color="auto" w:sz="4" w:space="0"/>
            </w:tcBorders>
            <w:shd w:val="clear" w:color="auto" w:fill="auto"/>
            <w:noWrap/>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0.00</w:t>
            </w:r>
          </w:p>
        </w:tc>
        <w:tc>
          <w:tcPr>
            <w:tcW w:w="1540" w:type="dxa"/>
            <w:tcBorders>
              <w:top w:val="nil"/>
              <w:left w:val="nil"/>
              <w:bottom w:val="single" w:color="auto" w:sz="4" w:space="0"/>
              <w:right w:val="single" w:color="auto" w:sz="4" w:space="0"/>
            </w:tcBorders>
            <w:shd w:val="clear" w:color="auto" w:fill="auto"/>
            <w:noWra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45.00</w:t>
            </w:r>
          </w:p>
        </w:tc>
        <w:tc>
          <w:tcPr>
            <w:tcW w:w="18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2130234</w:t>
            </w:r>
          </w:p>
        </w:tc>
        <w:tc>
          <w:tcPr>
            <w:tcW w:w="3940" w:type="dxa"/>
            <w:tcBorders>
              <w:top w:val="nil"/>
              <w:left w:val="nil"/>
              <w:bottom w:val="single" w:color="auto" w:sz="4" w:space="0"/>
              <w:right w:val="single" w:color="auto" w:sz="4" w:space="0"/>
            </w:tcBorders>
            <w:shd w:val="clear" w:color="000000" w:fill="FFFFFF"/>
            <w:noWrap/>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林业草原防灾减灾</w:t>
            </w:r>
          </w:p>
        </w:tc>
        <w:tc>
          <w:tcPr>
            <w:tcW w:w="190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234.29</w:t>
            </w:r>
          </w:p>
        </w:tc>
        <w:tc>
          <w:tcPr>
            <w:tcW w:w="1260" w:type="dxa"/>
            <w:tcBorders>
              <w:top w:val="nil"/>
              <w:left w:val="nil"/>
              <w:bottom w:val="single" w:color="auto" w:sz="4" w:space="0"/>
              <w:right w:val="single" w:color="auto" w:sz="4" w:space="0"/>
            </w:tcBorders>
            <w:shd w:val="clear" w:color="auto" w:fill="auto"/>
            <w:noWrap/>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0.00</w:t>
            </w:r>
          </w:p>
        </w:tc>
        <w:tc>
          <w:tcPr>
            <w:tcW w:w="1540" w:type="dxa"/>
            <w:tcBorders>
              <w:top w:val="nil"/>
              <w:left w:val="nil"/>
              <w:bottom w:val="single" w:color="auto" w:sz="4" w:space="0"/>
              <w:right w:val="single" w:color="auto" w:sz="4" w:space="0"/>
            </w:tcBorders>
            <w:shd w:val="clear" w:color="auto" w:fill="auto"/>
            <w:noWrap/>
          </w:tcPr>
          <w:p>
            <w:pPr>
              <w:jc w:val="right"/>
              <w:rPr>
                <w:rFonts w:hint="default" w:ascii="瀹嬩綋" w:hAnsi="瀹嬩綋" w:eastAsia="瀹嬩綋"/>
                <w:color w:val="000000"/>
                <w:sz w:val="22"/>
                <w:szCs w:val="24"/>
                <w:lang w:val="en-US"/>
              </w:rPr>
            </w:pPr>
            <w:r>
              <w:rPr>
                <w:rFonts w:hint="eastAsia" w:ascii="瀹嬩綋" w:hAnsi="瀹嬩綋" w:eastAsia="瀹嬩綋"/>
                <w:color w:val="000000"/>
                <w:sz w:val="22"/>
                <w:szCs w:val="24"/>
                <w:lang w:val="en-US" w:eastAsia="zh-CN"/>
              </w:rPr>
              <w:t>234.29</w:t>
            </w:r>
          </w:p>
        </w:tc>
        <w:tc>
          <w:tcPr>
            <w:tcW w:w="184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rPr>
          <w:rFonts w:ascii="Times New Roman" w:hAnsi="Times New Roman" w:eastAsia="方正小标宋_GBK" w:cs="Times New Roman"/>
          <w:color w:val="000000"/>
          <w:kern w:val="0"/>
          <w:sz w:val="36"/>
          <w:szCs w:val="21"/>
        </w:rPr>
      </w:pPr>
    </w:p>
    <w:p>
      <w:pPr>
        <w:pStyle w:val="2"/>
        <w:rPr>
          <w:rFonts w:ascii="Times New Roman" w:hAnsi="Times New Roman" w:eastAsia="方正小标宋_GBK" w:cs="Times New Roman"/>
          <w:color w:val="000000"/>
          <w:kern w:val="0"/>
          <w:sz w:val="36"/>
          <w:szCs w:val="21"/>
        </w:rPr>
      </w:pPr>
    </w:p>
    <w:p>
      <w:pPr>
        <w:pStyle w:val="3"/>
        <w:ind w:firstLine="720"/>
        <w:rPr>
          <w:rFonts w:ascii="Times New Roman" w:hAnsi="Times New Roman" w:eastAsia="方正小标宋_GBK" w:cs="Times New Roman"/>
          <w:color w:val="000000"/>
          <w:sz w:val="36"/>
          <w:szCs w:val="21"/>
        </w:rPr>
      </w:pPr>
    </w:p>
    <w:p>
      <w:pPr>
        <w:rPr>
          <w:rFonts w:ascii="Times New Roman" w:hAnsi="Times New Roman" w:eastAsia="方正小标宋_GBK" w:cs="Times New Roman"/>
          <w:color w:val="000000"/>
          <w:kern w:val="0"/>
          <w:sz w:val="36"/>
          <w:szCs w:val="21"/>
        </w:rPr>
      </w:pPr>
    </w:p>
    <w:p>
      <w:pPr>
        <w:pStyle w:val="2"/>
        <w:rPr>
          <w:rFonts w:ascii="Times New Roman" w:hAnsi="Times New Roman" w:eastAsia="方正小标宋_GBK" w:cs="Times New Roman"/>
          <w:color w:val="000000"/>
          <w:kern w:val="0"/>
          <w:sz w:val="36"/>
          <w:szCs w:val="21"/>
        </w:rPr>
      </w:pPr>
    </w:p>
    <w:p>
      <w:pPr>
        <w:pStyle w:val="3"/>
        <w:ind w:firstLine="720"/>
        <w:rPr>
          <w:rFonts w:ascii="Times New Roman" w:hAnsi="Times New Roman" w:eastAsia="方正小标宋_GBK" w:cs="Times New Roman"/>
          <w:color w:val="000000"/>
          <w:sz w:val="36"/>
          <w:szCs w:val="21"/>
        </w:rPr>
      </w:pPr>
    </w:p>
    <w:p>
      <w:pPr>
        <w:rPr>
          <w:rFonts w:ascii="Times New Roman" w:hAnsi="Times New Roman" w:eastAsia="方正小标宋_GBK" w:cs="Times New Roman"/>
          <w:color w:val="000000"/>
          <w:kern w:val="0"/>
          <w:sz w:val="36"/>
          <w:szCs w:val="21"/>
        </w:rPr>
      </w:pPr>
    </w:p>
    <w:p>
      <w:pPr>
        <w:pStyle w:val="2"/>
        <w:rPr>
          <w:rFonts w:ascii="Times New Roman" w:hAnsi="Times New Roman" w:eastAsia="方正小标宋_GBK" w:cs="Times New Roman"/>
          <w:color w:val="000000"/>
          <w:kern w:val="0"/>
          <w:sz w:val="36"/>
          <w:szCs w:val="21"/>
        </w:rPr>
      </w:pPr>
    </w:p>
    <w:p>
      <w:pPr>
        <w:pStyle w:val="3"/>
        <w:ind w:firstLine="720"/>
        <w:rPr>
          <w:rFonts w:ascii="Times New Roman" w:hAnsi="Times New Roman" w:eastAsia="方正小标宋_GBK" w:cs="Times New Roman"/>
          <w:color w:val="000000"/>
          <w:sz w:val="36"/>
          <w:szCs w:val="21"/>
        </w:rPr>
      </w:pPr>
    </w:p>
    <w:p>
      <w:pPr>
        <w:rPr>
          <w:rFonts w:ascii="Times New Roman" w:hAnsi="Times New Roman" w:eastAsia="方正小标宋_GBK" w:cs="Times New Roman"/>
          <w:color w:val="000000"/>
          <w:kern w:val="0"/>
          <w:sz w:val="36"/>
          <w:szCs w:val="21"/>
        </w:rPr>
      </w:pPr>
    </w:p>
    <w:p>
      <w:pPr>
        <w:pStyle w:val="2"/>
        <w:rPr>
          <w:rFonts w:ascii="Times New Roman" w:hAnsi="Times New Roman" w:eastAsia="方正小标宋_GBK" w:cs="Times New Roman"/>
          <w:color w:val="000000"/>
          <w:kern w:val="0"/>
          <w:sz w:val="36"/>
          <w:szCs w:val="21"/>
        </w:rPr>
      </w:pPr>
    </w:p>
    <w:p>
      <w:pPr>
        <w:pStyle w:val="3"/>
        <w:ind w:firstLine="720"/>
        <w:rPr>
          <w:rFonts w:ascii="Times New Roman" w:hAnsi="Times New Roman" w:eastAsia="方正小标宋_GBK" w:cs="Times New Roman"/>
          <w:color w:val="000000"/>
          <w:sz w:val="36"/>
          <w:szCs w:val="21"/>
        </w:rPr>
      </w:pPr>
    </w:p>
    <w:p/>
    <w:p/>
    <w:tbl>
      <w:tblPr>
        <w:tblStyle w:val="8"/>
        <w:tblW w:w="15521" w:type="dxa"/>
        <w:tblInd w:w="93" w:type="dxa"/>
        <w:tblLayout w:type="fixed"/>
        <w:tblCellMar>
          <w:top w:w="0" w:type="dxa"/>
          <w:left w:w="108" w:type="dxa"/>
          <w:bottom w:w="0" w:type="dxa"/>
          <w:right w:w="108" w:type="dxa"/>
        </w:tblCellMar>
      </w:tblPr>
      <w:tblGrid>
        <w:gridCol w:w="3595"/>
        <w:gridCol w:w="436"/>
        <w:gridCol w:w="1574"/>
        <w:gridCol w:w="34"/>
        <w:gridCol w:w="2881"/>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3"/>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0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1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部门：湖南月岩国家森林公园管理局</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0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1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63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9882"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288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88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3017.71</w:t>
            </w: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9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357.44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 xml:space="preserve">357.44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167.17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 xml:space="preserve">167.17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180.60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 xml:space="preserve">180.60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kern w:val="0"/>
                <w:sz w:val="24"/>
                <w:szCs w:val="24"/>
              </w:rPr>
            </w:pPr>
            <w:r>
              <w:rPr>
                <w:rFonts w:hint="eastAsia" w:ascii="宋体" w:hAnsi="宋体" w:eastAsia="宋体" w:cs="宋体"/>
                <w:color w:val="000000"/>
                <w:sz w:val="24"/>
                <w:szCs w:val="24"/>
              </w:rPr>
              <w:t>七、农林水支出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2,312.50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 xml:space="preserve">2,312.50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3017.71</w:t>
            </w: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3017.71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3017.71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60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3017.71</w:t>
            </w: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3017.71</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3017.71</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湖南月岩国家森林公园管理局</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4205"/>
        <w:gridCol w:w="2322"/>
        <w:gridCol w:w="3492"/>
        <w:gridCol w:w="3000"/>
      </w:tblGrid>
      <w:tr>
        <w:tblPrEx>
          <w:tblCellMar>
            <w:top w:w="0" w:type="dxa"/>
            <w:left w:w="108" w:type="dxa"/>
            <w:bottom w:w="0" w:type="dxa"/>
            <w:right w:w="108" w:type="dxa"/>
          </w:tblCellMar>
        </w:tblPrEx>
        <w:trPr>
          <w:trHeight w:val="405" w:hRule="atLeast"/>
          <w:jc w:val="center"/>
        </w:trPr>
        <w:tc>
          <w:tcPr>
            <w:tcW w:w="540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8814"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20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32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20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32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20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32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40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32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40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322" w:type="dxa"/>
            <w:tcBorders>
              <w:top w:val="nil"/>
              <w:left w:val="nil"/>
              <w:bottom w:val="single" w:color="auto" w:sz="4" w:space="0"/>
              <w:right w:val="single" w:color="auto" w:sz="4" w:space="0"/>
            </w:tcBorders>
            <w:shd w:val="clear" w:color="auto" w:fill="auto"/>
            <w:vAlign w:val="top"/>
          </w:tcPr>
          <w:p>
            <w:pPr>
              <w:jc w:val="right"/>
              <w:rPr>
                <w:rFonts w:hint="default" w:ascii="瀹嬩綋" w:hAnsi="瀹嬩綋" w:eastAsia="瀹嬩綋"/>
                <w:b/>
                <w:color w:val="000000"/>
                <w:sz w:val="22"/>
                <w:szCs w:val="24"/>
                <w:lang w:val="en-US" w:eastAsia="zh-CN"/>
              </w:rPr>
            </w:pPr>
            <w:r>
              <w:rPr>
                <w:rFonts w:hint="eastAsia" w:ascii="瀹嬩綋" w:hAnsi="瀹嬩綋" w:eastAsia="瀹嬩綋"/>
                <w:color w:val="000000"/>
                <w:sz w:val="22"/>
                <w:szCs w:val="24"/>
                <w:lang w:val="en-US" w:eastAsia="zh-CN"/>
              </w:rPr>
              <w:t>3017.71</w:t>
            </w:r>
          </w:p>
        </w:tc>
        <w:tc>
          <w:tcPr>
            <w:tcW w:w="3492" w:type="dxa"/>
            <w:tcBorders>
              <w:top w:val="nil"/>
              <w:left w:val="nil"/>
              <w:bottom w:val="single" w:color="auto" w:sz="4" w:space="0"/>
              <w:right w:val="single" w:color="auto" w:sz="4" w:space="0"/>
            </w:tcBorders>
            <w:shd w:val="clear" w:color="auto" w:fill="auto"/>
            <w:vAlign w:val="top"/>
          </w:tcPr>
          <w:p>
            <w:pPr>
              <w:jc w:val="right"/>
              <w:rPr>
                <w:rFonts w:hint="default" w:ascii="瀹嬩綋" w:hAnsi="瀹嬩綋" w:eastAsia="瀹嬩綋"/>
                <w:b/>
                <w:color w:val="000000"/>
                <w:sz w:val="22"/>
                <w:szCs w:val="24"/>
                <w:lang w:val="en-US" w:eastAsia="zh-CN"/>
              </w:rPr>
            </w:pPr>
            <w:r>
              <w:rPr>
                <w:rFonts w:hint="eastAsia" w:ascii="瀹嬩綋" w:hAnsi="瀹嬩綋" w:eastAsia="瀹嬩綋"/>
                <w:color w:val="000000"/>
                <w:sz w:val="22"/>
                <w:szCs w:val="24"/>
                <w:lang w:val="en-US" w:eastAsia="zh-CN"/>
              </w:rPr>
              <w:t>2557.82</w:t>
            </w:r>
          </w:p>
        </w:tc>
        <w:tc>
          <w:tcPr>
            <w:tcW w:w="3000" w:type="dxa"/>
            <w:tcBorders>
              <w:top w:val="nil"/>
              <w:left w:val="nil"/>
              <w:bottom w:val="single" w:color="auto" w:sz="4" w:space="0"/>
              <w:right w:val="single" w:color="auto" w:sz="8" w:space="0"/>
            </w:tcBorders>
            <w:shd w:val="clear" w:color="auto" w:fill="auto"/>
            <w:vAlign w:val="top"/>
          </w:tcPr>
          <w:p>
            <w:pPr>
              <w:jc w:val="right"/>
              <w:rPr>
                <w:rFonts w:hint="default" w:ascii="瀹嬩綋" w:hAnsi="瀹嬩綋" w:eastAsia="瀹嬩綋"/>
                <w:b/>
                <w:color w:val="000000"/>
                <w:sz w:val="22"/>
                <w:szCs w:val="24"/>
                <w:lang w:val="en-US" w:eastAsia="zh-CN"/>
              </w:rPr>
            </w:pPr>
            <w:r>
              <w:rPr>
                <w:rFonts w:hint="eastAsia" w:ascii="瀹嬩綋" w:hAnsi="瀹嬩綋" w:eastAsia="瀹嬩綋"/>
                <w:color w:val="000000"/>
                <w:sz w:val="22"/>
                <w:szCs w:val="24"/>
                <w:lang w:val="en-US" w:eastAsia="zh-CN"/>
              </w:rPr>
              <w:t>459.89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2080505</w:t>
            </w:r>
          </w:p>
        </w:tc>
        <w:tc>
          <w:tcPr>
            <w:tcW w:w="4205" w:type="dxa"/>
            <w:tcBorders>
              <w:top w:val="nil"/>
              <w:left w:val="nil"/>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机关事业单位基本养老保险缴费支出</w:t>
            </w:r>
          </w:p>
        </w:tc>
        <w:tc>
          <w:tcPr>
            <w:tcW w:w="2322" w:type="dxa"/>
            <w:tcBorders>
              <w:top w:val="nil"/>
              <w:left w:val="nil"/>
              <w:bottom w:val="single" w:color="auto" w:sz="4" w:space="0"/>
              <w:right w:val="single" w:color="auto" w:sz="4" w:space="0"/>
            </w:tcBorders>
            <w:shd w:val="clear" w:color="auto" w:fill="auto"/>
            <w:vAlign w:val="cente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 xml:space="preserve">319.64 </w:t>
            </w:r>
          </w:p>
        </w:tc>
        <w:tc>
          <w:tcPr>
            <w:tcW w:w="3492" w:type="dxa"/>
            <w:tcBorders>
              <w:top w:val="nil"/>
              <w:left w:val="nil"/>
              <w:bottom w:val="single" w:color="auto" w:sz="4" w:space="0"/>
              <w:right w:val="single" w:color="auto" w:sz="4"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319.64</w:t>
            </w:r>
          </w:p>
        </w:tc>
        <w:tc>
          <w:tcPr>
            <w:tcW w:w="3000" w:type="dxa"/>
            <w:tcBorders>
              <w:top w:val="nil"/>
              <w:left w:val="nil"/>
              <w:bottom w:val="single" w:color="auto" w:sz="4" w:space="0"/>
              <w:right w:val="single" w:color="auto" w:sz="8"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2080801</w:t>
            </w:r>
          </w:p>
        </w:tc>
        <w:tc>
          <w:tcPr>
            <w:tcW w:w="4205" w:type="dxa"/>
            <w:tcBorders>
              <w:top w:val="nil"/>
              <w:left w:val="nil"/>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死亡抚恤</w:t>
            </w:r>
          </w:p>
        </w:tc>
        <w:tc>
          <w:tcPr>
            <w:tcW w:w="2322" w:type="dxa"/>
            <w:tcBorders>
              <w:top w:val="nil"/>
              <w:left w:val="nil"/>
              <w:bottom w:val="single" w:color="auto" w:sz="4" w:space="0"/>
              <w:right w:val="single" w:color="auto" w:sz="4" w:space="0"/>
            </w:tcBorders>
            <w:shd w:val="clear" w:color="auto" w:fill="auto"/>
            <w:vAlign w:val="cente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 xml:space="preserve">37.80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 xml:space="preserve">37.80 </w:t>
            </w:r>
          </w:p>
        </w:tc>
        <w:tc>
          <w:tcPr>
            <w:tcW w:w="3000" w:type="dxa"/>
            <w:tcBorders>
              <w:top w:val="nil"/>
              <w:left w:val="nil"/>
              <w:bottom w:val="single" w:color="auto" w:sz="4" w:space="0"/>
              <w:right w:val="single" w:color="auto" w:sz="8"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2101102</w:t>
            </w:r>
          </w:p>
        </w:tc>
        <w:tc>
          <w:tcPr>
            <w:tcW w:w="4205" w:type="dxa"/>
            <w:tcBorders>
              <w:top w:val="nil"/>
              <w:left w:val="nil"/>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事业单位医疗</w:t>
            </w:r>
          </w:p>
        </w:tc>
        <w:tc>
          <w:tcPr>
            <w:tcW w:w="2322" w:type="dxa"/>
            <w:tcBorders>
              <w:top w:val="nil"/>
              <w:left w:val="nil"/>
              <w:bottom w:val="single" w:color="auto" w:sz="4" w:space="0"/>
              <w:right w:val="single" w:color="auto" w:sz="4"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167.17</w:t>
            </w:r>
          </w:p>
        </w:tc>
        <w:tc>
          <w:tcPr>
            <w:tcW w:w="3492" w:type="dxa"/>
            <w:tcBorders>
              <w:top w:val="nil"/>
              <w:left w:val="nil"/>
              <w:bottom w:val="single" w:color="auto" w:sz="4" w:space="0"/>
              <w:right w:val="single" w:color="auto" w:sz="4"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112.88</w:t>
            </w:r>
          </w:p>
        </w:tc>
        <w:tc>
          <w:tcPr>
            <w:tcW w:w="3000" w:type="dxa"/>
            <w:tcBorders>
              <w:top w:val="nil"/>
              <w:left w:val="nil"/>
              <w:bottom w:val="single" w:color="auto" w:sz="4" w:space="0"/>
              <w:right w:val="single" w:color="auto" w:sz="8"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w:t>
            </w:r>
            <w:r>
              <w:rPr>
                <w:rFonts w:hint="eastAsia" w:ascii="瀹嬩綋" w:hAnsi="瀹嬩綋" w:eastAsia="瀹嬩綋"/>
                <w:color w:val="000000"/>
                <w:sz w:val="22"/>
                <w:szCs w:val="24"/>
                <w:lang w:val="en-US" w:eastAsia="zh-CN"/>
              </w:rPr>
              <w:t>110501</w:t>
            </w:r>
          </w:p>
        </w:tc>
        <w:tc>
          <w:tcPr>
            <w:tcW w:w="4205" w:type="dxa"/>
            <w:tcBorders>
              <w:top w:val="nil"/>
              <w:left w:val="nil"/>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宋体" w:hAnsi="宋体" w:eastAsia="宋体" w:cs="宋体"/>
                <w:sz w:val="24"/>
                <w:szCs w:val="24"/>
                <w:lang w:val="en-US" w:eastAsia="zh-CN"/>
              </w:rPr>
              <w:t>森林管护</w:t>
            </w:r>
          </w:p>
        </w:tc>
        <w:tc>
          <w:tcPr>
            <w:tcW w:w="2322" w:type="dxa"/>
            <w:tcBorders>
              <w:top w:val="nil"/>
              <w:left w:val="nil"/>
              <w:bottom w:val="single" w:color="auto" w:sz="4" w:space="0"/>
              <w:right w:val="single" w:color="auto" w:sz="4"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180.60</w:t>
            </w:r>
          </w:p>
        </w:tc>
        <w:tc>
          <w:tcPr>
            <w:tcW w:w="3492" w:type="dxa"/>
            <w:tcBorders>
              <w:top w:val="nil"/>
              <w:left w:val="nil"/>
              <w:bottom w:val="single" w:color="auto" w:sz="4" w:space="0"/>
              <w:right w:val="single" w:color="auto" w:sz="4"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180.60</w:t>
            </w:r>
          </w:p>
        </w:tc>
        <w:tc>
          <w:tcPr>
            <w:tcW w:w="3000" w:type="dxa"/>
            <w:tcBorders>
              <w:top w:val="nil"/>
              <w:left w:val="nil"/>
              <w:bottom w:val="single" w:color="auto" w:sz="4" w:space="0"/>
              <w:right w:val="single" w:color="auto" w:sz="8"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180.60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jc w:val="lef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rPr>
              <w:t>21302</w:t>
            </w:r>
          </w:p>
        </w:tc>
        <w:tc>
          <w:tcPr>
            <w:tcW w:w="4205" w:type="dxa"/>
            <w:tcBorders>
              <w:top w:val="nil"/>
              <w:left w:val="nil"/>
              <w:bottom w:val="single" w:color="auto" w:sz="4" w:space="0"/>
              <w:right w:val="single" w:color="auto" w:sz="4" w:space="0"/>
            </w:tcBorders>
            <w:shd w:val="clear" w:color="auto" w:fill="auto"/>
            <w:vAlign w:val="top"/>
          </w:tcPr>
          <w:p>
            <w:pPr>
              <w:jc w:val="left"/>
              <w:rPr>
                <w:rFonts w:hint="default" w:ascii="瀹嬩綋" w:hAnsi="瀹嬩綋" w:eastAsia="瀹嬩綋"/>
                <w:color w:val="000000"/>
                <w:sz w:val="22"/>
                <w:szCs w:val="24"/>
                <w:lang w:val="en-US" w:eastAsia="zh-CN"/>
              </w:rPr>
            </w:pPr>
            <w:r>
              <w:rPr>
                <w:rFonts w:hint="eastAsia"/>
                <w:lang w:val="en-US" w:eastAsia="zh-CN"/>
              </w:rPr>
              <w:t>林业和草原</w:t>
            </w:r>
          </w:p>
        </w:tc>
        <w:tc>
          <w:tcPr>
            <w:tcW w:w="2322" w:type="dxa"/>
            <w:tcBorders>
              <w:top w:val="nil"/>
              <w:left w:val="nil"/>
              <w:bottom w:val="single" w:color="auto" w:sz="4" w:space="0"/>
              <w:right w:val="single" w:color="auto" w:sz="4"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2312.50</w:t>
            </w:r>
          </w:p>
        </w:tc>
        <w:tc>
          <w:tcPr>
            <w:tcW w:w="3492" w:type="dxa"/>
            <w:tcBorders>
              <w:top w:val="nil"/>
              <w:left w:val="nil"/>
              <w:bottom w:val="single" w:color="auto" w:sz="4" w:space="0"/>
              <w:right w:val="single" w:color="auto" w:sz="4" w:space="0"/>
            </w:tcBorders>
            <w:shd w:val="clear" w:color="auto" w:fill="auto"/>
            <w:vAlign w:val="top"/>
          </w:tcPr>
          <w:p>
            <w:pPr>
              <w:jc w:val="right"/>
              <w:rPr>
                <w:rFonts w:hint="default" w:ascii="瀹嬩綋" w:hAnsi="瀹嬩綋" w:eastAsia="瀹嬩綋"/>
                <w:color w:val="000000"/>
                <w:sz w:val="22"/>
                <w:szCs w:val="24"/>
                <w:lang w:val="en-US"/>
              </w:rPr>
            </w:pPr>
            <w:r>
              <w:rPr>
                <w:rFonts w:hint="eastAsia" w:ascii="瀹嬩綋" w:hAnsi="瀹嬩綋" w:eastAsia="瀹嬩綋"/>
                <w:color w:val="000000"/>
                <w:sz w:val="22"/>
                <w:szCs w:val="24"/>
                <w:lang w:val="en-US" w:eastAsia="zh-CN"/>
              </w:rPr>
              <w:t>2033.22</w:t>
            </w:r>
          </w:p>
        </w:tc>
        <w:tc>
          <w:tcPr>
            <w:tcW w:w="3000" w:type="dxa"/>
            <w:tcBorders>
              <w:top w:val="nil"/>
              <w:left w:val="nil"/>
              <w:bottom w:val="single" w:color="auto" w:sz="4" w:space="0"/>
              <w:right w:val="single" w:color="auto" w:sz="8"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279.29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2130204</w:t>
            </w:r>
          </w:p>
        </w:tc>
        <w:tc>
          <w:tcPr>
            <w:tcW w:w="4205" w:type="dxa"/>
            <w:tcBorders>
              <w:top w:val="nil"/>
              <w:left w:val="nil"/>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事业机构</w:t>
            </w:r>
          </w:p>
        </w:tc>
        <w:tc>
          <w:tcPr>
            <w:tcW w:w="2322" w:type="dxa"/>
            <w:tcBorders>
              <w:top w:val="nil"/>
              <w:left w:val="nil"/>
              <w:bottom w:val="single" w:color="auto" w:sz="4" w:space="0"/>
              <w:right w:val="single" w:color="auto" w:sz="4"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2033.22</w:t>
            </w:r>
          </w:p>
        </w:tc>
        <w:tc>
          <w:tcPr>
            <w:tcW w:w="3492" w:type="dxa"/>
            <w:tcBorders>
              <w:top w:val="nil"/>
              <w:left w:val="nil"/>
              <w:bottom w:val="single" w:color="auto" w:sz="4" w:space="0"/>
              <w:right w:val="single" w:color="auto" w:sz="4"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2033.22</w:t>
            </w:r>
          </w:p>
        </w:tc>
        <w:tc>
          <w:tcPr>
            <w:tcW w:w="3000" w:type="dxa"/>
            <w:tcBorders>
              <w:top w:val="nil"/>
              <w:left w:val="nil"/>
              <w:bottom w:val="single" w:color="auto" w:sz="4" w:space="0"/>
              <w:right w:val="single" w:color="auto" w:sz="8"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w:t>
            </w:r>
            <w:r>
              <w:rPr>
                <w:rFonts w:hint="eastAsia" w:ascii="瀹嬩綋" w:hAnsi="瀹嬩綋" w:eastAsia="瀹嬩綋"/>
                <w:color w:val="000000"/>
                <w:sz w:val="22"/>
                <w:szCs w:val="24"/>
                <w:lang w:val="en-US" w:eastAsia="zh-CN"/>
              </w:rPr>
              <w:t>130299</w:t>
            </w:r>
          </w:p>
        </w:tc>
        <w:tc>
          <w:tcPr>
            <w:tcW w:w="4205" w:type="dxa"/>
            <w:tcBorders>
              <w:top w:val="nil"/>
              <w:left w:val="nil"/>
              <w:bottom w:val="single" w:color="auto" w:sz="4"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宋体" w:hAnsi="宋体" w:eastAsia="宋体" w:cs="宋体"/>
                <w:sz w:val="24"/>
                <w:szCs w:val="24"/>
                <w:lang w:val="en-US" w:eastAsia="zh-CN"/>
              </w:rPr>
              <w:t>其他林业和草原支出</w:t>
            </w:r>
          </w:p>
        </w:tc>
        <w:tc>
          <w:tcPr>
            <w:tcW w:w="2322" w:type="dxa"/>
            <w:tcBorders>
              <w:top w:val="nil"/>
              <w:left w:val="nil"/>
              <w:bottom w:val="single" w:color="auto" w:sz="4" w:space="0"/>
              <w:right w:val="single" w:color="auto" w:sz="4"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45.00</w:t>
            </w:r>
          </w:p>
        </w:tc>
        <w:tc>
          <w:tcPr>
            <w:tcW w:w="3492" w:type="dxa"/>
            <w:tcBorders>
              <w:top w:val="nil"/>
              <w:left w:val="nil"/>
              <w:bottom w:val="single" w:color="auto" w:sz="4" w:space="0"/>
              <w:right w:val="single" w:color="auto" w:sz="4"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0.00</w:t>
            </w:r>
          </w:p>
        </w:tc>
        <w:tc>
          <w:tcPr>
            <w:tcW w:w="3000" w:type="dxa"/>
            <w:tcBorders>
              <w:top w:val="nil"/>
              <w:left w:val="nil"/>
              <w:bottom w:val="single" w:color="auto" w:sz="4" w:space="0"/>
              <w:right w:val="single" w:color="auto" w:sz="8"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45.00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2130234</w:t>
            </w:r>
          </w:p>
        </w:tc>
        <w:tc>
          <w:tcPr>
            <w:tcW w:w="4205" w:type="dxa"/>
            <w:tcBorders>
              <w:top w:val="nil"/>
              <w:left w:val="nil"/>
              <w:bottom w:val="single" w:color="auto" w:sz="8" w:space="0"/>
              <w:right w:val="single" w:color="auto" w:sz="4" w:space="0"/>
            </w:tcBorders>
            <w:shd w:val="clear" w:color="auto" w:fill="auto"/>
            <w:vAlign w:val="top"/>
          </w:tcPr>
          <w:p>
            <w:pPr>
              <w:jc w:val="left"/>
              <w:rPr>
                <w:rFonts w:ascii="瀹嬩綋" w:hAnsi="瀹嬩綋" w:eastAsia="瀹嬩綋"/>
                <w:color w:val="000000"/>
                <w:sz w:val="22"/>
                <w:szCs w:val="24"/>
              </w:rPr>
            </w:pPr>
            <w:r>
              <w:rPr>
                <w:rFonts w:hint="eastAsia" w:ascii="瀹嬩綋" w:hAnsi="瀹嬩綋" w:eastAsia="瀹嬩綋"/>
                <w:color w:val="000000"/>
                <w:sz w:val="22"/>
                <w:szCs w:val="24"/>
              </w:rPr>
              <w:t>林业草原防灾减灾</w:t>
            </w:r>
          </w:p>
        </w:tc>
        <w:tc>
          <w:tcPr>
            <w:tcW w:w="2322" w:type="dxa"/>
            <w:tcBorders>
              <w:top w:val="nil"/>
              <w:left w:val="nil"/>
              <w:bottom w:val="single" w:color="auto" w:sz="8" w:space="0"/>
              <w:right w:val="single" w:color="auto" w:sz="4"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234.29</w:t>
            </w:r>
          </w:p>
        </w:tc>
        <w:tc>
          <w:tcPr>
            <w:tcW w:w="3492" w:type="dxa"/>
            <w:tcBorders>
              <w:top w:val="nil"/>
              <w:left w:val="nil"/>
              <w:bottom w:val="single" w:color="auto" w:sz="8" w:space="0"/>
              <w:right w:val="single" w:color="auto" w:sz="4" w:space="0"/>
            </w:tcBorders>
            <w:shd w:val="clear" w:color="auto" w:fill="auto"/>
            <w:vAlign w:val="top"/>
          </w:tcPr>
          <w:p>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0.00</w:t>
            </w:r>
          </w:p>
        </w:tc>
        <w:tc>
          <w:tcPr>
            <w:tcW w:w="3000" w:type="dxa"/>
            <w:tcBorders>
              <w:top w:val="nil"/>
              <w:left w:val="nil"/>
              <w:bottom w:val="single" w:color="auto" w:sz="8" w:space="0"/>
              <w:right w:val="single" w:color="auto" w:sz="8" w:space="0"/>
            </w:tcBorders>
            <w:shd w:val="clear" w:color="auto" w:fill="auto"/>
            <w:vAlign w:val="top"/>
          </w:tcPr>
          <w:p>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234.29</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tbl>
      <w:tblPr>
        <w:tblStyle w:val="8"/>
        <w:tblW w:w="0" w:type="auto"/>
        <w:tblInd w:w="0" w:type="dxa"/>
        <w:tblLayout w:type="fixed"/>
        <w:tblCellMar>
          <w:top w:w="0" w:type="dxa"/>
          <w:left w:w="108" w:type="dxa"/>
          <w:bottom w:w="0" w:type="dxa"/>
          <w:right w:w="108" w:type="dxa"/>
        </w:tblCellMar>
      </w:tblPr>
      <w:tblGrid>
        <w:gridCol w:w="957"/>
        <w:gridCol w:w="238"/>
        <w:gridCol w:w="90"/>
        <w:gridCol w:w="1244"/>
        <w:gridCol w:w="1952"/>
        <w:gridCol w:w="94"/>
        <w:gridCol w:w="1180"/>
        <w:gridCol w:w="898"/>
        <w:gridCol w:w="294"/>
        <w:gridCol w:w="1901"/>
        <w:gridCol w:w="142"/>
        <w:gridCol w:w="837"/>
        <w:gridCol w:w="996"/>
        <w:gridCol w:w="340"/>
        <w:gridCol w:w="2009"/>
        <w:gridCol w:w="830"/>
        <w:gridCol w:w="1294"/>
        <w:gridCol w:w="318"/>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湖南月岩国家森林公园管理局</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28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7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19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7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9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179"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61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2,227.99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243.85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924.43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9.24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135.64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5.82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313.08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25.54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131.89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319.64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9.45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53.09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2.78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167.17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14.09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4.47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143.41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3.61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85.99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2.85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6.00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37.80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27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48.19 </w:t>
            </w: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32.39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0.34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47.55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36.20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39909</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ascii="宋体" w:hAnsi="宋体" w:eastAsia="宋体" w:cs="宋体"/>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ascii="宋体" w:hAnsi="宋体" w:eastAsia="宋体" w:cs="宋体"/>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ascii="宋体" w:hAnsi="宋体" w:eastAsia="宋体" w:cs="宋体"/>
                <w:color w:val="000000"/>
                <w:kern w:val="0"/>
                <w:szCs w:val="20"/>
              </w:rPr>
            </w:pP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13.00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39910</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10.44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79"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19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89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19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7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59.71 </w:t>
            </w:r>
          </w:p>
        </w:tc>
        <w:tc>
          <w:tcPr>
            <w:tcW w:w="9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179"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48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274" w:type="dxa"/>
            <w:gridSpan w:val="2"/>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2313.98</w:t>
            </w:r>
          </w:p>
        </w:tc>
        <w:tc>
          <w:tcPr>
            <w:tcW w:w="8247"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6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243.85</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CellMar>
            <w:top w:w="0" w:type="dxa"/>
            <w:left w:w="108" w:type="dxa"/>
            <w:bottom w:w="0" w:type="dxa"/>
            <w:right w:w="108" w:type="dxa"/>
          </w:tblCellMar>
        </w:tblPrEx>
        <w:trPr>
          <w:gridAfter w:val="1"/>
          <w:wAfter w:w="318" w:type="dxa"/>
          <w:trHeight w:val="690" w:hRule="atLeast"/>
        </w:trPr>
        <w:tc>
          <w:tcPr>
            <w:tcW w:w="15296" w:type="dxa"/>
            <w:gridSpan w:val="17"/>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kern w:val="0"/>
                <w:sz w:val="32"/>
                <w:szCs w:val="32"/>
              </w:rPr>
            </w:pPr>
          </w:p>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tblPrEx>
          <w:tblCellMar>
            <w:top w:w="0" w:type="dxa"/>
            <w:left w:w="108" w:type="dxa"/>
            <w:bottom w:w="0" w:type="dxa"/>
            <w:right w:w="108" w:type="dxa"/>
          </w:tblCellMar>
        </w:tblPrEx>
        <w:trPr>
          <w:gridAfter w:val="1"/>
          <w:wAfter w:w="318" w:type="dxa"/>
          <w:trHeight w:val="345" w:hRule="atLeast"/>
        </w:trPr>
        <w:tc>
          <w:tcPr>
            <w:tcW w:w="957"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38"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1334" w:type="dxa"/>
            <w:gridSpan w:val="2"/>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046"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372"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43"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73"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09"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24"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tblPrEx>
          <w:tblCellMar>
            <w:top w:w="0" w:type="dxa"/>
            <w:left w:w="108" w:type="dxa"/>
            <w:bottom w:w="0" w:type="dxa"/>
            <w:right w:w="108" w:type="dxa"/>
          </w:tblCellMar>
        </w:tblPrEx>
        <w:trPr>
          <w:gridAfter w:val="1"/>
          <w:wAfter w:w="318" w:type="dxa"/>
          <w:trHeight w:val="690" w:hRule="atLeast"/>
        </w:trPr>
        <w:tc>
          <w:tcPr>
            <w:tcW w:w="957" w:type="dxa"/>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238"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1334" w:type="dxa"/>
            <w:gridSpan w:val="2"/>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046"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372"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43"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73"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09"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24"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318" w:type="dxa"/>
          <w:trHeight w:val="459" w:hRule="atLeast"/>
        </w:trPr>
        <w:tc>
          <w:tcPr>
            <w:tcW w:w="25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6"/>
                <w:rFonts w:hint="default"/>
              </w:rPr>
              <w:t>目</w:t>
            </w:r>
          </w:p>
        </w:tc>
        <w:tc>
          <w:tcPr>
            <w:tcW w:w="2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23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62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21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tblPrEx>
          <w:tblCellMar>
            <w:top w:w="0" w:type="dxa"/>
            <w:left w:w="108" w:type="dxa"/>
            <w:bottom w:w="0" w:type="dxa"/>
            <w:right w:w="108" w:type="dxa"/>
          </w:tblCellMar>
        </w:tblPrEx>
        <w:trPr>
          <w:gridAfter w:val="1"/>
          <w:wAfter w:w="318" w:type="dxa"/>
          <w:trHeight w:val="609" w:hRule="atLeast"/>
        </w:trPr>
        <w:tc>
          <w:tcPr>
            <w:tcW w:w="11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13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3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2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2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21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409" w:hRule="atLeast"/>
        </w:trPr>
        <w:tc>
          <w:tcPr>
            <w:tcW w:w="11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3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509" w:hRule="atLeast"/>
        </w:trPr>
        <w:tc>
          <w:tcPr>
            <w:tcW w:w="11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3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509" w:hRule="atLeast"/>
        </w:trPr>
        <w:tc>
          <w:tcPr>
            <w:tcW w:w="25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4</w:t>
            </w: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5</w:t>
            </w: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6</w:t>
            </w:r>
          </w:p>
        </w:tc>
      </w:tr>
      <w:tr>
        <w:tblPrEx>
          <w:tblCellMar>
            <w:top w:w="0" w:type="dxa"/>
            <w:left w:w="108" w:type="dxa"/>
            <w:bottom w:w="0" w:type="dxa"/>
            <w:right w:w="108" w:type="dxa"/>
          </w:tblCellMar>
        </w:tblPrEx>
        <w:trPr>
          <w:gridAfter w:val="1"/>
          <w:wAfter w:w="318" w:type="dxa"/>
          <w:trHeight w:val="509" w:hRule="atLeast"/>
        </w:trPr>
        <w:tc>
          <w:tcPr>
            <w:tcW w:w="25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318" w:type="dxa"/>
          <w:trHeight w:val="725" w:hRule="atLeast"/>
        </w:trPr>
        <w:tc>
          <w:tcPr>
            <w:tcW w:w="15296" w:type="dxa"/>
            <w:gridSpan w:val="17"/>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pPr>
              <w:widowControl/>
              <w:jc w:val="left"/>
              <w:textAlignment w:val="center"/>
              <w:rPr>
                <w:rFonts w:ascii="宋体" w:hAnsi="宋体" w:eastAsia="宋体" w:cs="宋体"/>
                <w:color w:val="000000"/>
                <w:kern w:val="0"/>
                <w:sz w:val="24"/>
                <w:szCs w:val="24"/>
              </w:rPr>
            </w:pPr>
          </w:p>
          <w:p>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说明：我单位没有政府性基金收入，也没有使用政府性基金安排的支出，故本表无数据。</w:t>
            </w:r>
          </w:p>
        </w:tc>
      </w:tr>
    </w:tbl>
    <w:p>
      <w:pPr>
        <w:widowControl/>
        <w:jc w:val="center"/>
        <w:rPr>
          <w:rFonts w:ascii="Times New Roman" w:hAnsi="Times New Roman" w:eastAsia="方正小标宋_GBK" w:cs="Times New Roman"/>
          <w:color w:val="000000"/>
          <w:kern w:val="0"/>
          <w:sz w:val="36"/>
          <w:szCs w:val="36"/>
        </w:rPr>
      </w:pPr>
    </w:p>
    <w:p>
      <w:pPr>
        <w:widowControl/>
        <w:jc w:val="center"/>
        <w:rPr>
          <w:rFonts w:ascii="Times New Roman" w:hAnsi="Times New Roman" w:eastAsia="方正小标宋_GBK" w:cs="Times New Roman"/>
          <w:color w:val="000000"/>
          <w:kern w:val="0"/>
          <w:sz w:val="36"/>
          <w:szCs w:val="36"/>
        </w:rPr>
      </w:pPr>
    </w:p>
    <w:tbl>
      <w:tblPr>
        <w:tblStyle w:val="8"/>
        <w:tblW w:w="15120" w:type="dxa"/>
        <w:tblInd w:w="93" w:type="dxa"/>
        <w:tblLayout w:type="autofit"/>
        <w:tblCellMar>
          <w:top w:w="0" w:type="dxa"/>
          <w:left w:w="108" w:type="dxa"/>
          <w:bottom w:w="0" w:type="dxa"/>
          <w:right w:w="108" w:type="dxa"/>
        </w:tblCellMar>
      </w:tblPr>
      <w:tblGrid>
        <w:gridCol w:w="1326"/>
        <w:gridCol w:w="701"/>
        <w:gridCol w:w="2292"/>
        <w:gridCol w:w="3315"/>
        <w:gridCol w:w="3315"/>
        <w:gridCol w:w="4171"/>
      </w:tblGrid>
      <w:tr>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701"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tblPrEx>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01"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7"/>
                <w:rFonts w:hint="default"/>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pPr>
              <w:widowControl/>
              <w:jc w:val="left"/>
              <w:textAlignment w:val="center"/>
              <w:rPr>
                <w:rFonts w:ascii="宋体" w:hAnsi="宋体" w:eastAsia="宋体" w:cs="宋体"/>
                <w:color w:val="000000"/>
                <w:kern w:val="0"/>
                <w:sz w:val="24"/>
                <w:szCs w:val="24"/>
              </w:rPr>
            </w:pPr>
          </w:p>
          <w:p>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说明：我单位没有使用国有资本经营预算安排的支出，故本表无数据。</w:t>
            </w:r>
          </w:p>
        </w:tc>
      </w:tr>
    </w:tbl>
    <w:p>
      <w:pPr>
        <w:widowControl/>
        <w:jc w:val="center"/>
        <w:rPr>
          <w:rFonts w:ascii="Times New Roman" w:hAnsi="Times New Roman" w:eastAsia="方正小标宋_GBK" w:cs="Times New Roman"/>
          <w:color w:val="000000"/>
          <w:kern w:val="0"/>
          <w:sz w:val="36"/>
          <w:szCs w:val="36"/>
        </w:rPr>
      </w:pPr>
    </w:p>
    <w:tbl>
      <w:tblPr>
        <w:tblStyle w:val="8"/>
        <w:tblW w:w="15140" w:type="dxa"/>
        <w:tblInd w:w="93" w:type="dxa"/>
        <w:tblLayout w:type="autofit"/>
        <w:tblCellMar>
          <w:top w:w="0" w:type="dxa"/>
          <w:left w:w="108" w:type="dxa"/>
          <w:bottom w:w="0" w:type="dxa"/>
          <w:right w:w="108" w:type="dxa"/>
        </w:tblCellMar>
      </w:tblPr>
      <w:tblGrid>
        <w:gridCol w:w="3416"/>
        <w:gridCol w:w="1099"/>
        <w:gridCol w:w="1052"/>
        <w:gridCol w:w="1006"/>
        <w:gridCol w:w="1052"/>
        <w:gridCol w:w="1006"/>
        <w:gridCol w:w="1052"/>
        <w:gridCol w:w="1099"/>
        <w:gridCol w:w="1052"/>
        <w:gridCol w:w="1006"/>
        <w:gridCol w:w="1052"/>
        <w:gridCol w:w="1248"/>
      </w:tblGrid>
      <w:tr>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kern w:val="0"/>
                <w:sz w:val="32"/>
                <w:szCs w:val="32"/>
              </w:rPr>
            </w:pPr>
          </w:p>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财政拨款“三公”经费支出决算表</w:t>
            </w:r>
          </w:p>
        </w:tc>
      </w:tr>
      <w:tr>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部门：湖南月岩国家森林公园管理局</w:t>
            </w: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13.00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r>
              <w:rPr>
                <w:rFonts w:hint="eastAsia" w:ascii="宋体" w:hAnsi="宋体" w:eastAsia="宋体" w:cs="宋体"/>
                <w:color w:val="000000"/>
                <w:sz w:val="22"/>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r>
              <w:rPr>
                <w:rFonts w:hint="eastAsia" w:ascii="宋体" w:hAnsi="宋体" w:eastAsia="宋体" w:cs="宋体"/>
                <w:color w:val="000000"/>
                <w:sz w:val="22"/>
              </w:rPr>
              <w:t>13.00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r>
              <w:rPr>
                <w:rFonts w:hint="eastAsia" w:ascii="宋体" w:hAnsi="宋体" w:eastAsia="宋体" w:cs="宋体"/>
                <w:color w:val="000000"/>
                <w:sz w:val="22"/>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r>
              <w:rPr>
                <w:rFonts w:hint="eastAsia" w:ascii="宋体" w:hAnsi="宋体" w:eastAsia="宋体" w:cs="宋体"/>
                <w:color w:val="000000"/>
                <w:sz w:val="22"/>
              </w:rPr>
              <w:t>13.00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13.00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r>
              <w:rPr>
                <w:rFonts w:hint="eastAsia" w:ascii="宋体" w:hAnsi="宋体" w:eastAsia="宋体" w:cs="宋体"/>
                <w:color w:val="000000"/>
                <w:sz w:val="22"/>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r>
              <w:rPr>
                <w:rFonts w:hint="eastAsia" w:ascii="宋体" w:hAnsi="宋体" w:eastAsia="宋体" w:cs="宋体"/>
                <w:color w:val="000000"/>
                <w:sz w:val="22"/>
              </w:rPr>
              <w:t>13.00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r>
              <w:rPr>
                <w:rFonts w:hint="eastAsia" w:ascii="宋体" w:hAnsi="宋体" w:eastAsia="宋体" w:cs="宋体"/>
                <w:color w:val="000000"/>
                <w:sz w:val="22"/>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r>
              <w:rPr>
                <w:rFonts w:hint="eastAsia" w:ascii="宋体" w:hAnsi="宋体" w:eastAsia="宋体" w:cs="宋体"/>
                <w:color w:val="000000"/>
                <w:sz w:val="22"/>
              </w:rPr>
              <w:t>13.00</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13.00</w:t>
            </w:r>
          </w:p>
        </w:tc>
      </w:tr>
      <w:tr>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rPr>
          <w:sz w:val="72"/>
          <w:szCs w:val="72"/>
        </w:rPr>
        <w:sectPr>
          <w:pgSz w:w="16838" w:h="11906" w:orient="landscape"/>
          <w:pgMar w:top="720" w:right="720" w:bottom="720" w:left="720" w:header="851" w:footer="992" w:gutter="0"/>
          <w:cols w:space="425" w:num="1"/>
          <w:docGrid w:type="lines" w:linePitch="312" w:charSpace="0"/>
        </w:sectPr>
      </w:pPr>
    </w:p>
    <w:p>
      <w:pPr>
        <w:pStyle w:val="12"/>
        <w:rPr>
          <w:sz w:val="72"/>
          <w:szCs w:val="72"/>
        </w:rPr>
      </w:pPr>
    </w:p>
    <w:p>
      <w:pPr>
        <w:pStyle w:val="12"/>
        <w:rPr>
          <w:sz w:val="72"/>
          <w:szCs w:val="72"/>
        </w:rPr>
      </w:pPr>
    </w:p>
    <w:p>
      <w:pPr>
        <w:pStyle w:val="12"/>
        <w:rPr>
          <w:sz w:val="72"/>
          <w:szCs w:val="72"/>
        </w:rPr>
      </w:pPr>
    </w:p>
    <w:p>
      <w:pPr>
        <w:pStyle w:val="12"/>
        <w:rPr>
          <w:sz w:val="72"/>
          <w:szCs w:val="72"/>
        </w:rPr>
      </w:pPr>
    </w:p>
    <w:p>
      <w:pPr>
        <w:pStyle w:val="12"/>
        <w:jc w:val="center"/>
        <w:rPr>
          <w:sz w:val="72"/>
          <w:szCs w:val="72"/>
        </w:rPr>
      </w:pPr>
    </w:p>
    <w:p>
      <w:pPr>
        <w:pStyle w:val="12"/>
        <w:jc w:val="center"/>
        <w:rPr>
          <w:rFonts w:ascii="方正小标宋_GBK" w:hAnsi="方正小标宋_GBK" w:eastAsia="方正小标宋_GBK" w:cs="方正小标宋_GBK"/>
          <w:sz w:val="72"/>
          <w:szCs w:val="72"/>
        </w:rPr>
      </w:pPr>
    </w:p>
    <w:p>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2"/>
        <w:jc w:val="center"/>
        <w:rPr>
          <w:rFonts w:ascii="方正小标宋_GBK" w:hAnsi="方正小标宋_GBK" w:eastAsia="方正小标宋_GBK" w:cs="方正小标宋_GBK"/>
          <w:sz w:val="70"/>
          <w:szCs w:val="70"/>
        </w:rPr>
      </w:pPr>
    </w:p>
    <w:p>
      <w:pPr>
        <w:pStyle w:val="12"/>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pPr>
        <w:pStyle w:val="12"/>
        <w:spacing w:line="600" w:lineRule="exact"/>
        <w:ind w:firstLine="640" w:firstLineChars="200"/>
        <w:rPr>
          <w:rFonts w:hAnsi="黑体"/>
          <w:bCs/>
          <w:sz w:val="32"/>
          <w:szCs w:val="32"/>
        </w:rPr>
      </w:pPr>
      <w:r>
        <w:rPr>
          <w:rFonts w:hint="eastAsia" w:hAnsi="黑体"/>
          <w:bCs/>
          <w:sz w:val="32"/>
          <w:szCs w:val="32"/>
        </w:rPr>
        <w:t>一、收入支出决算总体情况说明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3017.71</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减少149.1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减少4.71</w:t>
      </w:r>
      <w:r>
        <w:rPr>
          <w:rFonts w:hint="eastAsia" w:ascii="Times New Roman" w:hAnsi="Times New Roman" w:eastAsia="仿宋_GB2312"/>
          <w:sz w:val="32"/>
          <w:szCs w:val="32"/>
        </w:rPr>
        <w:t>%，主要是因为项目</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w:t>
      </w:r>
    </w:p>
    <w:p>
      <w:pPr>
        <w:pStyle w:val="12"/>
        <w:spacing w:line="600" w:lineRule="exact"/>
        <w:ind w:firstLine="640" w:firstLineChars="200"/>
        <w:rPr>
          <w:rFonts w:hAnsi="黑体"/>
          <w:bCs/>
          <w:sz w:val="32"/>
          <w:szCs w:val="32"/>
        </w:rPr>
      </w:pPr>
      <w:r>
        <w:rPr>
          <w:rFonts w:hint="eastAsia" w:hAnsi="黑体"/>
          <w:bCs/>
          <w:sz w:val="32"/>
          <w:szCs w:val="32"/>
        </w:rPr>
        <w:t>二、收入决算情况说明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3017.71</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3017.71</w:t>
      </w:r>
      <w:r>
        <w:rPr>
          <w:rFonts w:hint="eastAsia" w:ascii="Times New Roman" w:hAnsi="Times New Roman" w:eastAsia="仿宋_GB2312"/>
          <w:sz w:val="32"/>
          <w:szCs w:val="32"/>
        </w:rPr>
        <w:t>万元，占100%。</w:t>
      </w:r>
    </w:p>
    <w:p>
      <w:pPr>
        <w:pStyle w:val="12"/>
        <w:spacing w:line="600" w:lineRule="exact"/>
        <w:ind w:firstLine="640" w:firstLineChars="200"/>
        <w:rPr>
          <w:rFonts w:hAnsi="黑体"/>
          <w:bCs/>
          <w:sz w:val="32"/>
          <w:szCs w:val="32"/>
        </w:rPr>
      </w:pPr>
      <w:r>
        <w:rPr>
          <w:rFonts w:hint="eastAsia" w:hAnsi="黑体"/>
          <w:bCs/>
          <w:sz w:val="32"/>
          <w:szCs w:val="32"/>
        </w:rPr>
        <w:t>三、支出决算情况说明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eastAsia="zh-CN"/>
        </w:rPr>
        <w:t>3017.71</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2557.82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84.76</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459.89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15.24</w:t>
      </w:r>
      <w:r>
        <w:rPr>
          <w:rFonts w:hint="eastAsia" w:ascii="Times New Roman" w:hAnsi="Times New Roman" w:eastAsia="仿宋_GB2312"/>
          <w:sz w:val="32"/>
          <w:szCs w:val="32"/>
        </w:rPr>
        <w:t>%。</w:t>
      </w:r>
    </w:p>
    <w:p>
      <w:pPr>
        <w:pStyle w:val="12"/>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eastAsia="zh-CN"/>
        </w:rPr>
        <w:t>3017.71</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减少149.1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减少4.71</w:t>
      </w:r>
      <w:r>
        <w:rPr>
          <w:rFonts w:hint="eastAsia" w:ascii="Times New Roman" w:hAnsi="Times New Roman" w:eastAsia="仿宋_GB2312"/>
          <w:sz w:val="32"/>
          <w:szCs w:val="32"/>
        </w:rPr>
        <w:t>%，主要是因为项目</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w:t>
      </w:r>
    </w:p>
    <w:p>
      <w:pPr>
        <w:pStyle w:val="12"/>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pPr>
        <w:pStyle w:val="12"/>
        <w:spacing w:line="600" w:lineRule="exact"/>
        <w:ind w:firstLine="640" w:firstLineChars="200"/>
        <w:rPr>
          <w:rFonts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eastAsia="zh-CN"/>
        </w:rPr>
        <w:t>3017.71</w:t>
      </w:r>
      <w:r>
        <w:rPr>
          <w:rFonts w:hint="eastAsia" w:ascii="Times New Roman" w:hAnsi="Times New Roman" w:eastAsia="仿宋_GB2312"/>
          <w:sz w:val="32"/>
          <w:szCs w:val="32"/>
        </w:rPr>
        <w:t>万元，占本年支出合计的100%，与上年相比，财政拨款支出</w:t>
      </w:r>
      <w:r>
        <w:rPr>
          <w:rFonts w:hint="eastAsia" w:ascii="Times New Roman" w:hAnsi="Times New Roman" w:eastAsia="仿宋_GB2312"/>
          <w:sz w:val="32"/>
          <w:szCs w:val="32"/>
          <w:lang w:val="en-US" w:eastAsia="zh-CN"/>
        </w:rPr>
        <w:t>减少149.1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减少4.71</w:t>
      </w:r>
      <w:r>
        <w:rPr>
          <w:rFonts w:hint="eastAsia" w:ascii="Times New Roman" w:hAnsi="Times New Roman" w:eastAsia="仿宋_GB2312"/>
          <w:sz w:val="32"/>
          <w:szCs w:val="32"/>
        </w:rPr>
        <w:t>%，主要是因为项目</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（二）一般公共预算财政拨款支出决算结构情况</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eastAsia="zh-CN"/>
        </w:rPr>
        <w:t>3017.71</w:t>
      </w:r>
      <w:r>
        <w:rPr>
          <w:rFonts w:hint="eastAsia" w:ascii="Times New Roman" w:hAnsi="Times New Roman" w:eastAsia="仿宋_GB2312"/>
          <w:sz w:val="32"/>
          <w:szCs w:val="32"/>
        </w:rPr>
        <w:t>万元，主要用于以下方面：社会保障和就业支出(类)</w:t>
      </w:r>
      <w:r>
        <w:rPr>
          <w:rFonts w:hint="eastAsia" w:ascii="Times New Roman" w:hAnsi="Times New Roman" w:eastAsia="仿宋_GB2312"/>
          <w:sz w:val="32"/>
          <w:szCs w:val="32"/>
          <w:lang w:val="en-US" w:eastAsia="zh-CN"/>
        </w:rPr>
        <w:t>357.44</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11.84</w:t>
      </w:r>
      <w:r>
        <w:rPr>
          <w:rFonts w:hint="eastAsia" w:ascii="Times New Roman" w:hAnsi="Times New Roman" w:eastAsia="仿宋_GB2312"/>
          <w:sz w:val="32"/>
          <w:szCs w:val="32"/>
        </w:rPr>
        <w:t>%;卫生健康支出(类)</w:t>
      </w:r>
      <w:r>
        <w:rPr>
          <w:rFonts w:hint="eastAsia" w:ascii="Times New Roman" w:hAnsi="Times New Roman" w:eastAsia="仿宋_GB2312"/>
          <w:sz w:val="32"/>
          <w:szCs w:val="32"/>
          <w:lang w:val="en-US" w:eastAsia="zh-CN"/>
        </w:rPr>
        <w:t>137.17</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4.55</w:t>
      </w:r>
      <w:r>
        <w:rPr>
          <w:rFonts w:hint="eastAsia" w:ascii="Times New Roman" w:hAnsi="Times New Roman" w:eastAsia="仿宋_GB2312"/>
          <w:sz w:val="32"/>
          <w:szCs w:val="32"/>
        </w:rPr>
        <w:t>%;节能环保支出(类)</w:t>
      </w:r>
      <w:r>
        <w:rPr>
          <w:rFonts w:hint="eastAsia" w:ascii="Times New Roman" w:hAnsi="Times New Roman" w:eastAsia="仿宋_GB2312"/>
          <w:sz w:val="32"/>
          <w:szCs w:val="32"/>
          <w:lang w:val="en-US" w:eastAsia="zh-CN"/>
        </w:rPr>
        <w:t>180.6</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5.98</w:t>
      </w:r>
      <w:r>
        <w:rPr>
          <w:rFonts w:hint="eastAsia" w:ascii="Times New Roman" w:hAnsi="Times New Roman" w:eastAsia="仿宋_GB2312"/>
          <w:sz w:val="32"/>
          <w:szCs w:val="32"/>
        </w:rPr>
        <w:t>%;农林水支出(类)</w:t>
      </w:r>
      <w:r>
        <w:rPr>
          <w:rFonts w:hint="eastAsia" w:ascii="Times New Roman" w:hAnsi="Times New Roman" w:eastAsia="仿宋_GB2312"/>
          <w:sz w:val="32"/>
          <w:szCs w:val="32"/>
          <w:lang w:val="en-US" w:eastAsia="zh-CN"/>
        </w:rPr>
        <w:t>2312.5</w:t>
      </w:r>
      <w:r>
        <w:rPr>
          <w:rFonts w:hint="eastAsia" w:ascii="Times New Roman" w:hAnsi="Times New Roman" w:eastAsia="仿宋_GB2312"/>
          <w:sz w:val="32"/>
          <w:szCs w:val="32"/>
        </w:rPr>
        <w:t xml:space="preserve">万元,占比 </w:t>
      </w:r>
      <w:r>
        <w:rPr>
          <w:rFonts w:hint="eastAsia" w:ascii="Times New Roman" w:hAnsi="Times New Roman" w:eastAsia="仿宋_GB2312"/>
          <w:sz w:val="32"/>
          <w:szCs w:val="32"/>
          <w:lang w:val="en-US" w:eastAsia="zh-CN"/>
        </w:rPr>
        <w:t>77.63</w:t>
      </w:r>
      <w:r>
        <w:rPr>
          <w:rFonts w:hint="eastAsia" w:ascii="Times New Roman" w:hAnsi="Times New Roman" w:eastAsia="仿宋_GB2312"/>
          <w:sz w:val="32"/>
          <w:szCs w:val="32"/>
        </w:rPr>
        <w:t>%。</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（三）一般公共预算财政拨款支出决算具体情况</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2677.77</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eastAsia="zh-CN"/>
        </w:rPr>
        <w:t>3017.71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112</w:t>
      </w:r>
      <w:r>
        <w:rPr>
          <w:rFonts w:hint="eastAsia" w:ascii="Times New Roman" w:hAnsi="Times New Roman" w:eastAsia="仿宋_GB2312"/>
          <w:sz w:val="32"/>
          <w:szCs w:val="32"/>
        </w:rPr>
        <w:t>%，其中：</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1、社会保障和就业支出(类)行政事业单位养老支出(款)机关事业单位基本养老保险缴费支出(项)。</w:t>
      </w:r>
    </w:p>
    <w:p>
      <w:pPr>
        <w:pStyle w:val="12"/>
        <w:spacing w:line="600" w:lineRule="exact"/>
        <w:ind w:firstLine="960" w:firstLineChars="300"/>
        <w:rPr>
          <w:rFonts w:ascii="Times New Roman" w:hAnsi="Times New Roman" w:eastAsia="仿宋_GB2312"/>
          <w:sz w:val="32"/>
          <w:szCs w:val="32"/>
        </w:rPr>
      </w:pPr>
      <w:r>
        <w:rPr>
          <w:rFonts w:hint="eastAsia" w:ascii="Times New Roman" w:hAnsi="Times New Roman" w:eastAsia="仿宋_GB2312"/>
          <w:sz w:val="32"/>
          <w:szCs w:val="32"/>
        </w:rPr>
        <w:t xml:space="preserve">年初预算为 </w:t>
      </w:r>
      <w:r>
        <w:rPr>
          <w:rFonts w:hint="eastAsia" w:ascii="仿宋_GB2312" w:hAnsi="仿宋_GB2312" w:eastAsia="仿宋_GB2312" w:cs="仿宋_GB2312"/>
          <w:color w:val="000000"/>
          <w:sz w:val="32"/>
          <w:szCs w:val="32"/>
          <w:shd w:val="clear" w:color="auto" w:fill="FFFFFF"/>
          <w:lang w:val="en-US" w:eastAsia="zh-CN"/>
        </w:rPr>
        <w:t>204.42</w:t>
      </w:r>
      <w:r>
        <w:rPr>
          <w:rFonts w:hint="eastAsia" w:ascii="Times New Roman" w:hAnsi="Times New Roman" w:eastAsia="仿宋_GB2312"/>
          <w:sz w:val="32"/>
          <w:szCs w:val="32"/>
        </w:rPr>
        <w:t xml:space="preserve"> 万元,支出决算为 </w:t>
      </w:r>
      <w:r>
        <w:rPr>
          <w:rFonts w:hint="eastAsia" w:ascii="Times New Roman" w:hAnsi="Times New Roman" w:eastAsia="仿宋_GB2312"/>
          <w:sz w:val="32"/>
          <w:szCs w:val="32"/>
          <w:lang w:val="en-US" w:eastAsia="zh-CN"/>
        </w:rPr>
        <w:t>319.64</w:t>
      </w:r>
      <w:r>
        <w:rPr>
          <w:rFonts w:hint="eastAsia" w:ascii="Times New Roman" w:hAnsi="Times New Roman" w:eastAsia="仿宋_GB2312"/>
          <w:sz w:val="32"/>
          <w:szCs w:val="32"/>
        </w:rPr>
        <w:t xml:space="preserve">万元,完成年初预算的 </w:t>
      </w:r>
      <w:r>
        <w:rPr>
          <w:rFonts w:hint="eastAsia" w:ascii="Times New Roman" w:hAnsi="Times New Roman" w:eastAsia="仿宋_GB2312"/>
          <w:sz w:val="32"/>
          <w:szCs w:val="32"/>
          <w:lang w:val="en-US" w:eastAsia="zh-CN"/>
        </w:rPr>
        <w:t>156</w:t>
      </w:r>
      <w:r>
        <w:rPr>
          <w:rFonts w:hint="eastAsia" w:ascii="Times New Roman" w:hAnsi="Times New Roman" w:eastAsia="仿宋_GB2312"/>
          <w:sz w:val="32"/>
          <w:szCs w:val="32"/>
        </w:rPr>
        <w:t>%。</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2、社会保障和就业支出(类)抚恤(款)死亡抚恤(项)。</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年初预算为 </w:t>
      </w:r>
      <w:r>
        <w:rPr>
          <w:rFonts w:hint="eastAsia" w:ascii="Times New Roman" w:hAnsi="Times New Roman" w:eastAsia="仿宋_GB2312"/>
          <w:sz w:val="32"/>
          <w:szCs w:val="32"/>
          <w:lang w:val="en-US" w:eastAsia="zh-CN"/>
        </w:rPr>
        <w:t>40</w:t>
      </w:r>
      <w:r>
        <w:rPr>
          <w:rFonts w:hint="eastAsia" w:ascii="Times New Roman" w:hAnsi="Times New Roman" w:eastAsia="仿宋_GB2312"/>
          <w:sz w:val="32"/>
          <w:szCs w:val="32"/>
        </w:rPr>
        <w:t xml:space="preserve">万元,支出决算为 </w:t>
      </w:r>
      <w:r>
        <w:rPr>
          <w:rFonts w:hint="eastAsia" w:ascii="Times New Roman" w:hAnsi="Times New Roman" w:eastAsia="仿宋_GB2312"/>
          <w:sz w:val="32"/>
          <w:szCs w:val="32"/>
          <w:lang w:val="en-US" w:eastAsia="zh-CN"/>
        </w:rPr>
        <w:t>37.8</w:t>
      </w:r>
      <w:r>
        <w:rPr>
          <w:rFonts w:hint="eastAsia" w:ascii="Times New Roman" w:hAnsi="Times New Roman" w:eastAsia="仿宋_GB2312"/>
          <w:sz w:val="32"/>
          <w:szCs w:val="32"/>
        </w:rPr>
        <w:t>万元,完成年初预算</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 xml:space="preserve">的 </w:t>
      </w:r>
      <w:r>
        <w:rPr>
          <w:rFonts w:hint="eastAsia" w:ascii="Times New Roman" w:hAnsi="Times New Roman" w:eastAsia="仿宋_GB2312"/>
          <w:sz w:val="32"/>
          <w:szCs w:val="32"/>
          <w:lang w:val="en-US" w:eastAsia="zh-CN"/>
        </w:rPr>
        <w:t>94.5</w:t>
      </w:r>
      <w:r>
        <w:rPr>
          <w:rFonts w:hint="eastAsia" w:ascii="Times New Roman" w:hAnsi="Times New Roman" w:eastAsia="仿宋_GB2312"/>
          <w:sz w:val="32"/>
          <w:szCs w:val="32"/>
        </w:rPr>
        <w:t>%。</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3、卫生健康支出(类)行政事业单位医疗(款)事业单位医疗(项)。</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 xml:space="preserve">年初预算为 </w:t>
      </w:r>
      <w:r>
        <w:rPr>
          <w:rFonts w:hint="eastAsia" w:ascii="Times New Roman" w:hAnsi="Times New Roman" w:eastAsia="仿宋_GB2312"/>
          <w:sz w:val="32"/>
          <w:szCs w:val="32"/>
          <w:lang w:val="en-US" w:eastAsia="zh-CN"/>
        </w:rPr>
        <w:t>111.15</w:t>
      </w:r>
      <w:r>
        <w:rPr>
          <w:rFonts w:hint="eastAsia" w:ascii="Times New Roman" w:hAnsi="Times New Roman" w:eastAsia="仿宋_GB2312"/>
          <w:sz w:val="32"/>
          <w:szCs w:val="32"/>
        </w:rPr>
        <w:t xml:space="preserve">万元,支出决算为 </w:t>
      </w:r>
      <w:r>
        <w:rPr>
          <w:rFonts w:hint="eastAsia" w:ascii="Times New Roman" w:hAnsi="Times New Roman" w:eastAsia="仿宋_GB2312"/>
          <w:sz w:val="32"/>
          <w:szCs w:val="32"/>
          <w:lang w:val="en-US" w:eastAsia="zh-CN"/>
        </w:rPr>
        <w:t>167.17</w:t>
      </w:r>
      <w:r>
        <w:rPr>
          <w:rFonts w:hint="eastAsia" w:ascii="Times New Roman" w:hAnsi="Times New Roman" w:eastAsia="仿宋_GB2312"/>
          <w:sz w:val="32"/>
          <w:szCs w:val="32"/>
        </w:rPr>
        <w:t xml:space="preserve"> 万元,完成年初预</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算的 1</w:t>
      </w:r>
      <w:r>
        <w:rPr>
          <w:rFonts w:hint="eastAsia" w:ascii="Times New Roman" w:hAnsi="Times New Roman" w:eastAsia="仿宋_GB2312"/>
          <w:sz w:val="32"/>
          <w:szCs w:val="32"/>
          <w:lang w:val="en-US" w:eastAsia="zh-CN"/>
        </w:rPr>
        <w:t>50</w:t>
      </w:r>
      <w:r>
        <w:rPr>
          <w:rFonts w:hint="eastAsia" w:ascii="Times New Roman" w:hAnsi="Times New Roman" w:eastAsia="仿宋_GB2312"/>
          <w:sz w:val="32"/>
          <w:szCs w:val="32"/>
        </w:rPr>
        <w:t>%。</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、农林水支出(类)林业和草原(款)事业机构(项)。</w:t>
      </w:r>
    </w:p>
    <w:p>
      <w:pPr>
        <w:pStyle w:val="12"/>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1850.43</w:t>
      </w:r>
      <w:r>
        <w:rPr>
          <w:rFonts w:hint="eastAsia" w:ascii="Times New Roman" w:hAnsi="Times New Roman" w:eastAsia="仿宋_GB2312"/>
          <w:sz w:val="32"/>
          <w:szCs w:val="32"/>
        </w:rPr>
        <w:t xml:space="preserve"> 万元,支出决算为 </w:t>
      </w:r>
      <w:r>
        <w:rPr>
          <w:rFonts w:hint="eastAsia" w:ascii="Times New Roman" w:hAnsi="Times New Roman" w:eastAsia="仿宋_GB2312"/>
          <w:sz w:val="32"/>
          <w:szCs w:val="32"/>
          <w:lang w:val="en-US" w:eastAsia="zh-CN"/>
        </w:rPr>
        <w:t>2033.22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109</w:t>
      </w:r>
      <w:r>
        <w:rPr>
          <w:rFonts w:hint="eastAsia" w:ascii="Times New Roman" w:hAnsi="Times New Roman" w:eastAsia="仿宋_GB2312"/>
          <w:sz w:val="32"/>
          <w:szCs w:val="32"/>
        </w:rPr>
        <w:t>%。</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、农林水支出(类)林业和草原(款)</w:t>
      </w:r>
      <w:r>
        <w:rPr>
          <w:rFonts w:hint="eastAsia" w:ascii="Times New Roman" w:hAnsi="Times New Roman" w:eastAsia="仿宋_GB2312"/>
          <w:sz w:val="32"/>
          <w:szCs w:val="32"/>
          <w:lang w:val="en-US" w:eastAsia="zh-CN"/>
        </w:rPr>
        <w:t>其他林业和草原支出</w:t>
      </w:r>
      <w:r>
        <w:rPr>
          <w:rFonts w:hint="eastAsia" w:ascii="Times New Roman" w:hAnsi="Times New Roman" w:eastAsia="仿宋_GB2312"/>
          <w:sz w:val="32"/>
          <w:szCs w:val="32"/>
        </w:rPr>
        <w:t>(项)。</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年初预算为 </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 xml:space="preserve">万元,支出决算为 </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 xml:space="preserve"> 万元,完成年初预算</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的 100%。</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、农林水支出(类)林业和草原(款)林业草原防灾减灾(项)。</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年初预算为 </w:t>
      </w:r>
      <w:r>
        <w:rPr>
          <w:rFonts w:hint="eastAsia" w:ascii="Times New Roman" w:hAnsi="Times New Roman" w:eastAsia="仿宋_GB2312"/>
          <w:sz w:val="32"/>
          <w:szCs w:val="32"/>
          <w:lang w:val="en-US" w:eastAsia="zh-CN"/>
        </w:rPr>
        <w:t>305.99</w:t>
      </w:r>
      <w:r>
        <w:rPr>
          <w:rFonts w:hint="eastAsia" w:ascii="Times New Roman" w:hAnsi="Times New Roman" w:eastAsia="仿宋_GB2312"/>
          <w:sz w:val="32"/>
          <w:szCs w:val="32"/>
        </w:rPr>
        <w:t xml:space="preserve"> 万元,支出决算为 </w:t>
      </w:r>
      <w:r>
        <w:rPr>
          <w:rFonts w:hint="eastAsia" w:ascii="Times New Roman" w:hAnsi="Times New Roman" w:eastAsia="仿宋_GB2312"/>
          <w:sz w:val="32"/>
          <w:szCs w:val="32"/>
          <w:lang w:val="en-US" w:eastAsia="zh-CN"/>
        </w:rPr>
        <w:t>234.29</w:t>
      </w:r>
      <w:r>
        <w:rPr>
          <w:rFonts w:hint="eastAsia" w:ascii="Times New Roman" w:hAnsi="Times New Roman" w:eastAsia="仿宋_GB2312"/>
          <w:sz w:val="32"/>
          <w:szCs w:val="32"/>
        </w:rPr>
        <w:t xml:space="preserve"> 万元,完成年初预算的 </w:t>
      </w:r>
      <w:r>
        <w:rPr>
          <w:rFonts w:hint="eastAsia" w:ascii="Times New Roman" w:hAnsi="Times New Roman" w:eastAsia="仿宋_GB2312"/>
          <w:sz w:val="32"/>
          <w:szCs w:val="32"/>
          <w:lang w:val="en-US" w:eastAsia="zh-CN"/>
        </w:rPr>
        <w:t>76</w:t>
      </w:r>
      <w:r>
        <w:rPr>
          <w:rFonts w:hint="eastAsia" w:ascii="Times New Roman" w:hAnsi="Times New Roman" w:eastAsia="仿宋_GB2312"/>
          <w:sz w:val="32"/>
          <w:szCs w:val="32"/>
        </w:rPr>
        <w:t>%。</w:t>
      </w:r>
    </w:p>
    <w:p>
      <w:pPr>
        <w:pStyle w:val="12"/>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2557.82</w:t>
      </w:r>
      <w:r>
        <w:rPr>
          <w:rFonts w:hint="eastAsia" w:ascii="Times New Roman" w:hAnsi="Times New Roman" w:eastAsia="仿宋_GB2312"/>
          <w:sz w:val="32"/>
          <w:szCs w:val="32"/>
        </w:rPr>
        <w:t>万元，其中：</w:t>
      </w:r>
    </w:p>
    <w:p>
      <w:pPr>
        <w:pStyle w:val="12"/>
        <w:spacing w:line="600" w:lineRule="exact"/>
        <w:ind w:left="638" w:leftChars="304"/>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2313.98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90.47</w:t>
      </w:r>
      <w:r>
        <w:rPr>
          <w:rFonts w:hint="eastAsia" w:ascii="Times New Roman" w:hAnsi="Times New Roman" w:eastAsia="仿宋_GB2312"/>
          <w:sz w:val="32"/>
          <w:szCs w:val="32"/>
        </w:rPr>
        <w:t>%,主要包括基本工资、津贴补贴、奖金、伙食补助费、机关事业单位基本养老保险缴费、职业年金缴费、职工基本医疗保险缴费、其他社会保障缴费、住房公积金、退休费、抚恤金、生活补助、救济费、奖励金、其他对个人和家庭的补</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助;</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243.85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9.53</w:t>
      </w:r>
      <w:r>
        <w:rPr>
          <w:rFonts w:hint="eastAsia" w:ascii="Times New Roman" w:hAnsi="Times New Roman" w:eastAsia="仿宋_GB2312"/>
          <w:sz w:val="32"/>
          <w:szCs w:val="32"/>
        </w:rPr>
        <w:t>%，主要包括办公费、</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印刷费、咨询费、水费、电费、邮电费、物业管理费、差旅费、维修(护)</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费、会议费、培训费、公务接待费、劳务费、委托业务费、工会经费、</w:t>
      </w:r>
    </w:p>
    <w:p>
      <w:pPr>
        <w:pStyle w:val="12"/>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sz w:val="32"/>
          <w:szCs w:val="32"/>
        </w:rPr>
        <w:t>福利费、公务用车运行维护费、其他商品和服务支出。</w:t>
      </w:r>
    </w:p>
    <w:p>
      <w:pPr>
        <w:pStyle w:val="12"/>
        <w:numPr>
          <w:ilvl w:val="0"/>
          <w:numId w:val="4"/>
        </w:numPr>
        <w:spacing w:line="600" w:lineRule="exact"/>
        <w:ind w:firstLine="640" w:firstLineChars="200"/>
        <w:rPr>
          <w:rFonts w:hAnsi="黑体"/>
          <w:bCs/>
          <w:sz w:val="32"/>
          <w:szCs w:val="32"/>
        </w:rPr>
      </w:pPr>
      <w:r>
        <w:rPr>
          <w:rFonts w:hint="eastAsia" w:hAnsi="黑体"/>
          <w:bCs/>
          <w:sz w:val="32"/>
          <w:szCs w:val="32"/>
        </w:rPr>
        <w:t>财政拨款三公经费支出决算情况说明</w:t>
      </w:r>
    </w:p>
    <w:p>
      <w:pPr>
        <w:pStyle w:val="12"/>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万元，完成预算的100%，其中：因公出国(境)费支出预算为 0.00万元,支出决算为 0.00 万元,与本年预算数相同,与上年决算数相同。</w:t>
      </w:r>
    </w:p>
    <w:p>
      <w:pPr>
        <w:pStyle w:val="12"/>
        <w:spacing w:line="600" w:lineRule="exact"/>
        <w:ind w:firstLine="1280" w:firstLineChars="400"/>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万元,支出决算为 </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成预算的 100.00%,与本年预算数相同,与上年决算数相同。</w:t>
      </w:r>
    </w:p>
    <w:p>
      <w:pPr>
        <w:pStyle w:val="12"/>
        <w:spacing w:line="600" w:lineRule="exact"/>
        <w:ind w:firstLine="1280" w:firstLineChars="400"/>
        <w:rPr>
          <w:rFonts w:ascii="Times New Roman" w:hAnsi="Times New Roman" w:eastAsia="仿宋_GB2312"/>
          <w:sz w:val="32"/>
          <w:szCs w:val="32"/>
        </w:rPr>
      </w:pPr>
      <w:r>
        <w:rPr>
          <w:rFonts w:hint="eastAsia" w:ascii="Times New Roman" w:hAnsi="Times New Roman" w:eastAsia="仿宋_GB2312"/>
          <w:sz w:val="32"/>
          <w:szCs w:val="32"/>
        </w:rPr>
        <w:t>公务用车购置费及运行维护费支出预算为 13.00 万元,支出决算</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 13.00 万元,完成预算的 100.00%,与本年预算数相同,与上年决算数相同。</w:t>
      </w:r>
    </w:p>
    <w:p>
      <w:pPr>
        <w:pStyle w:val="12"/>
        <w:spacing w:line="600" w:lineRule="exact"/>
        <w:ind w:firstLine="1280" w:firstLineChars="40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 0.00 万元,支出决算为 0.00 万元,</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与本年预算数相同,与上年决算数相同。</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 13.00 万元,支出决算为 13.00</w:t>
      </w:r>
    </w:p>
    <w:p>
      <w:pPr>
        <w:pStyle w:val="12"/>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万元,完成预算的 100.00%,与本年预算数相同,与上年决算数相同。</w:t>
      </w:r>
    </w:p>
    <w:p>
      <w:pPr>
        <w:pStyle w:val="12"/>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%,因公出国（境）费支出决算0万元，占0%,公务用车购置费及运行维护费支出决算13万元，占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1、因公出国(境)费支出决算为 0.00 万元。</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2、公务接待费支出决算为 </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万元,全年共接待来访团组 </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3、公务用车购置费及运行维护费支出决算为 13.00 万元,其中:</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 0.00 万元,湖南月岩国家森林公园管理局更新公务用</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车 0 辆。公务用车运行维护费 13.00 万元,主要是车辆的油料费、保</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险费、维修费,截止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 xml:space="preserve"> 年 12 月 31 日,我单位开支财政拨款的公务用车保有量为 5 辆。</w:t>
      </w:r>
    </w:p>
    <w:p>
      <w:pPr>
        <w:pStyle w:val="12"/>
        <w:spacing w:line="600" w:lineRule="exact"/>
        <w:ind w:firstLine="640" w:firstLineChars="200"/>
        <w:rPr>
          <w:rFonts w:hAnsi="黑体"/>
          <w:bCs/>
          <w:sz w:val="32"/>
          <w:szCs w:val="32"/>
        </w:rPr>
      </w:pPr>
      <w:r>
        <w:rPr>
          <w:rFonts w:hint="eastAsia" w:hAnsi="黑体"/>
          <w:bCs/>
          <w:sz w:val="32"/>
          <w:szCs w:val="32"/>
        </w:rPr>
        <w:t>八、政府性基金预算收入支出决算情况</w:t>
      </w:r>
    </w:p>
    <w:p>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年度未发生政府性基金预算财政拨款收支。</w:t>
      </w:r>
    </w:p>
    <w:p>
      <w:pPr>
        <w:pStyle w:val="12"/>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243.85</w:t>
      </w:r>
      <w:r>
        <w:rPr>
          <w:rFonts w:hint="eastAsia" w:ascii="Times New Roman" w:hAnsi="Times New Roman" w:eastAsia="仿宋_GB2312"/>
          <w:sz w:val="32"/>
          <w:szCs w:val="32"/>
        </w:rPr>
        <w:t>万元，比年初预算数增加</w:t>
      </w:r>
      <w:r>
        <w:rPr>
          <w:rFonts w:hint="eastAsia" w:ascii="Times New Roman" w:hAnsi="Times New Roman" w:eastAsia="仿宋_GB2312"/>
          <w:sz w:val="32"/>
          <w:szCs w:val="32"/>
          <w:lang w:val="en-US" w:eastAsia="zh-CN"/>
        </w:rPr>
        <w:t>152.29</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%。主要原因是：增加</w:t>
      </w:r>
      <w:r>
        <w:rPr>
          <w:rFonts w:hint="eastAsia" w:ascii="Times New Roman" w:hAnsi="Times New Roman" w:eastAsia="仿宋_GB2312"/>
          <w:sz w:val="32"/>
          <w:szCs w:val="32"/>
          <w:lang w:val="en-US" w:eastAsia="zh-CN"/>
        </w:rPr>
        <w:t>运转经</w:t>
      </w:r>
      <w:r>
        <w:rPr>
          <w:rFonts w:hint="eastAsia" w:ascii="Times New Roman" w:hAnsi="Times New Roman" w:eastAsia="仿宋_GB2312"/>
          <w:sz w:val="32"/>
          <w:szCs w:val="32"/>
        </w:rPr>
        <w:t>费。</w:t>
      </w:r>
    </w:p>
    <w:p>
      <w:pPr>
        <w:pStyle w:val="12"/>
        <w:spacing w:line="600" w:lineRule="exact"/>
        <w:ind w:firstLine="640" w:firstLineChars="200"/>
        <w:rPr>
          <w:rFonts w:hAnsi="黑体"/>
          <w:bCs/>
          <w:sz w:val="32"/>
          <w:szCs w:val="32"/>
        </w:rPr>
      </w:pPr>
      <w:r>
        <w:rPr>
          <w:rFonts w:hint="eastAsia" w:hAnsi="黑体"/>
          <w:bCs/>
          <w:sz w:val="32"/>
          <w:szCs w:val="32"/>
        </w:rPr>
        <w:t>十、一般性支出情况说明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2.85</w:t>
      </w:r>
      <w:r>
        <w:rPr>
          <w:rFonts w:hint="eastAsia" w:ascii="Times New Roman" w:hAnsi="Times New Roman" w:eastAsia="仿宋_GB2312"/>
          <w:sz w:val="32"/>
          <w:szCs w:val="32"/>
        </w:rPr>
        <w:t>万元，用于森林防火会、安全生</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产会、月例会、工作经济会议,人数 4</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0 人,内容为森林防火宣传、</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巡护、安全生产落实、日常工作安排等;开支培训费</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 xml:space="preserve"> 万元,用于</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防火演练、专业技能、业务培训等培训,人数 </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50 人,内容为防火演</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练、专业技能、工作业务等培训;未举办节庆、晚会、论坛、赛事活</w:t>
      </w:r>
    </w:p>
    <w:p>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动。</w:t>
      </w:r>
    </w:p>
    <w:p>
      <w:pPr>
        <w:pStyle w:val="12"/>
        <w:spacing w:line="600" w:lineRule="exact"/>
        <w:ind w:firstLine="640" w:firstLineChars="200"/>
        <w:rPr>
          <w:rFonts w:hAnsi="黑体"/>
          <w:bCs/>
          <w:sz w:val="32"/>
          <w:szCs w:val="32"/>
        </w:rPr>
      </w:pPr>
      <w:r>
        <w:rPr>
          <w:rFonts w:hint="eastAsia" w:hAnsi="黑体"/>
          <w:bCs/>
          <w:sz w:val="32"/>
          <w:szCs w:val="32"/>
        </w:rPr>
        <w:t>十一、关于政府采购支出说明</w:t>
      </w:r>
    </w:p>
    <w:p>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166</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56</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110</w:t>
      </w:r>
      <w:r>
        <w:rPr>
          <w:rFonts w:hint="eastAsia" w:ascii="Times New Roman" w:hAnsi="Times New Roman" w:eastAsia="仿宋_GB2312"/>
          <w:sz w:val="32"/>
          <w:szCs w:val="32"/>
        </w:rPr>
        <w:t>万元、政府采购服务支出0万元。授予中小企业合同金额0万元，占政府采购支出总额的0%，其中：授予小微企业合同金额</w:t>
      </w:r>
      <w:r>
        <w:rPr>
          <w:rFonts w:hint="eastAsia" w:ascii="Times New Roman" w:hAnsi="Times New Roman" w:eastAsia="仿宋_GB2312"/>
          <w:sz w:val="32"/>
          <w:szCs w:val="32"/>
          <w:lang w:val="en-US" w:eastAsia="zh-CN"/>
        </w:rPr>
        <w:t>166</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占授予中小企业合同金额的</w:t>
      </w: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0%。货物采购授予中小企业合同金额占货物支出金额的</w:t>
      </w: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0%，工程采购授予中小企业合同金额占工程支出金额的0%，服务采购授予中小企业合同金额占服务支出金额的0%。</w:t>
      </w:r>
    </w:p>
    <w:p>
      <w:pPr>
        <w:pStyle w:val="12"/>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年12月31日，本部门共有公务用车 5 辆,其中,主要领导干部用车 2 辆、机要通信用车 0 辆、应急保障用车 0 辆、执法执勤用车 3 辆、特种专业技术用车 0 辆、其他按照规定配备的公务用车 0 辆;单位价值 50 万元以上通用设备 0 台(套),单位价值 100 万元以上专用设备 0 台(套)。</w:t>
      </w:r>
    </w:p>
    <w:p>
      <w:pPr>
        <w:pStyle w:val="12"/>
        <w:spacing w:line="580" w:lineRule="exact"/>
        <w:ind w:firstLine="640" w:firstLineChars="200"/>
        <w:rPr>
          <w:rFonts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lang w:eastAsia="zh-CN"/>
        </w:rPr>
        <w:t>2025</w:t>
      </w:r>
      <w:r>
        <w:rPr>
          <w:rFonts w:hint="eastAsia" w:hAnsi="黑体"/>
          <w:bCs/>
          <w:color w:val="auto"/>
          <w:sz w:val="32"/>
          <w:szCs w:val="32"/>
        </w:rPr>
        <w:t>年度预算绩效情况的说明</w:t>
      </w:r>
    </w:p>
    <w:p>
      <w:pPr>
        <w:pStyle w:val="12"/>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本部门预算绩效管理开展情况、绩效目标和绩效评价报告等见附</w:t>
      </w:r>
    </w:p>
    <w:p>
      <w:pPr>
        <w:pStyle w:val="12"/>
        <w:spacing w:line="580" w:lineRule="exact"/>
        <w:ind w:firstLine="640" w:firstLineChars="200"/>
        <w:rPr>
          <w:rFonts w:ascii="Times New Roman" w:hAnsi="Times New Roman" w:eastAsia="仿宋_GB2312"/>
          <w:sz w:val="32"/>
          <w:szCs w:val="32"/>
        </w:rPr>
      </w:pPr>
      <w:r>
        <w:rPr>
          <w:rFonts w:hint="eastAsia" w:ascii="楷体" w:hAnsi="楷体" w:eastAsia="楷体" w:cs="楷体"/>
          <w:b/>
          <w:bCs/>
          <w:sz w:val="32"/>
          <w:szCs w:val="32"/>
        </w:rPr>
        <w:t>件。</w:t>
      </w:r>
    </w:p>
    <w:p>
      <w:pPr>
        <w:pStyle w:val="12"/>
        <w:jc w:val="both"/>
        <w:rPr>
          <w:sz w:val="72"/>
          <w:szCs w:val="72"/>
        </w:rPr>
      </w:pPr>
    </w:p>
    <w:p>
      <w:pPr>
        <w:pStyle w:val="12"/>
        <w:jc w:val="center"/>
        <w:rPr>
          <w:sz w:val="72"/>
          <w:szCs w:val="72"/>
        </w:rPr>
      </w:pPr>
    </w:p>
    <w:p>
      <w:pPr>
        <w:pStyle w:val="12"/>
        <w:jc w:val="center"/>
        <w:rPr>
          <w:sz w:val="72"/>
          <w:szCs w:val="72"/>
        </w:rPr>
      </w:pPr>
    </w:p>
    <w:p>
      <w:pPr>
        <w:pStyle w:val="12"/>
        <w:jc w:val="both"/>
        <w:rPr>
          <w:rFonts w:ascii="方正小标宋_GBK" w:hAnsi="方正小标宋_GBK" w:eastAsia="方正小标宋_GBK" w:cs="方正小标宋_GBK"/>
          <w:sz w:val="72"/>
          <w:szCs w:val="72"/>
        </w:rPr>
      </w:pPr>
    </w:p>
    <w:p>
      <w:pPr>
        <w:pStyle w:val="12"/>
        <w:jc w:val="center"/>
        <w:rPr>
          <w:rFonts w:ascii="方正小标宋_GBK" w:hAnsi="方正小标宋_GBK" w:eastAsia="方正小标宋_GBK" w:cs="方正小标宋_GBK"/>
          <w:sz w:val="72"/>
          <w:szCs w:val="72"/>
        </w:rPr>
      </w:pPr>
    </w:p>
    <w:p>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ascii="方正小标宋_GBK" w:hAnsi="方正小标宋_GBK" w:eastAsia="方正小标宋_GBK" w:cs="方正小标宋_GBK"/>
          <w:color w:val="000000"/>
          <w:kern w:val="0"/>
          <w:sz w:val="70"/>
          <w:szCs w:val="70"/>
        </w:rPr>
      </w:pPr>
    </w:p>
    <w:p>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财政拨款收入:指单位本年度从同级财政部门取得的各类财政拨款。</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上级补助收入:指事业单位从主管部门和上级单位取得的非财政补助收入。</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对附属单位补助支出:指事业单位用财政拨款收入之外的收入对附属单位补助发生的支出。</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经营支出:指事业单位在专业业务活动及其辅助活动之外开展非独立核算经营活动发生的支出。</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上缴上级支出:指事业单位按照财政部门和主管部门的规定上缴上级单位的支出。</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项目支出:指在为完成特定的工作任务和事业发展目标所发生的支出。</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基本支出:指为保障机构正常运转、完成日常工作任务而发生的支出,包括人员经费和公用经费。</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年末结转和结余资金:指本年度或以前年度预算安排、因客观条件发生变化无法按原计划实施,需要延迟到以后年度按有关规定继续使用的资金。</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结余分配:指事业单位按规定对非财政拨款结余资金提取的专用基金、缴纳的所得税和转入非财政拨款结余等。</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年初结转和结余:指单位上年结转本年使用的基本支出结转、项目支出结转和结余和经营结余。</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使用非财政拨款结余:指事业单位使用非财政拨款结余(原事业基金)弥补当年收支差额的数额。</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其他收入:指单位取得的除上述“财政拨款收入”、“事业收入”、“经营收入”等以外的各项收入。</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附属单位上缴收入:指事业单位附属独立核算单位按照有关规定上缴的收入。</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事业收入:指事业单位开展专业业务活动及其辅助活动取得的收入,事业单位收到的财政专户实际核拨的教育收费等资金在此反映。</w:t>
      </w:r>
    </w:p>
    <w:p>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经营收入:指事业单位在专业业务活动及其辅助活动之外开展非独立核算经营活动取得的收入。</w:t>
      </w:r>
    </w:p>
    <w:p>
      <w:pPr>
        <w:rPr>
          <w:sz w:val="72"/>
          <w:szCs w:val="72"/>
        </w:rPr>
      </w:pPr>
    </w:p>
    <w:p>
      <w:pPr>
        <w:rPr>
          <w:sz w:val="72"/>
          <w:szCs w:val="72"/>
        </w:rPr>
      </w:pPr>
    </w:p>
    <w:p>
      <w:pPr>
        <w:pStyle w:val="12"/>
        <w:jc w:val="center"/>
        <w:rPr>
          <w:rFonts w:ascii="方正小标宋_GBK" w:hAnsi="方正小标宋_GBK" w:eastAsia="方正小标宋_GBK" w:cs="方正小标宋_GBK"/>
          <w:sz w:val="72"/>
          <w:szCs w:val="72"/>
        </w:rPr>
      </w:pPr>
    </w:p>
    <w:p>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pPr>
        <w:pStyle w:val="12"/>
        <w:jc w:val="center"/>
        <w:rPr>
          <w:rFonts w:ascii="方正小标宋_GBK" w:hAnsi="方正小标宋_GBK" w:eastAsia="方正小标宋_GBK" w:cs="方正小标宋_GBK"/>
          <w:sz w:val="70"/>
          <w:szCs w:val="70"/>
        </w:rPr>
      </w:pPr>
    </w:p>
    <w:p>
      <w:pPr>
        <w:pStyle w:val="12"/>
        <w:jc w:val="center"/>
        <w:rPr>
          <w:sz w:val="72"/>
          <w:szCs w:val="72"/>
        </w:rPr>
      </w:pPr>
      <w:r>
        <w:rPr>
          <w:rFonts w:hint="eastAsia" w:ascii="方正小标宋_GBK" w:hAnsi="方正小标宋_GBK" w:eastAsia="方正小标宋_GBK" w:cs="方正小标宋_GBK"/>
          <w:sz w:val="70"/>
          <w:szCs w:val="70"/>
        </w:rPr>
        <w:t>附件</w:t>
      </w:r>
    </w:p>
    <w:p>
      <w:pPr>
        <w:rPr>
          <w:sz w:val="72"/>
          <w:szCs w:val="72"/>
        </w:rPr>
      </w:pPr>
      <w:r>
        <w:rPr>
          <w:sz w:val="72"/>
          <w:szCs w:val="72"/>
        </w:rPr>
        <w:br w:type="page"/>
      </w:r>
    </w:p>
    <w:p>
      <w:pPr>
        <w:adjustRightInd w:val="0"/>
        <w:spacing w:line="560" w:lineRule="exact"/>
        <w:jc w:val="center"/>
        <w:rPr>
          <w:rFonts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年度湖南月岩国家森林公园管理局整体支出</w:t>
      </w:r>
    </w:p>
    <w:p>
      <w:pPr>
        <w:adjustRightInd w:val="0"/>
        <w:spacing w:line="560" w:lineRule="exact"/>
        <w:jc w:val="center"/>
        <w:rPr>
          <w:rFonts w:ascii="宋体" w:hAnsi="宋体" w:eastAsia="宋体" w:cs="宋体"/>
          <w:b/>
          <w:bCs/>
          <w:sz w:val="36"/>
          <w:szCs w:val="36"/>
        </w:rPr>
      </w:pPr>
      <w:r>
        <w:rPr>
          <w:rFonts w:hint="eastAsia" w:ascii="宋体" w:hAnsi="宋体" w:eastAsia="宋体" w:cs="宋体"/>
          <w:b/>
          <w:bCs/>
          <w:sz w:val="36"/>
          <w:szCs w:val="36"/>
        </w:rPr>
        <w:t>绩效评价报告</w:t>
      </w:r>
    </w:p>
    <w:p>
      <w:pPr>
        <w:tabs>
          <w:tab w:val="left" w:pos="210"/>
          <w:tab w:val="left" w:pos="420"/>
        </w:tabs>
        <w:spacing w:line="560" w:lineRule="exact"/>
        <w:ind w:firstLine="640" w:firstLineChars="200"/>
        <w:rPr>
          <w:rFonts w:ascii="仿宋" w:hAnsi="仿宋" w:eastAsia="仿宋" w:cs="仿宋"/>
          <w:bCs/>
          <w:sz w:val="32"/>
          <w:szCs w:val="32"/>
        </w:rPr>
      </w:pPr>
    </w:p>
    <w:p>
      <w:pPr>
        <w:tabs>
          <w:tab w:val="left" w:pos="210"/>
          <w:tab w:val="left" w:pos="420"/>
        </w:tabs>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根据县财政局开展整体支出绩效评价工作通知精神，我们对财政资金整体支出绩效进行了认真自评，总体自我评价是：财政资金预算配置合理合规，预算执行严格有序，预算管理规范可控，资金效益合乎预期。具体自评情况如下：</w:t>
      </w:r>
    </w:p>
    <w:p>
      <w:pPr>
        <w:adjustRightInd w:val="0"/>
        <w:snapToGrid w:val="0"/>
        <w:spacing w:line="560" w:lineRule="exact"/>
        <w:ind w:firstLine="640" w:firstLineChars="200"/>
        <w:rPr>
          <w:rFonts w:ascii="黑体" w:hAnsi="黑体" w:eastAsia="黑体" w:cs="黑体"/>
          <w:b/>
          <w:bCs/>
          <w:sz w:val="32"/>
          <w:szCs w:val="32"/>
        </w:rPr>
      </w:pPr>
      <w:r>
        <w:rPr>
          <w:rFonts w:hint="eastAsia" w:ascii="黑体" w:hAnsi="黑体" w:eastAsia="黑体" w:cs="黑体"/>
          <w:sz w:val="32"/>
          <w:szCs w:val="32"/>
        </w:rPr>
        <w:t>一、部门概况</w:t>
      </w:r>
    </w:p>
    <w:p>
      <w:pPr>
        <w:widowControl/>
        <w:spacing w:line="560" w:lineRule="exact"/>
        <w:ind w:firstLine="627" w:firstLineChars="196"/>
        <w:jc w:val="left"/>
        <w:rPr>
          <w:rFonts w:ascii="仿宋_GB2312" w:hAnsi="仿宋_GB2312" w:eastAsia="仿宋_GB2312" w:cs="仿宋_GB2312"/>
          <w:sz w:val="32"/>
          <w:szCs w:val="32"/>
        </w:rPr>
      </w:pPr>
      <w:r>
        <w:rPr>
          <w:rFonts w:hint="eastAsia" w:ascii="仿宋_GB2312" w:hAnsi="仿宋_GB2312" w:eastAsia="仿宋_GB2312" w:cs="仿宋_GB2312"/>
          <w:b/>
          <w:sz w:val="32"/>
          <w:szCs w:val="32"/>
        </w:rPr>
        <w:t>（一）职能职责</w:t>
      </w:r>
    </w:p>
    <w:p>
      <w:pPr>
        <w:tabs>
          <w:tab w:val="left" w:pos="210"/>
          <w:tab w:val="left" w:pos="420"/>
        </w:tabs>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1、保护森林风景资源和生物多样性，维护生态平衡，普及生态文化知识，开展森林生态旅游。</w:t>
      </w:r>
    </w:p>
    <w:p>
      <w:pPr>
        <w:tabs>
          <w:tab w:val="left" w:pos="1470"/>
        </w:tabs>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2、编制森林公园总体规划，森林公园建设，森林风景资源的培育、保护和利用。</w:t>
      </w:r>
    </w:p>
    <w:p>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3、野生动植物珍</w:t>
      </w:r>
      <w:r>
        <w:rPr>
          <w:rFonts w:hint="eastAsia" w:ascii="仿宋" w:hAnsi="仿宋" w:eastAsia="仿宋" w:cs="仿宋"/>
          <w:bCs/>
          <w:sz w:val="32"/>
          <w:szCs w:val="32"/>
          <w:lang w:val="en-US" w:eastAsia="zh-CN"/>
        </w:rPr>
        <w:t>稀</w:t>
      </w:r>
      <w:r>
        <w:rPr>
          <w:rFonts w:hint="eastAsia" w:ascii="仿宋" w:hAnsi="仿宋" w:eastAsia="仿宋" w:cs="仿宋"/>
          <w:bCs/>
          <w:sz w:val="32"/>
          <w:szCs w:val="32"/>
        </w:rPr>
        <w:t>物种栖息地环境监测与治理、基础数据收集分析，自然保护科学研究、宣传教育。</w:t>
      </w:r>
    </w:p>
    <w:p>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4、管理国有林场，林木生产与经营，护林防火，林业信息服务。</w:t>
      </w:r>
    </w:p>
    <w:p>
      <w:pPr>
        <w:spacing w:line="560" w:lineRule="exact"/>
        <w:ind w:firstLine="640" w:firstLineChars="200"/>
        <w:jc w:val="left"/>
        <w:rPr>
          <w:rFonts w:ascii="仿宋" w:hAnsi="仿宋" w:eastAsia="仿宋" w:cs="仿宋"/>
          <w:bCs/>
          <w:sz w:val="32"/>
          <w:szCs w:val="32"/>
        </w:rPr>
      </w:pPr>
      <w:r>
        <w:rPr>
          <w:rFonts w:hint="eastAsia" w:ascii="仿宋" w:hAnsi="仿宋" w:eastAsia="仿宋" w:cs="仿宋"/>
          <w:bCs/>
          <w:sz w:val="32"/>
          <w:szCs w:val="32"/>
        </w:rPr>
        <w:t>5、森林生态旅游及旅游产品开发。</w:t>
      </w:r>
    </w:p>
    <w:p>
      <w:pPr>
        <w:widowControl/>
        <w:spacing w:line="560" w:lineRule="exact"/>
        <w:ind w:firstLine="627" w:firstLineChars="196"/>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（二）机构设置</w:t>
      </w:r>
    </w:p>
    <w:p>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lang w:eastAsia="zh-CN"/>
        </w:rPr>
        <w:t>2025</w:t>
      </w:r>
      <w:r>
        <w:rPr>
          <w:rFonts w:hint="eastAsia" w:ascii="仿宋" w:hAnsi="仿宋" w:eastAsia="仿宋" w:cs="仿宋"/>
          <w:bCs/>
          <w:sz w:val="32"/>
          <w:szCs w:val="32"/>
        </w:rPr>
        <w:t>年部门预算编制范围包括场机关及所属分场。</w:t>
      </w:r>
    </w:p>
    <w:p>
      <w:pPr>
        <w:spacing w:line="560" w:lineRule="exact"/>
        <w:ind w:firstLine="640" w:firstLineChars="200"/>
        <w:rPr>
          <w:rFonts w:ascii="宋体" w:hAnsi="宋体" w:eastAsia="宋体" w:cs="宋体"/>
          <w:sz w:val="30"/>
          <w:szCs w:val="30"/>
        </w:rPr>
      </w:pPr>
      <w:r>
        <w:rPr>
          <w:rFonts w:hint="eastAsia" w:ascii="仿宋" w:hAnsi="仿宋" w:eastAsia="仿宋" w:cs="仿宋"/>
          <w:bCs/>
          <w:sz w:val="32"/>
          <w:szCs w:val="32"/>
        </w:rPr>
        <w:t>湖南月岩国家森林公园管理局为副处级全额拨款事业单位，下辖集材场、综检站、大江源管理站及香炉山、坦里源、黄土江、南北冲、中坪、空树岩、王家七个分场，总场内设办公室、计财科、政工人事科、经营科、项目开发科、资源管护科、保护区管理科</w:t>
      </w:r>
      <w:r>
        <w:rPr>
          <w:rFonts w:hint="eastAsia" w:ascii="仿宋" w:hAnsi="仿宋" w:eastAsia="仿宋" w:cs="仿宋"/>
          <w:bCs/>
          <w:sz w:val="32"/>
          <w:szCs w:val="32"/>
          <w:lang w:val="en-US" w:eastAsia="zh-CN"/>
        </w:rPr>
        <w:t>7</w:t>
      </w:r>
      <w:r>
        <w:rPr>
          <w:rFonts w:hint="eastAsia" w:ascii="仿宋" w:hAnsi="仿宋" w:eastAsia="仿宋" w:cs="仿宋"/>
          <w:bCs/>
          <w:sz w:val="32"/>
          <w:szCs w:val="32"/>
        </w:rPr>
        <w:t>个职能部室。事业编制</w:t>
      </w:r>
      <w:r>
        <w:rPr>
          <w:rFonts w:hint="eastAsia" w:ascii="仿宋" w:hAnsi="仿宋" w:eastAsia="仿宋" w:cs="仿宋"/>
          <w:bCs/>
          <w:sz w:val="32"/>
          <w:szCs w:val="32"/>
          <w:lang w:val="en-US" w:eastAsia="zh-CN"/>
        </w:rPr>
        <w:t>184</w:t>
      </w:r>
      <w:r>
        <w:rPr>
          <w:rFonts w:hint="eastAsia" w:ascii="仿宋" w:hAnsi="仿宋" w:eastAsia="仿宋" w:cs="仿宋"/>
          <w:bCs/>
          <w:sz w:val="32"/>
          <w:szCs w:val="32"/>
        </w:rPr>
        <w:t>人，现实有在编人数</w:t>
      </w:r>
      <w:r>
        <w:rPr>
          <w:rFonts w:hint="eastAsia" w:ascii="仿宋" w:hAnsi="仿宋" w:eastAsia="仿宋" w:cs="仿宋"/>
          <w:bCs/>
          <w:sz w:val="32"/>
          <w:szCs w:val="32"/>
          <w:lang w:val="en-US" w:eastAsia="zh-CN"/>
        </w:rPr>
        <w:t>184</w:t>
      </w:r>
      <w:r>
        <w:rPr>
          <w:rFonts w:hint="eastAsia" w:ascii="仿宋" w:hAnsi="仿宋" w:eastAsia="仿宋" w:cs="仿宋"/>
          <w:bCs/>
          <w:sz w:val="32"/>
          <w:szCs w:val="32"/>
        </w:rPr>
        <w:t>人，</w:t>
      </w:r>
      <w:r>
        <w:rPr>
          <w:rFonts w:hint="eastAsia" w:ascii="Times New Roman" w:hAnsi="Times New Roman" w:eastAsia="仿宋_GB2312" w:cs="仿宋_GB2312"/>
          <w:bCs/>
          <w:kern w:val="0"/>
          <w:sz w:val="32"/>
          <w:szCs w:val="32"/>
        </w:rPr>
        <w:t>配有19座防火运兵车1辆，防火宣传车1辆，</w:t>
      </w:r>
      <w:r>
        <w:rPr>
          <w:rFonts w:hint="eastAsia" w:ascii="Times New Roman" w:hAnsi="Times New Roman" w:eastAsia="仿宋_GB2312" w:cs="仿宋_GB2312"/>
          <w:bCs/>
          <w:kern w:val="0"/>
          <w:sz w:val="32"/>
          <w:szCs w:val="32"/>
          <w:lang w:val="en-US" w:eastAsia="zh-CN"/>
        </w:rPr>
        <w:t>1</w:t>
      </w:r>
      <w:r>
        <w:rPr>
          <w:rFonts w:hint="eastAsia" w:ascii="Times New Roman" w:hAnsi="Times New Roman" w:eastAsia="仿宋_GB2312" w:cs="仿宋_GB2312"/>
          <w:bCs/>
          <w:kern w:val="0"/>
          <w:sz w:val="32"/>
          <w:szCs w:val="32"/>
        </w:rPr>
        <w:t>辆越野车，消防</w:t>
      </w:r>
      <w:r>
        <w:rPr>
          <w:rFonts w:hint="eastAsia" w:ascii="Times New Roman" w:hAnsi="Times New Roman" w:eastAsia="仿宋_GB2312" w:cs="仿宋_GB2312"/>
          <w:bCs/>
          <w:kern w:val="0"/>
          <w:sz w:val="32"/>
          <w:szCs w:val="32"/>
          <w:lang w:val="en-US" w:eastAsia="zh-CN"/>
        </w:rPr>
        <w:t>水</w:t>
      </w:r>
      <w:r>
        <w:rPr>
          <w:rFonts w:hint="eastAsia" w:ascii="Times New Roman" w:hAnsi="Times New Roman" w:eastAsia="仿宋_GB2312" w:cs="仿宋_GB2312"/>
          <w:bCs/>
          <w:kern w:val="0"/>
          <w:sz w:val="32"/>
          <w:szCs w:val="32"/>
        </w:rPr>
        <w:t>车1台</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lang w:val="en-US" w:eastAsia="zh-CN"/>
        </w:rPr>
        <w:t>消防机具车1辆</w:t>
      </w:r>
      <w:r>
        <w:rPr>
          <w:rFonts w:hint="eastAsia" w:ascii="Times New Roman" w:hAnsi="Times New Roman" w:eastAsia="仿宋_GB2312" w:cs="仿宋_GB2312"/>
          <w:bCs/>
          <w:kern w:val="0"/>
          <w:sz w:val="32"/>
          <w:szCs w:val="32"/>
        </w:rPr>
        <w:t>。</w:t>
      </w:r>
    </w:p>
    <w:p>
      <w:pPr>
        <w:snapToGrid w:val="0"/>
        <w:spacing w:line="560" w:lineRule="exact"/>
        <w:ind w:firstLine="640" w:firstLineChars="200"/>
        <w:rPr>
          <w:rFonts w:ascii="黑体" w:hAnsi="黑体" w:eastAsia="黑体" w:cs="黑体"/>
          <w:b/>
          <w:sz w:val="32"/>
          <w:szCs w:val="32"/>
        </w:rPr>
      </w:pPr>
      <w:r>
        <w:rPr>
          <w:rFonts w:hint="eastAsia" w:ascii="黑体" w:hAnsi="黑体" w:eastAsia="黑体" w:cs="黑体"/>
          <w:b/>
          <w:sz w:val="32"/>
          <w:szCs w:val="32"/>
        </w:rPr>
        <w:t>二、收入支出预算安排情况</w:t>
      </w:r>
    </w:p>
    <w:p>
      <w:pPr>
        <w:snapToGrid w:val="0"/>
        <w:spacing w:line="560" w:lineRule="exact"/>
        <w:ind w:left="420" w:leftChars="200"/>
        <w:rPr>
          <w:rFonts w:ascii="仿宋_GB2312" w:hAnsi="仿宋" w:eastAsia="仿宋_GB2312"/>
          <w:b/>
          <w:sz w:val="32"/>
          <w:szCs w:val="32"/>
        </w:rPr>
      </w:pPr>
      <w:r>
        <w:rPr>
          <w:rFonts w:hint="eastAsia" w:ascii="仿宋_GB2312" w:hAnsi="仿宋" w:eastAsia="仿宋_GB2312"/>
          <w:b/>
          <w:sz w:val="32"/>
          <w:szCs w:val="32"/>
        </w:rPr>
        <w:t>（一）基本支出</w:t>
      </w:r>
    </w:p>
    <w:p>
      <w:pPr>
        <w:widowControl/>
        <w:spacing w:line="560" w:lineRule="exact"/>
        <w:ind w:firstLine="640" w:firstLineChars="200"/>
        <w:rPr>
          <w:rFonts w:ascii="宋体" w:hAnsi="宋体" w:eastAsia="宋体" w:cs="宋体"/>
          <w:sz w:val="30"/>
          <w:szCs w:val="30"/>
        </w:rPr>
      </w:pPr>
      <w:r>
        <w:rPr>
          <w:rFonts w:hint="eastAsia" w:ascii="仿宋" w:hAnsi="仿宋" w:eastAsia="仿宋" w:cs="仿宋"/>
          <w:bCs/>
          <w:sz w:val="32"/>
          <w:szCs w:val="32"/>
          <w:lang w:eastAsia="zh-CN"/>
        </w:rPr>
        <w:t>2025</w:t>
      </w:r>
      <w:r>
        <w:rPr>
          <w:rFonts w:hint="eastAsia" w:ascii="仿宋" w:hAnsi="仿宋" w:eastAsia="仿宋" w:cs="仿宋"/>
          <w:bCs/>
          <w:sz w:val="32"/>
          <w:szCs w:val="32"/>
        </w:rPr>
        <w:t>年度财政拨款基本支出</w:t>
      </w:r>
      <w:r>
        <w:rPr>
          <w:rFonts w:hint="eastAsia" w:ascii="仿宋" w:hAnsi="仿宋" w:eastAsia="仿宋" w:cs="仿宋"/>
          <w:bCs/>
          <w:sz w:val="32"/>
          <w:szCs w:val="32"/>
          <w:lang w:val="en-US" w:eastAsia="zh-CN"/>
        </w:rPr>
        <w:t>2557.82</w:t>
      </w:r>
      <w:r>
        <w:rPr>
          <w:rFonts w:hint="eastAsia" w:ascii="仿宋" w:hAnsi="仿宋" w:eastAsia="仿宋" w:cs="仿宋"/>
          <w:bCs/>
          <w:sz w:val="32"/>
          <w:szCs w:val="32"/>
        </w:rPr>
        <w:t>万元，其中：①人员经费</w:t>
      </w:r>
      <w:r>
        <w:rPr>
          <w:rFonts w:hint="eastAsia" w:ascii="仿宋" w:hAnsi="仿宋" w:eastAsia="仿宋" w:cs="仿宋"/>
          <w:bCs/>
          <w:sz w:val="32"/>
          <w:szCs w:val="32"/>
          <w:lang w:val="en-US" w:eastAsia="zh-CN"/>
        </w:rPr>
        <w:t>2227.99</w:t>
      </w:r>
      <w:r>
        <w:rPr>
          <w:rFonts w:hint="eastAsia" w:ascii="仿宋" w:hAnsi="仿宋" w:eastAsia="仿宋" w:cs="仿宋"/>
          <w:bCs/>
          <w:sz w:val="32"/>
          <w:szCs w:val="32"/>
        </w:rPr>
        <w:t>万元，占基本支出的</w:t>
      </w:r>
      <w:r>
        <w:rPr>
          <w:rFonts w:hint="eastAsia" w:ascii="仿宋" w:hAnsi="仿宋" w:eastAsia="仿宋" w:cs="仿宋"/>
          <w:bCs/>
          <w:sz w:val="32"/>
          <w:szCs w:val="32"/>
          <w:lang w:val="en-US" w:eastAsia="zh-CN"/>
        </w:rPr>
        <w:t>87.11</w:t>
      </w:r>
      <w:r>
        <w:rPr>
          <w:rFonts w:hint="eastAsia" w:ascii="仿宋" w:hAnsi="仿宋" w:eastAsia="仿宋" w:cs="仿宋"/>
          <w:bCs/>
          <w:sz w:val="32"/>
          <w:szCs w:val="32"/>
        </w:rPr>
        <w:t>%,主要包括基本工资</w:t>
      </w:r>
      <w:r>
        <w:rPr>
          <w:rFonts w:hint="eastAsia" w:ascii="仿宋" w:hAnsi="仿宋" w:eastAsia="仿宋" w:cs="仿宋"/>
          <w:bCs/>
          <w:sz w:val="32"/>
          <w:szCs w:val="32"/>
          <w:lang w:val="en-US" w:eastAsia="zh-CN"/>
        </w:rPr>
        <w:t>924.43</w:t>
      </w:r>
      <w:r>
        <w:rPr>
          <w:rFonts w:hint="eastAsia" w:ascii="仿宋" w:hAnsi="仿宋" w:eastAsia="仿宋" w:cs="仿宋"/>
          <w:bCs/>
          <w:sz w:val="32"/>
          <w:szCs w:val="32"/>
        </w:rPr>
        <w:t>万元、津贴补贴</w:t>
      </w:r>
      <w:r>
        <w:rPr>
          <w:rFonts w:hint="eastAsia" w:ascii="仿宋" w:hAnsi="仿宋" w:eastAsia="仿宋" w:cs="仿宋"/>
          <w:bCs/>
          <w:sz w:val="32"/>
          <w:szCs w:val="32"/>
          <w:lang w:val="en-US" w:eastAsia="zh-CN"/>
        </w:rPr>
        <w:t>135.64</w:t>
      </w:r>
      <w:r>
        <w:rPr>
          <w:rFonts w:hint="eastAsia" w:ascii="仿宋" w:hAnsi="仿宋" w:eastAsia="仿宋" w:cs="仿宋"/>
          <w:bCs/>
          <w:sz w:val="32"/>
          <w:szCs w:val="32"/>
        </w:rPr>
        <w:t>万元、奖金</w:t>
      </w:r>
      <w:r>
        <w:rPr>
          <w:rFonts w:hint="eastAsia" w:ascii="仿宋" w:hAnsi="仿宋" w:eastAsia="仿宋" w:cs="仿宋"/>
          <w:bCs/>
          <w:sz w:val="32"/>
          <w:szCs w:val="32"/>
          <w:lang w:val="en-US" w:eastAsia="zh-CN"/>
        </w:rPr>
        <w:t>313.08</w:t>
      </w:r>
      <w:r>
        <w:rPr>
          <w:rFonts w:hint="eastAsia" w:ascii="仿宋" w:hAnsi="仿宋" w:eastAsia="仿宋" w:cs="仿宋"/>
          <w:bCs/>
          <w:sz w:val="32"/>
          <w:szCs w:val="32"/>
        </w:rPr>
        <w:t>万元、绩效工资</w:t>
      </w:r>
      <w:r>
        <w:rPr>
          <w:rFonts w:hint="eastAsia" w:ascii="仿宋" w:hAnsi="仿宋" w:eastAsia="仿宋" w:cs="仿宋"/>
          <w:bCs/>
          <w:sz w:val="32"/>
          <w:szCs w:val="32"/>
          <w:lang w:val="en-US" w:eastAsia="zh-CN"/>
        </w:rPr>
        <w:t>131.89</w:t>
      </w:r>
      <w:r>
        <w:rPr>
          <w:rFonts w:hint="eastAsia" w:ascii="仿宋" w:hAnsi="仿宋" w:eastAsia="仿宋" w:cs="仿宋"/>
          <w:bCs/>
          <w:sz w:val="32"/>
          <w:szCs w:val="32"/>
        </w:rPr>
        <w:t>万元、机关事业单位基本养老保险费</w:t>
      </w:r>
      <w:r>
        <w:rPr>
          <w:rFonts w:hint="eastAsia" w:ascii="仿宋" w:hAnsi="仿宋" w:eastAsia="仿宋" w:cs="仿宋"/>
          <w:bCs/>
          <w:sz w:val="32"/>
          <w:szCs w:val="32"/>
          <w:lang w:val="en-US" w:eastAsia="zh-CN"/>
        </w:rPr>
        <w:t>319.64</w:t>
      </w:r>
      <w:r>
        <w:rPr>
          <w:rFonts w:hint="eastAsia" w:ascii="仿宋" w:hAnsi="仿宋" w:eastAsia="仿宋" w:cs="仿宋"/>
          <w:bCs/>
          <w:sz w:val="32"/>
          <w:szCs w:val="32"/>
        </w:rPr>
        <w:t>万元、职工基本医疗保险缴费</w:t>
      </w:r>
      <w:r>
        <w:rPr>
          <w:rFonts w:hint="eastAsia" w:ascii="仿宋" w:hAnsi="仿宋" w:eastAsia="仿宋" w:cs="仿宋"/>
          <w:bCs/>
          <w:sz w:val="32"/>
          <w:szCs w:val="32"/>
          <w:lang w:val="en-US" w:eastAsia="zh-CN"/>
        </w:rPr>
        <w:t>167.17</w:t>
      </w:r>
      <w:r>
        <w:rPr>
          <w:rFonts w:hint="eastAsia" w:ascii="仿宋" w:hAnsi="仿宋" w:eastAsia="仿宋" w:cs="仿宋"/>
          <w:bCs/>
          <w:sz w:val="32"/>
          <w:szCs w:val="32"/>
        </w:rPr>
        <w:t>万元、职业年金</w:t>
      </w:r>
      <w:r>
        <w:rPr>
          <w:rFonts w:hint="eastAsia" w:ascii="仿宋" w:hAnsi="仿宋" w:eastAsia="仿宋" w:cs="仿宋"/>
          <w:bCs/>
          <w:sz w:val="32"/>
          <w:szCs w:val="32"/>
          <w:lang w:val="en-US" w:eastAsia="zh-CN"/>
        </w:rPr>
        <w:t>53.09</w:t>
      </w:r>
      <w:r>
        <w:rPr>
          <w:rFonts w:hint="eastAsia" w:ascii="仿宋" w:hAnsi="仿宋" w:eastAsia="仿宋" w:cs="仿宋"/>
          <w:bCs/>
          <w:sz w:val="32"/>
          <w:szCs w:val="32"/>
        </w:rPr>
        <w:t>万元，其他保险费</w:t>
      </w:r>
      <w:r>
        <w:rPr>
          <w:rFonts w:hint="eastAsia" w:ascii="仿宋" w:hAnsi="仿宋" w:eastAsia="仿宋" w:cs="仿宋"/>
          <w:bCs/>
          <w:sz w:val="32"/>
          <w:szCs w:val="32"/>
          <w:lang w:val="en-US" w:eastAsia="zh-CN"/>
        </w:rPr>
        <w:t>14.09</w:t>
      </w:r>
      <w:r>
        <w:rPr>
          <w:rFonts w:hint="eastAsia" w:ascii="仿宋" w:hAnsi="仿宋" w:eastAsia="仿宋" w:cs="仿宋"/>
          <w:bCs/>
          <w:sz w:val="32"/>
          <w:szCs w:val="32"/>
        </w:rPr>
        <w:t>万元</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住房公积金143.41万元</w:t>
      </w:r>
      <w:r>
        <w:rPr>
          <w:rFonts w:hint="eastAsia" w:ascii="仿宋" w:hAnsi="仿宋" w:eastAsia="仿宋" w:cs="仿宋"/>
          <w:bCs/>
          <w:sz w:val="32"/>
          <w:szCs w:val="32"/>
        </w:rPr>
        <w:t>；②公用经费</w:t>
      </w:r>
      <w:r>
        <w:rPr>
          <w:rFonts w:hint="eastAsia" w:ascii="仿宋" w:hAnsi="仿宋" w:eastAsia="仿宋" w:cs="仿宋"/>
          <w:bCs/>
          <w:sz w:val="32"/>
          <w:szCs w:val="32"/>
          <w:lang w:val="en-US" w:eastAsia="zh-CN"/>
        </w:rPr>
        <w:t>243.85</w:t>
      </w:r>
      <w:r>
        <w:rPr>
          <w:rFonts w:hint="eastAsia" w:ascii="仿宋" w:hAnsi="仿宋" w:eastAsia="仿宋" w:cs="仿宋"/>
          <w:bCs/>
          <w:sz w:val="32"/>
          <w:szCs w:val="32"/>
        </w:rPr>
        <w:t>万元，占基本支出的</w:t>
      </w:r>
      <w:r>
        <w:rPr>
          <w:rFonts w:hint="eastAsia" w:ascii="仿宋" w:hAnsi="仿宋" w:eastAsia="仿宋" w:cs="仿宋"/>
          <w:bCs/>
          <w:sz w:val="32"/>
          <w:szCs w:val="32"/>
          <w:lang w:val="en-US" w:eastAsia="zh-CN"/>
        </w:rPr>
        <w:t>9.53</w:t>
      </w:r>
      <w:r>
        <w:rPr>
          <w:rFonts w:hint="eastAsia" w:ascii="仿宋" w:hAnsi="仿宋" w:eastAsia="仿宋" w:cs="仿宋"/>
          <w:bCs/>
          <w:sz w:val="32"/>
          <w:szCs w:val="32"/>
        </w:rPr>
        <w:t>%，主要包括办公费</w:t>
      </w:r>
      <w:r>
        <w:rPr>
          <w:rFonts w:hint="eastAsia" w:ascii="仿宋" w:hAnsi="仿宋" w:eastAsia="仿宋" w:cs="仿宋"/>
          <w:bCs/>
          <w:sz w:val="32"/>
          <w:szCs w:val="32"/>
          <w:lang w:val="en-US" w:eastAsia="zh-CN"/>
        </w:rPr>
        <w:t>9.24</w:t>
      </w:r>
      <w:r>
        <w:rPr>
          <w:rFonts w:hint="eastAsia" w:ascii="仿宋" w:hAnsi="仿宋" w:eastAsia="仿宋" w:cs="仿宋"/>
          <w:bCs/>
          <w:sz w:val="32"/>
          <w:szCs w:val="32"/>
        </w:rPr>
        <w:t>万元、印刷费</w:t>
      </w:r>
      <w:r>
        <w:rPr>
          <w:rFonts w:hint="eastAsia" w:ascii="仿宋" w:hAnsi="仿宋" w:eastAsia="仿宋" w:cs="仿宋"/>
          <w:bCs/>
          <w:sz w:val="32"/>
          <w:szCs w:val="32"/>
          <w:lang w:val="en-US" w:eastAsia="zh-CN"/>
        </w:rPr>
        <w:t>5.82</w:t>
      </w:r>
      <w:r>
        <w:rPr>
          <w:rFonts w:hint="eastAsia" w:ascii="仿宋" w:hAnsi="仿宋" w:eastAsia="仿宋" w:cs="仿宋"/>
          <w:bCs/>
          <w:sz w:val="32"/>
          <w:szCs w:val="32"/>
        </w:rPr>
        <w:t>万元、电费</w:t>
      </w:r>
      <w:r>
        <w:rPr>
          <w:rFonts w:hint="eastAsia" w:ascii="仿宋" w:hAnsi="仿宋" w:eastAsia="仿宋" w:cs="仿宋"/>
          <w:bCs/>
          <w:sz w:val="32"/>
          <w:szCs w:val="32"/>
          <w:lang w:val="en-US" w:eastAsia="zh-CN"/>
        </w:rPr>
        <w:t>9.45</w:t>
      </w:r>
      <w:r>
        <w:rPr>
          <w:rFonts w:hint="eastAsia" w:ascii="仿宋" w:hAnsi="仿宋" w:eastAsia="仿宋" w:cs="仿宋"/>
          <w:bCs/>
          <w:sz w:val="32"/>
          <w:szCs w:val="32"/>
        </w:rPr>
        <w:t>万元、邮电费</w:t>
      </w:r>
      <w:r>
        <w:rPr>
          <w:rFonts w:hint="eastAsia" w:ascii="仿宋" w:hAnsi="仿宋" w:eastAsia="仿宋" w:cs="仿宋"/>
          <w:bCs/>
          <w:sz w:val="32"/>
          <w:szCs w:val="32"/>
          <w:lang w:val="en-US" w:eastAsia="zh-CN"/>
        </w:rPr>
        <w:t>2.78</w:t>
      </w:r>
      <w:r>
        <w:rPr>
          <w:rFonts w:hint="eastAsia" w:ascii="仿宋" w:hAnsi="仿宋" w:eastAsia="仿宋" w:cs="仿宋"/>
          <w:bCs/>
          <w:sz w:val="32"/>
          <w:szCs w:val="32"/>
        </w:rPr>
        <w:t>万元、差旅费</w:t>
      </w:r>
      <w:r>
        <w:rPr>
          <w:rFonts w:hint="eastAsia" w:ascii="仿宋" w:hAnsi="仿宋" w:eastAsia="仿宋" w:cs="仿宋"/>
          <w:bCs/>
          <w:sz w:val="32"/>
          <w:szCs w:val="32"/>
          <w:lang w:val="en-US" w:eastAsia="zh-CN"/>
        </w:rPr>
        <w:t>4.47</w:t>
      </w:r>
      <w:r>
        <w:rPr>
          <w:rFonts w:hint="eastAsia" w:ascii="仿宋" w:hAnsi="仿宋" w:eastAsia="仿宋" w:cs="仿宋"/>
          <w:bCs/>
          <w:sz w:val="32"/>
          <w:szCs w:val="32"/>
        </w:rPr>
        <w:t>万元、维修费</w:t>
      </w:r>
      <w:r>
        <w:rPr>
          <w:rFonts w:hint="eastAsia" w:ascii="仿宋" w:hAnsi="仿宋" w:eastAsia="仿宋" w:cs="仿宋"/>
          <w:bCs/>
          <w:sz w:val="32"/>
          <w:szCs w:val="32"/>
          <w:lang w:val="en-US" w:eastAsia="zh-CN"/>
        </w:rPr>
        <w:t>3.61</w:t>
      </w:r>
      <w:r>
        <w:rPr>
          <w:rFonts w:hint="eastAsia" w:ascii="仿宋" w:hAnsi="仿宋" w:eastAsia="仿宋" w:cs="仿宋"/>
          <w:bCs/>
          <w:sz w:val="32"/>
          <w:szCs w:val="32"/>
        </w:rPr>
        <w:t>万元、会议费</w:t>
      </w:r>
      <w:r>
        <w:rPr>
          <w:rFonts w:hint="eastAsia" w:ascii="仿宋" w:hAnsi="仿宋" w:eastAsia="仿宋" w:cs="仿宋"/>
          <w:bCs/>
          <w:sz w:val="32"/>
          <w:szCs w:val="32"/>
          <w:lang w:val="en-US" w:eastAsia="zh-CN"/>
        </w:rPr>
        <w:t>2.85</w:t>
      </w:r>
      <w:r>
        <w:rPr>
          <w:rFonts w:hint="eastAsia" w:ascii="仿宋" w:hAnsi="仿宋" w:eastAsia="仿宋" w:cs="仿宋"/>
          <w:bCs/>
          <w:sz w:val="32"/>
          <w:szCs w:val="32"/>
        </w:rPr>
        <w:t>万元、培训费</w:t>
      </w:r>
      <w:r>
        <w:rPr>
          <w:rFonts w:hint="eastAsia" w:ascii="仿宋" w:hAnsi="仿宋" w:eastAsia="仿宋" w:cs="仿宋"/>
          <w:bCs/>
          <w:sz w:val="32"/>
          <w:szCs w:val="32"/>
          <w:lang w:val="en-US" w:eastAsia="zh-CN"/>
        </w:rPr>
        <w:t>6</w:t>
      </w:r>
      <w:r>
        <w:rPr>
          <w:rFonts w:hint="eastAsia" w:ascii="仿宋" w:hAnsi="仿宋" w:eastAsia="仿宋" w:cs="仿宋"/>
          <w:bCs/>
          <w:sz w:val="32"/>
          <w:szCs w:val="32"/>
        </w:rPr>
        <w:t>万元、劳务费</w:t>
      </w:r>
      <w:r>
        <w:rPr>
          <w:rFonts w:hint="eastAsia" w:ascii="仿宋" w:hAnsi="仿宋" w:eastAsia="仿宋" w:cs="仿宋"/>
          <w:bCs/>
          <w:sz w:val="32"/>
          <w:szCs w:val="32"/>
          <w:lang w:val="en-US" w:eastAsia="zh-CN"/>
        </w:rPr>
        <w:t>32.39</w:t>
      </w:r>
      <w:r>
        <w:rPr>
          <w:rFonts w:hint="eastAsia" w:ascii="仿宋" w:hAnsi="仿宋" w:eastAsia="仿宋" w:cs="仿宋"/>
          <w:bCs/>
          <w:sz w:val="32"/>
          <w:szCs w:val="32"/>
        </w:rPr>
        <w:t>万元、</w:t>
      </w:r>
      <w:r>
        <w:rPr>
          <w:rFonts w:hint="eastAsia" w:ascii="仿宋" w:hAnsi="仿宋" w:eastAsia="仿宋" w:cs="仿宋"/>
          <w:bCs/>
          <w:sz w:val="32"/>
          <w:szCs w:val="32"/>
          <w:lang w:val="en-US" w:eastAsia="zh-CN"/>
        </w:rPr>
        <w:t>委托业务费0.34万元、</w:t>
      </w:r>
      <w:r>
        <w:rPr>
          <w:rFonts w:hint="eastAsia" w:ascii="仿宋" w:hAnsi="仿宋" w:eastAsia="仿宋" w:cs="仿宋"/>
          <w:bCs/>
          <w:sz w:val="32"/>
          <w:szCs w:val="32"/>
        </w:rPr>
        <w:t>工会经费</w:t>
      </w:r>
      <w:r>
        <w:rPr>
          <w:rFonts w:hint="eastAsia" w:ascii="仿宋" w:hAnsi="仿宋" w:eastAsia="仿宋" w:cs="仿宋"/>
          <w:bCs/>
          <w:sz w:val="32"/>
          <w:szCs w:val="32"/>
          <w:lang w:val="en-US" w:eastAsia="zh-CN"/>
        </w:rPr>
        <w:t>47.55</w:t>
      </w:r>
      <w:r>
        <w:rPr>
          <w:rFonts w:hint="eastAsia" w:ascii="仿宋" w:hAnsi="仿宋" w:eastAsia="仿宋" w:cs="仿宋"/>
          <w:bCs/>
          <w:sz w:val="32"/>
          <w:szCs w:val="32"/>
        </w:rPr>
        <w:t>万元、福利费</w:t>
      </w:r>
      <w:r>
        <w:rPr>
          <w:rFonts w:hint="eastAsia" w:ascii="仿宋" w:hAnsi="仿宋" w:eastAsia="仿宋" w:cs="仿宋"/>
          <w:bCs/>
          <w:sz w:val="32"/>
          <w:szCs w:val="32"/>
          <w:lang w:val="en-US" w:eastAsia="zh-CN"/>
        </w:rPr>
        <w:t>36.2</w:t>
      </w:r>
      <w:r>
        <w:rPr>
          <w:rFonts w:hint="eastAsia" w:ascii="仿宋" w:hAnsi="仿宋" w:eastAsia="仿宋" w:cs="仿宋"/>
          <w:bCs/>
          <w:sz w:val="32"/>
          <w:szCs w:val="32"/>
        </w:rPr>
        <w:t>万元、公务用车运行维护费1</w:t>
      </w:r>
      <w:r>
        <w:rPr>
          <w:rFonts w:hint="eastAsia" w:ascii="仿宋" w:hAnsi="仿宋" w:eastAsia="仿宋" w:cs="仿宋"/>
          <w:bCs/>
          <w:sz w:val="32"/>
          <w:szCs w:val="32"/>
          <w:lang w:val="en-US" w:eastAsia="zh-CN"/>
        </w:rPr>
        <w:t>3</w:t>
      </w:r>
      <w:r>
        <w:rPr>
          <w:rFonts w:hint="eastAsia" w:ascii="仿宋" w:hAnsi="仿宋" w:eastAsia="仿宋" w:cs="仿宋"/>
          <w:bCs/>
          <w:sz w:val="32"/>
          <w:szCs w:val="32"/>
        </w:rPr>
        <w:t>万元、其他交通费用</w:t>
      </w:r>
      <w:r>
        <w:rPr>
          <w:rFonts w:hint="eastAsia" w:ascii="仿宋" w:hAnsi="仿宋" w:eastAsia="仿宋" w:cs="仿宋"/>
          <w:bCs/>
          <w:sz w:val="32"/>
          <w:szCs w:val="32"/>
          <w:lang w:val="en-US" w:eastAsia="zh-CN"/>
        </w:rPr>
        <w:t>10.44</w:t>
      </w:r>
      <w:r>
        <w:rPr>
          <w:rFonts w:hint="eastAsia" w:ascii="仿宋" w:hAnsi="仿宋" w:eastAsia="仿宋" w:cs="仿宋"/>
          <w:bCs/>
          <w:sz w:val="32"/>
          <w:szCs w:val="32"/>
        </w:rPr>
        <w:t>万元，</w:t>
      </w:r>
      <w:r>
        <w:rPr>
          <w:rFonts w:hint="eastAsia" w:ascii="仿宋" w:hAnsi="仿宋" w:eastAsia="仿宋" w:cs="仿宋"/>
          <w:bCs/>
          <w:sz w:val="32"/>
          <w:szCs w:val="32"/>
          <w:lang w:val="en-US" w:eastAsia="zh-CN"/>
        </w:rPr>
        <w:t>其他商品和服务支出59.71</w:t>
      </w:r>
      <w:r>
        <w:rPr>
          <w:rFonts w:hint="eastAsia" w:ascii="仿宋" w:hAnsi="仿宋" w:eastAsia="仿宋" w:cs="仿宋"/>
          <w:bCs/>
          <w:sz w:val="32"/>
          <w:szCs w:val="32"/>
        </w:rPr>
        <w:t>万元；</w:t>
      </w:r>
      <w:r>
        <w:rPr>
          <w:rFonts w:ascii="Calibri" w:hAnsi="Calibri" w:eastAsia="仿宋" w:cs="Calibri"/>
          <w:bCs/>
          <w:sz w:val="32"/>
          <w:szCs w:val="32"/>
        </w:rPr>
        <w:t>③</w:t>
      </w:r>
      <w:r>
        <w:rPr>
          <w:rFonts w:hint="eastAsia" w:ascii="仿宋" w:hAnsi="仿宋" w:eastAsia="仿宋" w:cs="仿宋"/>
          <w:bCs/>
          <w:sz w:val="32"/>
          <w:szCs w:val="32"/>
        </w:rPr>
        <w:t>对个人和家庭补助</w:t>
      </w:r>
      <w:r>
        <w:rPr>
          <w:rFonts w:hint="eastAsia" w:ascii="仿宋" w:hAnsi="仿宋" w:eastAsia="仿宋" w:cs="仿宋"/>
          <w:bCs/>
          <w:sz w:val="32"/>
          <w:szCs w:val="32"/>
          <w:lang w:val="en-US" w:eastAsia="zh-CN"/>
        </w:rPr>
        <w:t>85.99万元</w:t>
      </w:r>
      <w:r>
        <w:rPr>
          <w:rFonts w:hint="eastAsia" w:ascii="仿宋" w:hAnsi="仿宋" w:eastAsia="仿宋" w:cs="仿宋"/>
          <w:bCs/>
          <w:sz w:val="32"/>
          <w:szCs w:val="32"/>
        </w:rPr>
        <w:t>，占基本支出的</w:t>
      </w:r>
      <w:r>
        <w:rPr>
          <w:rFonts w:hint="eastAsia" w:ascii="仿宋" w:hAnsi="仿宋" w:eastAsia="仿宋" w:cs="仿宋"/>
          <w:bCs/>
          <w:sz w:val="32"/>
          <w:szCs w:val="32"/>
          <w:lang w:val="en-US" w:eastAsia="zh-CN"/>
        </w:rPr>
        <w:t>3.36</w:t>
      </w:r>
      <w:r>
        <w:rPr>
          <w:rFonts w:hint="eastAsia" w:ascii="仿宋" w:hAnsi="仿宋" w:eastAsia="仿宋" w:cs="仿宋"/>
          <w:bCs/>
          <w:sz w:val="32"/>
          <w:szCs w:val="32"/>
        </w:rPr>
        <w:t>%，主要包括抚恤金</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生活费51.99</w:t>
      </w:r>
      <w:r>
        <w:rPr>
          <w:rFonts w:hint="eastAsia" w:ascii="仿宋" w:hAnsi="仿宋" w:eastAsia="仿宋" w:cs="仿宋"/>
          <w:bCs/>
          <w:sz w:val="32"/>
          <w:szCs w:val="32"/>
        </w:rPr>
        <w:t>万元。</w:t>
      </w:r>
    </w:p>
    <w:p>
      <w:pPr>
        <w:pStyle w:val="12"/>
        <w:numPr>
          <w:ilvl w:val="0"/>
          <w:numId w:val="6"/>
        </w:numPr>
        <w:spacing w:line="560" w:lineRule="exact"/>
        <w:ind w:firstLine="640" w:firstLineChars="200"/>
        <w:rPr>
          <w:rFonts w:ascii="仿宋" w:hAnsi="仿宋" w:eastAsia="仿宋" w:cs="仿宋"/>
          <w:b/>
          <w:color w:val="auto"/>
          <w:kern w:val="2"/>
          <w:sz w:val="32"/>
          <w:szCs w:val="32"/>
        </w:rPr>
      </w:pPr>
      <w:r>
        <w:rPr>
          <w:rFonts w:hint="eastAsia" w:ascii="仿宋" w:hAnsi="仿宋" w:eastAsia="仿宋" w:cs="仿宋"/>
          <w:b/>
          <w:color w:val="auto"/>
          <w:kern w:val="2"/>
          <w:sz w:val="32"/>
          <w:szCs w:val="32"/>
        </w:rPr>
        <w:t>项目支出情况</w:t>
      </w:r>
    </w:p>
    <w:p>
      <w:pPr>
        <w:pStyle w:val="13"/>
        <w:spacing w:line="560" w:lineRule="exact"/>
        <w:ind w:firstLine="0" w:firstLineChars="0"/>
        <w:rPr>
          <w:rFonts w:ascii="仿宋" w:hAnsi="仿宋" w:eastAsia="仿宋" w:cs="仿宋"/>
          <w:bCs/>
          <w:sz w:val="32"/>
          <w:szCs w:val="32"/>
        </w:rPr>
      </w:pPr>
      <w:r>
        <w:rPr>
          <w:rFonts w:hint="eastAsia" w:ascii="仿宋" w:hAnsi="仿宋" w:eastAsia="仿宋" w:cs="仿宋"/>
          <w:bCs/>
          <w:sz w:val="32"/>
          <w:szCs w:val="32"/>
        </w:rPr>
        <w:t xml:space="preserve">    项目支出</w:t>
      </w:r>
      <w:r>
        <w:rPr>
          <w:rFonts w:hint="eastAsia" w:ascii="仿宋" w:hAnsi="仿宋" w:eastAsia="仿宋" w:cs="仿宋"/>
          <w:bCs/>
          <w:sz w:val="32"/>
          <w:szCs w:val="32"/>
          <w:lang w:val="en-US" w:eastAsia="zh-CN"/>
        </w:rPr>
        <w:t>459.89</w:t>
      </w:r>
      <w:r>
        <w:rPr>
          <w:rFonts w:hint="eastAsia" w:ascii="仿宋" w:hAnsi="仿宋" w:eastAsia="仿宋" w:cs="仿宋"/>
          <w:bCs/>
          <w:sz w:val="32"/>
          <w:szCs w:val="32"/>
        </w:rPr>
        <w:t>万元:</w:t>
      </w:r>
      <w:r>
        <w:rPr>
          <w:rFonts w:hint="eastAsia" w:ascii="仿宋" w:hAnsi="仿宋" w:eastAsia="仿宋" w:cs="仿宋"/>
          <w:bCs/>
          <w:sz w:val="32"/>
          <w:szCs w:val="32"/>
          <w:lang w:val="en-US" w:eastAsia="zh-CN"/>
        </w:rPr>
        <w:t>管护用房建设45</w:t>
      </w:r>
      <w:r>
        <w:rPr>
          <w:rFonts w:hint="eastAsia" w:ascii="仿宋" w:hAnsi="仿宋" w:eastAsia="仿宋" w:cs="仿宋"/>
          <w:bCs/>
          <w:sz w:val="32"/>
          <w:szCs w:val="32"/>
        </w:rPr>
        <w:t>万元,</w:t>
      </w:r>
      <w:r>
        <w:rPr>
          <w:rFonts w:hint="eastAsia" w:ascii="仿宋" w:hAnsi="仿宋" w:eastAsia="仿宋" w:cs="仿宋"/>
          <w:bCs/>
          <w:sz w:val="32"/>
          <w:szCs w:val="32"/>
          <w:lang w:val="en-US" w:eastAsia="zh-CN"/>
        </w:rPr>
        <w:t>生态公益林</w:t>
      </w:r>
      <w:r>
        <w:rPr>
          <w:rFonts w:hint="eastAsia" w:ascii="仿宋" w:hAnsi="仿宋" w:eastAsia="仿宋" w:cs="仿宋"/>
          <w:bCs/>
          <w:sz w:val="32"/>
          <w:szCs w:val="32"/>
        </w:rPr>
        <w:t>管护补助</w:t>
      </w:r>
      <w:r>
        <w:rPr>
          <w:rFonts w:hint="eastAsia" w:ascii="仿宋" w:hAnsi="仿宋" w:eastAsia="仿宋" w:cs="仿宋"/>
          <w:bCs/>
          <w:sz w:val="32"/>
          <w:szCs w:val="32"/>
          <w:lang w:val="en-US" w:eastAsia="zh-CN"/>
        </w:rPr>
        <w:t>180.6</w:t>
      </w:r>
      <w:r>
        <w:rPr>
          <w:rFonts w:hint="eastAsia" w:ascii="仿宋" w:hAnsi="仿宋" w:eastAsia="仿宋" w:cs="仿宋"/>
          <w:bCs/>
          <w:sz w:val="32"/>
          <w:szCs w:val="32"/>
        </w:rPr>
        <w:t>万元,消防人员工资、保防及工作经费</w:t>
      </w:r>
      <w:r>
        <w:rPr>
          <w:rFonts w:hint="eastAsia" w:ascii="仿宋" w:hAnsi="仿宋" w:eastAsia="仿宋" w:cs="仿宋"/>
          <w:bCs/>
          <w:sz w:val="32"/>
          <w:szCs w:val="32"/>
          <w:lang w:val="en-US" w:eastAsia="zh-CN"/>
        </w:rPr>
        <w:t>234.29</w:t>
      </w:r>
      <w:r>
        <w:rPr>
          <w:rFonts w:hint="eastAsia" w:ascii="仿宋" w:hAnsi="仿宋" w:eastAsia="仿宋" w:cs="仿宋"/>
          <w:bCs/>
          <w:sz w:val="32"/>
          <w:szCs w:val="32"/>
        </w:rPr>
        <w:t>万元。</w:t>
      </w:r>
    </w:p>
    <w:p>
      <w:pPr>
        <w:pStyle w:val="13"/>
        <w:widowControl/>
        <w:spacing w:line="560" w:lineRule="exact"/>
        <w:ind w:left="640" w:firstLine="0" w:firstLineChars="0"/>
        <w:jc w:val="left"/>
        <w:rPr>
          <w:rFonts w:ascii="Times New Roman" w:hAnsi="Times New Roman" w:eastAsia="黑体"/>
          <w:sz w:val="32"/>
          <w:szCs w:val="32"/>
        </w:rPr>
      </w:pPr>
      <w:r>
        <w:rPr>
          <w:rFonts w:hint="eastAsia" w:ascii="Times New Roman" w:hAnsi="Times New Roman" w:eastAsia="黑体"/>
          <w:sz w:val="32"/>
          <w:szCs w:val="32"/>
        </w:rPr>
        <w:t>三、</w:t>
      </w:r>
      <w:r>
        <w:rPr>
          <w:rFonts w:ascii="Times New Roman" w:hAnsi="Times New Roman" w:eastAsia="黑体"/>
          <w:sz w:val="32"/>
          <w:szCs w:val="32"/>
        </w:rPr>
        <w:t>政府性基金预算支出情况</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本单位无政府性基金预算支出。</w:t>
      </w:r>
    </w:p>
    <w:p>
      <w:pPr>
        <w:pStyle w:val="13"/>
        <w:widowControl/>
        <w:spacing w:line="560" w:lineRule="exact"/>
        <w:ind w:left="640" w:firstLine="0" w:firstLineChars="0"/>
        <w:jc w:val="left"/>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国有资本经营预算支出情况</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本单位无国有资本经营预算支出。</w:t>
      </w:r>
    </w:p>
    <w:p>
      <w:pPr>
        <w:pStyle w:val="13"/>
        <w:widowControl/>
        <w:spacing w:line="560" w:lineRule="exact"/>
        <w:ind w:left="640" w:firstLine="0" w:firstLineChars="0"/>
        <w:jc w:val="left"/>
        <w:rPr>
          <w:rFonts w:ascii="Times New Roman" w:hAnsi="Times New Roman" w:eastAsia="黑体"/>
          <w:sz w:val="32"/>
          <w:szCs w:val="32"/>
        </w:rPr>
      </w:pPr>
      <w:r>
        <w:rPr>
          <w:rFonts w:hint="eastAsia" w:ascii="Times New Roman" w:hAnsi="Times New Roman" w:eastAsia="黑体"/>
          <w:sz w:val="32"/>
          <w:szCs w:val="32"/>
        </w:rPr>
        <w:t>五、</w:t>
      </w:r>
      <w:r>
        <w:rPr>
          <w:rFonts w:ascii="Times New Roman" w:hAnsi="Times New Roman" w:eastAsia="黑体"/>
          <w:sz w:val="32"/>
          <w:szCs w:val="32"/>
        </w:rPr>
        <w:t>社会保险基金预算支出情况</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本单位</w:t>
      </w:r>
      <w:r>
        <w:rPr>
          <w:rFonts w:hint="eastAsia" w:ascii="仿宋" w:hAnsi="仿宋" w:eastAsia="仿宋" w:cs="仿宋"/>
          <w:bCs/>
          <w:sz w:val="32"/>
          <w:szCs w:val="32"/>
          <w:lang w:eastAsia="zh-CN"/>
        </w:rPr>
        <w:t>2025</w:t>
      </w:r>
      <w:r>
        <w:rPr>
          <w:rFonts w:hint="eastAsia" w:ascii="仿宋" w:hAnsi="仿宋" w:eastAsia="仿宋" w:cs="仿宋"/>
          <w:bCs/>
          <w:sz w:val="32"/>
          <w:szCs w:val="32"/>
        </w:rPr>
        <w:t>年年初预算列一般公共预算支出为机关事业单位基本养老保险费</w:t>
      </w:r>
      <w:r>
        <w:rPr>
          <w:rFonts w:hint="eastAsia" w:ascii="仿宋" w:hAnsi="仿宋" w:eastAsia="仿宋" w:cs="仿宋"/>
          <w:bCs/>
          <w:sz w:val="32"/>
          <w:szCs w:val="32"/>
          <w:lang w:val="en-US" w:eastAsia="zh-CN"/>
        </w:rPr>
        <w:t>319.64</w:t>
      </w:r>
      <w:r>
        <w:rPr>
          <w:rFonts w:hint="eastAsia" w:ascii="仿宋" w:hAnsi="仿宋" w:eastAsia="仿宋" w:cs="仿宋"/>
          <w:bCs/>
          <w:sz w:val="32"/>
          <w:szCs w:val="32"/>
        </w:rPr>
        <w:t>万元，职工基本医疗保险缴费</w:t>
      </w:r>
      <w:r>
        <w:rPr>
          <w:rFonts w:hint="eastAsia" w:ascii="仿宋" w:hAnsi="仿宋" w:eastAsia="仿宋" w:cs="仿宋"/>
          <w:bCs/>
          <w:sz w:val="32"/>
          <w:szCs w:val="32"/>
          <w:lang w:val="en-US" w:eastAsia="zh-CN"/>
        </w:rPr>
        <w:t>167.17</w:t>
      </w:r>
      <w:r>
        <w:rPr>
          <w:rFonts w:hint="eastAsia" w:ascii="仿宋" w:hAnsi="仿宋" w:eastAsia="仿宋" w:cs="仿宋"/>
          <w:bCs/>
          <w:sz w:val="32"/>
          <w:szCs w:val="32"/>
        </w:rPr>
        <w:t>万元。</w:t>
      </w:r>
    </w:p>
    <w:p>
      <w:pPr>
        <w:widowControl/>
        <w:spacing w:line="560" w:lineRule="exact"/>
        <w:ind w:firstLine="645"/>
        <w:jc w:val="left"/>
        <w:rPr>
          <w:rFonts w:eastAsia="黑体"/>
          <w:sz w:val="32"/>
          <w:szCs w:val="32"/>
        </w:rPr>
      </w:pPr>
      <w:r>
        <w:rPr>
          <w:rFonts w:hint="eastAsia" w:eastAsia="黑体"/>
          <w:sz w:val="32"/>
          <w:szCs w:val="32"/>
        </w:rPr>
        <w:t>六</w:t>
      </w:r>
      <w:r>
        <w:rPr>
          <w:rFonts w:eastAsia="黑体"/>
          <w:sz w:val="32"/>
          <w:szCs w:val="32"/>
        </w:rPr>
        <w:t>、部门整体支出绩效情况</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加强对森林资源的管护，加大对森林防火宣传，预防森林火警火灾，杜绝森林火警火灾的发生，改善干部职工的生产生活条件，完成防火线复修96公里，林道复修120公里，中、幼林抚育6000亩。</w:t>
      </w:r>
    </w:p>
    <w:p>
      <w:pPr>
        <w:pStyle w:val="18"/>
        <w:spacing w:line="560" w:lineRule="exact"/>
        <w:ind w:firstLine="640" w:firstLineChars="200"/>
        <w:rPr>
          <w:rFonts w:ascii="仿宋_GB2312" w:eastAsia="仿宋_GB2312"/>
          <w:kern w:val="0"/>
          <w:sz w:val="32"/>
          <w:szCs w:val="32"/>
        </w:rPr>
      </w:pPr>
      <w:r>
        <w:rPr>
          <w:rFonts w:hint="eastAsia" w:ascii="宋体" w:hAnsi="宋体" w:cs="黑体"/>
          <w:color w:val="000000"/>
          <w:kern w:val="0"/>
          <w:sz w:val="32"/>
          <w:szCs w:val="32"/>
        </w:rPr>
        <w:t>七、</w:t>
      </w:r>
      <w:r>
        <w:rPr>
          <w:rFonts w:hint="eastAsia" w:ascii="黑体" w:hAnsi="黑体" w:eastAsia="黑体" w:cs="黑体"/>
          <w:b/>
          <w:bCs/>
          <w:kern w:val="0"/>
          <w:sz w:val="32"/>
          <w:szCs w:val="32"/>
        </w:rPr>
        <w:t>存在的主要问题</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相关管理制度还有待进一步完善，财务管理还存在一些不足，账务处理资金使用不够规范。</w:t>
      </w:r>
    </w:p>
    <w:p>
      <w:pPr>
        <w:adjustRightInd w:val="0"/>
        <w:snapToGrid w:val="0"/>
        <w:spacing w:line="560" w:lineRule="exact"/>
        <w:ind w:firstLine="640" w:firstLineChars="200"/>
        <w:rPr>
          <w:rFonts w:ascii="黑体" w:hAnsi="黑体" w:eastAsia="黑体" w:cs="黑体"/>
          <w:b/>
          <w:bCs/>
          <w:kern w:val="0"/>
          <w:sz w:val="32"/>
          <w:szCs w:val="32"/>
        </w:rPr>
      </w:pPr>
      <w:r>
        <w:rPr>
          <w:rFonts w:hint="eastAsia" w:ascii="黑体" w:hAnsi="黑体" w:eastAsia="黑体" w:cs="黑体"/>
          <w:b/>
          <w:bCs/>
          <w:kern w:val="0"/>
          <w:sz w:val="32"/>
          <w:szCs w:val="32"/>
        </w:rPr>
        <w:t>八、改进措施和有关建议</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1、加强财务管理力度，提高财务人员业务水平，严格按财政规定使用资金。</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2、规范账务处理，提高财务信息质量。</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严格按照《会计法》、《政府会计制度》等规定执行财务核算，并结合实际情况，完整、准确地披露相关信息，做到决算与预算相衔接。</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3、严格执行财政国库统一管理政策，把控财政资金纳入单位预算。</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4、加强会计基础工作，单位财务部门要对原始凭证逐一审核，对不合规定的票据不予报销入账。</w:t>
      </w:r>
    </w:p>
    <w:p>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5、建议：加强队伍建设，注重培训和培养相关人员，抓好绩效评价管理部门的队伍建设和业务指导，培养部门的绩效管理队伍，建立绩效评价的长期机制。</w:t>
      </w:r>
    </w:p>
    <w:p>
      <w:pPr>
        <w:spacing w:line="560" w:lineRule="exact"/>
        <w:ind w:firstLine="600" w:firstLineChars="200"/>
        <w:rPr>
          <w:rFonts w:ascii="黑体" w:hAnsi="黑体" w:eastAsia="黑体" w:cs="黑体"/>
          <w:b/>
          <w:bCs/>
          <w:sz w:val="30"/>
          <w:szCs w:val="30"/>
        </w:rPr>
      </w:pPr>
      <w:r>
        <w:rPr>
          <w:rFonts w:hint="eastAsia" w:ascii="黑体" w:hAnsi="黑体" w:eastAsia="黑体" w:cs="黑体"/>
          <w:b/>
          <w:bCs/>
          <w:sz w:val="30"/>
          <w:szCs w:val="30"/>
        </w:rPr>
        <w:t>九、绩效自评结果拟应用和公开情况</w:t>
      </w:r>
    </w:p>
    <w:p>
      <w:pPr>
        <w:spacing w:line="560" w:lineRule="exact"/>
        <w:ind w:firstLine="640" w:firstLineChars="200"/>
        <w:rPr>
          <w:rFonts w:ascii="宋体" w:hAnsi="宋体" w:eastAsia="宋体" w:cs="宋体"/>
          <w:sz w:val="30"/>
          <w:szCs w:val="30"/>
        </w:rPr>
      </w:pPr>
      <w:r>
        <w:rPr>
          <w:rFonts w:hint="eastAsia" w:ascii="仿宋" w:hAnsi="仿宋" w:eastAsia="仿宋" w:cs="仿宋"/>
          <w:bCs/>
          <w:sz w:val="32"/>
          <w:szCs w:val="32"/>
        </w:rPr>
        <w:t>本年度绩效自评结果为90分。按规定时间内将</w:t>
      </w:r>
      <w:r>
        <w:rPr>
          <w:rFonts w:hint="eastAsia" w:ascii="仿宋" w:hAnsi="仿宋" w:eastAsia="仿宋" w:cs="仿宋"/>
          <w:bCs/>
          <w:sz w:val="32"/>
          <w:szCs w:val="32"/>
          <w:lang w:eastAsia="zh-CN"/>
        </w:rPr>
        <w:t>2025</w:t>
      </w:r>
      <w:r>
        <w:rPr>
          <w:rFonts w:hint="eastAsia" w:ascii="仿宋" w:hAnsi="仿宋" w:eastAsia="仿宋" w:cs="仿宋"/>
          <w:bCs/>
          <w:sz w:val="32"/>
          <w:szCs w:val="32"/>
        </w:rPr>
        <w:t>年度专项资金绩效自评报告、整体部门支出绩效自评报告在本部门门户网站公开，并接受社会监督。</w:t>
      </w:r>
    </w:p>
    <w:p>
      <w:pPr>
        <w:pStyle w:val="3"/>
        <w:spacing w:line="560" w:lineRule="exact"/>
        <w:ind w:firstLine="480"/>
      </w:pPr>
    </w:p>
    <w:p>
      <w:pPr>
        <w:pStyle w:val="3"/>
        <w:spacing w:line="560" w:lineRule="exact"/>
        <w:ind w:firstLine="600"/>
        <w:rPr>
          <w:rFonts w:ascii="仿宋" w:hAnsi="仿宋" w:eastAsia="仿宋" w:cs="仿宋"/>
          <w:sz w:val="30"/>
          <w:szCs w:val="30"/>
        </w:rPr>
      </w:pPr>
    </w:p>
    <w:p>
      <w:pPr>
        <w:pStyle w:val="13"/>
        <w:spacing w:line="560" w:lineRule="exact"/>
        <w:ind w:firstLine="3840" w:firstLineChars="1200"/>
        <w:rPr>
          <w:rFonts w:ascii="仿宋" w:hAnsi="仿宋" w:eastAsia="仿宋" w:cs="仿宋"/>
          <w:bCs/>
          <w:sz w:val="32"/>
          <w:szCs w:val="32"/>
        </w:rPr>
      </w:pPr>
      <w:r>
        <w:rPr>
          <w:rFonts w:hint="eastAsia" w:ascii="仿宋" w:hAnsi="仿宋" w:eastAsia="仿宋" w:cs="仿宋"/>
          <w:bCs/>
          <w:sz w:val="32"/>
          <w:szCs w:val="32"/>
        </w:rPr>
        <w:t>湖南月岩国家森林公园管理局</w:t>
      </w:r>
    </w:p>
    <w:p>
      <w:pPr>
        <w:pStyle w:val="13"/>
        <w:spacing w:line="560" w:lineRule="exact"/>
        <w:ind w:firstLine="4800" w:firstLineChars="1500"/>
        <w:rPr>
          <w:rFonts w:ascii="仿宋" w:hAnsi="仿宋" w:eastAsia="仿宋" w:cs="仿宋"/>
          <w:bCs/>
          <w:sz w:val="32"/>
          <w:szCs w:val="32"/>
        </w:rPr>
      </w:pPr>
      <w:r>
        <w:rPr>
          <w:rFonts w:hint="eastAsia" w:ascii="仿宋" w:hAnsi="仿宋" w:eastAsia="仿宋" w:cs="仿宋"/>
          <w:bCs/>
          <w:sz w:val="32"/>
          <w:szCs w:val="32"/>
        </w:rPr>
        <w:t>202</w:t>
      </w:r>
      <w:r>
        <w:rPr>
          <w:rFonts w:hint="eastAsia" w:ascii="仿宋" w:hAnsi="仿宋" w:eastAsia="仿宋" w:cs="仿宋"/>
          <w:bCs/>
          <w:sz w:val="32"/>
          <w:szCs w:val="32"/>
          <w:lang w:val="en-US" w:eastAsia="zh-CN"/>
        </w:rPr>
        <w:t>6</w:t>
      </w:r>
      <w:r>
        <w:rPr>
          <w:rFonts w:hint="eastAsia" w:ascii="仿宋" w:hAnsi="仿宋" w:eastAsia="仿宋" w:cs="仿宋"/>
          <w:bCs/>
          <w:sz w:val="32"/>
          <w:szCs w:val="32"/>
        </w:rPr>
        <w:t>年</w:t>
      </w:r>
      <w:r>
        <w:rPr>
          <w:rFonts w:hint="eastAsia" w:ascii="仿宋" w:hAnsi="仿宋" w:eastAsia="仿宋" w:cs="仿宋"/>
          <w:bCs/>
          <w:sz w:val="32"/>
          <w:szCs w:val="32"/>
          <w:lang w:val="en-US" w:eastAsia="zh-CN"/>
        </w:rPr>
        <w:t>8</w:t>
      </w:r>
      <w:r>
        <w:rPr>
          <w:rFonts w:hint="eastAsia" w:ascii="仿宋" w:hAnsi="仿宋" w:eastAsia="仿宋" w:cs="仿宋"/>
          <w:bCs/>
          <w:sz w:val="32"/>
          <w:szCs w:val="32"/>
        </w:rPr>
        <w:t>月</w:t>
      </w:r>
      <w:r>
        <w:rPr>
          <w:rFonts w:hint="eastAsia" w:ascii="仿宋" w:hAnsi="仿宋" w:eastAsia="仿宋" w:cs="仿宋"/>
          <w:bCs/>
          <w:sz w:val="32"/>
          <w:szCs w:val="32"/>
          <w:lang w:val="en-US" w:eastAsia="zh-CN"/>
        </w:rPr>
        <w:t>20</w:t>
      </w:r>
      <w:r>
        <w:rPr>
          <w:rFonts w:hint="eastAsia" w:ascii="仿宋" w:hAnsi="仿宋" w:eastAsia="仿宋" w:cs="仿宋"/>
          <w:bCs/>
          <w:sz w:val="32"/>
          <w:szCs w:val="32"/>
        </w:rPr>
        <w:t>日</w:t>
      </w:r>
    </w:p>
    <w:p>
      <w:pPr>
        <w:pStyle w:val="12"/>
        <w:spacing w:line="600" w:lineRule="exact"/>
        <w:ind w:firstLine="640" w:firstLineChars="200"/>
        <w:rPr>
          <w:rFonts w:ascii="Times New Roman" w:hAnsi="Times New Roman" w:eastAsia="仿宋_GB2312"/>
          <w:sz w:val="32"/>
          <w:szCs w:val="32"/>
        </w:rPr>
      </w:pPr>
    </w:p>
    <w:p>
      <w:pPr>
        <w:pStyle w:val="12"/>
        <w:jc w:val="center"/>
        <w:rPr>
          <w:sz w:val="72"/>
          <w:szCs w:val="72"/>
        </w:rPr>
      </w:pPr>
    </w:p>
    <w:p>
      <w:pPr>
        <w:jc w:val="left"/>
        <w:rPr>
          <w:rFonts w:cs="黑体" w:asciiTheme="minorEastAsia" w:hAnsiTheme="minorEastAsia"/>
          <w:color w:val="000000"/>
          <w:kern w:val="0"/>
          <w:sz w:val="32"/>
          <w:szCs w:val="32"/>
        </w:rPr>
      </w:pPr>
      <w:bookmarkStart w:id="3" w:name="_GoBack"/>
      <w:bookmarkEnd w:id="3"/>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瀹嬩綋">
    <w:altName w:val="微软雅黑"/>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C7816D"/>
    <w:multiLevelType w:val="singleLevel"/>
    <w:tmpl w:val="9FC7816D"/>
    <w:lvl w:ilvl="0" w:tentative="0">
      <w:start w:val="7"/>
      <w:numFmt w:val="chineseCounting"/>
      <w:suff w:val="nothing"/>
      <w:lvlText w:val="%1、"/>
      <w:lvlJc w:val="left"/>
      <w:rPr>
        <w:rFonts w:hint="eastAsia"/>
      </w:rPr>
    </w:lvl>
  </w:abstractNum>
  <w:abstractNum w:abstractNumId="1">
    <w:nsid w:val="DAF743C6"/>
    <w:multiLevelType w:val="singleLevel"/>
    <w:tmpl w:val="DAF743C6"/>
    <w:lvl w:ilvl="0" w:tentative="0">
      <w:start w:val="1"/>
      <w:numFmt w:val="chineseCounting"/>
      <w:suff w:val="nothing"/>
      <w:lvlText w:val="（%1）"/>
      <w:lvlJc w:val="left"/>
      <w:pPr>
        <w:ind w:left="0" w:firstLine="420"/>
      </w:pPr>
      <w:rPr>
        <w:rFonts w:hint="eastAsia"/>
      </w:rPr>
    </w:lvl>
  </w:abstractNum>
  <w:abstractNum w:abstractNumId="2">
    <w:nsid w:val="E8E1E64D"/>
    <w:multiLevelType w:val="singleLevel"/>
    <w:tmpl w:val="E8E1E64D"/>
    <w:lvl w:ilvl="0" w:tentative="0">
      <w:start w:val="2"/>
      <w:numFmt w:val="chineseCounting"/>
      <w:suff w:val="nothing"/>
      <w:lvlText w:val="（%1）"/>
      <w:lvlJc w:val="left"/>
      <w:rPr>
        <w:rFonts w:hint="eastAsia"/>
      </w:rPr>
    </w:lvl>
  </w:abstractNum>
  <w:abstractNum w:abstractNumId="3">
    <w:nsid w:val="F7B8303A"/>
    <w:multiLevelType w:val="singleLevel"/>
    <w:tmpl w:val="F7B8303A"/>
    <w:lvl w:ilvl="0" w:tentative="0">
      <w:start w:val="1"/>
      <w:numFmt w:val="chineseCounting"/>
      <w:suff w:val="nothing"/>
      <w:lvlText w:val="（%1）"/>
      <w:lvlJc w:val="left"/>
      <w:pPr>
        <w:ind w:left="0" w:firstLine="420"/>
      </w:pPr>
      <w:rPr>
        <w:rFonts w:hint="eastAsia"/>
      </w:rPr>
    </w:lvl>
  </w:abstractNum>
  <w:abstractNum w:abstractNumId="4">
    <w:nsid w:val="FFFAB0C7"/>
    <w:multiLevelType w:val="singleLevel"/>
    <w:tmpl w:val="FFFAB0C7"/>
    <w:lvl w:ilvl="0" w:tentative="0">
      <w:start w:val="1"/>
      <w:numFmt w:val="chineseCounting"/>
      <w:suff w:val="nothing"/>
      <w:lvlText w:val="%1、"/>
      <w:lvlJc w:val="left"/>
      <w:pPr>
        <w:ind w:left="0" w:firstLine="420"/>
      </w:pPr>
      <w:rPr>
        <w:rFonts w:hint="eastAsia"/>
      </w:rPr>
    </w:lvl>
  </w:abstractNum>
  <w:abstractNum w:abstractNumId="5">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146D"/>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4749D"/>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766233F"/>
    <w:rsid w:val="09DE127E"/>
    <w:rsid w:val="0D0C646F"/>
    <w:rsid w:val="10316DF5"/>
    <w:rsid w:val="122E4522"/>
    <w:rsid w:val="1D17635A"/>
    <w:rsid w:val="1D97DEFF"/>
    <w:rsid w:val="1DB20FD9"/>
    <w:rsid w:val="1DFF72E5"/>
    <w:rsid w:val="1EFC6F07"/>
    <w:rsid w:val="25877835"/>
    <w:rsid w:val="2FDF85B8"/>
    <w:rsid w:val="2FFFEE04"/>
    <w:rsid w:val="34DF85B0"/>
    <w:rsid w:val="35A96498"/>
    <w:rsid w:val="3B8F36BC"/>
    <w:rsid w:val="3D676182"/>
    <w:rsid w:val="405E4557"/>
    <w:rsid w:val="491FF225"/>
    <w:rsid w:val="49B914D3"/>
    <w:rsid w:val="4FFD214C"/>
    <w:rsid w:val="5777D4F5"/>
    <w:rsid w:val="59DD8326"/>
    <w:rsid w:val="5AF56D3C"/>
    <w:rsid w:val="5CD42113"/>
    <w:rsid w:val="5DEF592A"/>
    <w:rsid w:val="5FC6BB1E"/>
    <w:rsid w:val="5FF720F1"/>
    <w:rsid w:val="621234ED"/>
    <w:rsid w:val="67FF5C0B"/>
    <w:rsid w:val="6EFC0924"/>
    <w:rsid w:val="6FB74722"/>
    <w:rsid w:val="6FEF8B7E"/>
    <w:rsid w:val="70AC5757"/>
    <w:rsid w:val="71A6591B"/>
    <w:rsid w:val="737D59BA"/>
    <w:rsid w:val="7553580B"/>
    <w:rsid w:val="77C37683"/>
    <w:rsid w:val="79FF515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styleId="18">
    <w:name w:val="No Spacing"/>
    <w:qFormat/>
    <w:uiPriority w:val="1"/>
    <w:pPr>
      <w:widowControl w:val="0"/>
      <w:jc w:val="both"/>
    </w:pPr>
    <w:rPr>
      <w:rFonts w:ascii="Calibri" w:hAnsi="Calibri" w:eastAsia="微软雅黑"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8335</Words>
  <Characters>10395</Characters>
  <Lines>94</Lines>
  <Paragraphs>26</Paragraphs>
  <TotalTime>37</TotalTime>
  <ScaleCrop>false</ScaleCrop>
  <LinksUpToDate>false</LinksUpToDate>
  <CharactersWithSpaces>10988</CharactersWithSpaces>
  <Application>WPS Office_11.1.0.14309_F1E327BC-269C-435d-A152-05C5408002CA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2024-09-02T00:23:00Z</dcterms:created>
  <dc:creator>李航 null</dc:creator>
  <cp:lastModifiedBy>水蜜桃</cp:lastModifiedBy>
  <cp:lastPrinted>2024-08-08T10:20:00Z</cp:lastPrinted>
  <dcterms:modified xsi:type="dcterms:W3CDTF">2026-09-14T00:52:40Z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92ED5089CD7E4447AC52EC9B79F1E476_12</vt:lpwstr>
  </property>
  <property fmtid="{D5CDD505-2E9C-101B-9397-08002B2CF9AE}" pid="4" name="KSOTemplateDocerSaveRecord">
    <vt:lpwstr>eyJoZGlkIjoiZmVlYTI3MzA0OTM2YmI5MGVmNDU4NmYyMDYwNzRlM2YiLCJ1c2VySWQiOiI0NTQ4MDI0MzgifQ==</vt:lpwstr>
  </property>
</Properties>
</file>