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center"/>
        <w:rPr>
          <w:rFonts w:asciiTheme="minorEastAsia" w:hAnsiTheme="minorEastAsia" w:eastAsiaTheme="minorEastAsia" w:cstheme="minorEastAsia"/>
          <w:b/>
          <w:kern w:val="2"/>
          <w:sz w:val="44"/>
          <w:szCs w:val="44"/>
          <w:lang w:eastAsia="zh-CN"/>
        </w:rPr>
      </w:pPr>
      <w:r>
        <w:rPr>
          <w:rFonts w:hint="eastAsia" w:asciiTheme="minorEastAsia" w:hAnsiTheme="minorEastAsia" w:eastAsiaTheme="minorEastAsia" w:cstheme="minorEastAsia"/>
          <w:b/>
          <w:kern w:val="2"/>
          <w:sz w:val="44"/>
          <w:szCs w:val="44"/>
          <w:lang w:eastAsia="zh-CN"/>
        </w:rPr>
        <w:t>2025年度道县气象局整体支出绩效评价报告</w:t>
      </w:r>
    </w:p>
    <w:p>
      <w:pPr>
        <w:pStyle w:val="34"/>
        <w:spacing w:line="600" w:lineRule="exact"/>
        <w:rPr>
          <w:rFonts w:ascii="仿宋_GB2312" w:hAnsi="仿宋" w:eastAsia="仿宋_GB2312"/>
          <w:sz w:val="32"/>
          <w:szCs w:val="32"/>
        </w:rPr>
      </w:pPr>
    </w:p>
    <w:p>
      <w:pPr>
        <w:pStyle w:val="34"/>
        <w:spacing w:line="500" w:lineRule="exact"/>
        <w:ind w:firstLine="640" w:firstLineChars="200"/>
        <w:rPr>
          <w:rFonts w:ascii="仿宋_GB2312" w:eastAsia="仿宋_GB2312"/>
          <w:kern w:val="0"/>
          <w:sz w:val="32"/>
          <w:szCs w:val="32"/>
        </w:rPr>
      </w:pPr>
      <w:r>
        <w:rPr>
          <w:rFonts w:hint="eastAsia" w:ascii="仿宋_GB2312" w:hAnsi="仿宋" w:eastAsia="仿宋_GB2312"/>
          <w:sz w:val="32"/>
          <w:szCs w:val="32"/>
        </w:rPr>
        <w:t>为了强化部门支出责任，推进单位财务管理科学化精细化，提</w:t>
      </w:r>
      <w:r>
        <w:rPr>
          <w:rFonts w:hint="eastAsia" w:ascii="仿宋_GB2312" w:eastAsia="仿宋_GB2312"/>
          <w:kern w:val="0"/>
          <w:sz w:val="32"/>
          <w:szCs w:val="32"/>
        </w:rPr>
        <w:t>高财政资金管理使用效益，提升管理水平，根据《中共中央 国务院关于全面实施预算绩效管理的意见》(中发[2018]34号）、《预算绩效管理工作考核办法》(湘财绩[2015]15号)、《永州市人民政府关于全面推进预算绩效管理的实施意见》（永政发〔2013〕24号）、《永州市预算绩效管理操作办法》、《道县人民政府关于全面推进预算绩效管理的意见》（道政发[2014]10号）要求，我局领导高度重视，成立了评价工作小组，对2024年度全局部门整体支出</w:t>
      </w:r>
      <w:r>
        <w:rPr>
          <w:rFonts w:hint="eastAsia" w:ascii="仿宋_GB2312" w:hAnsi="仿宋" w:eastAsia="仿宋_GB2312"/>
          <w:color w:val="010101"/>
          <w:kern w:val="0"/>
          <w:sz w:val="32"/>
          <w:szCs w:val="32"/>
        </w:rPr>
        <w:t>本着客观、公正、科学的原则进行了绩效评价。现将绩效评价情况及评价结果报告如下：</w:t>
      </w:r>
    </w:p>
    <w:p>
      <w:pPr>
        <w:pStyle w:val="34"/>
        <w:spacing w:line="500" w:lineRule="exact"/>
        <w:ind w:firstLine="643" w:firstLineChars="200"/>
        <w:rPr>
          <w:rFonts w:ascii="黑体" w:hAnsi="黑体" w:eastAsia="黑体" w:cs="黑体"/>
          <w:b/>
          <w:kern w:val="0"/>
          <w:sz w:val="32"/>
          <w:szCs w:val="32"/>
        </w:rPr>
      </w:pPr>
      <w:r>
        <w:rPr>
          <w:rFonts w:hint="eastAsia" w:ascii="黑体" w:hAnsi="黑体" w:eastAsia="黑体" w:cs="黑体"/>
          <w:b/>
          <w:color w:val="010101"/>
          <w:kern w:val="0"/>
          <w:sz w:val="32"/>
          <w:szCs w:val="32"/>
        </w:rPr>
        <w:t>一、基本情况</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(一)主要工作职责</w:t>
      </w:r>
    </w:p>
    <w:p>
      <w:pPr>
        <w:widowControl/>
        <w:adjustRightInd w:val="0"/>
        <w:snapToGrid w:val="0"/>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道县气象局于1959年5月建站，为国家基本气象站，主要开展有气象地面测报、天气预报、农业气象、人工增雨、气象科技服务等气象业务。</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（二）机构设置情况</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道县</w:t>
      </w:r>
      <w:r>
        <w:rPr>
          <w:rFonts w:ascii="仿宋_GB2312" w:hAnsi="仿宋" w:eastAsia="仿宋_GB2312"/>
          <w:sz w:val="32"/>
          <w:szCs w:val="32"/>
        </w:rPr>
        <w:t>气象局成立于19</w:t>
      </w:r>
      <w:r>
        <w:rPr>
          <w:rFonts w:hint="eastAsia" w:ascii="仿宋_GB2312" w:hAnsi="仿宋" w:eastAsia="仿宋_GB2312"/>
          <w:sz w:val="32"/>
          <w:szCs w:val="32"/>
        </w:rPr>
        <w:t>59</w:t>
      </w:r>
      <w:r>
        <w:rPr>
          <w:rFonts w:ascii="仿宋_GB2312" w:hAnsi="仿宋" w:eastAsia="仿宋_GB2312"/>
          <w:sz w:val="32"/>
          <w:szCs w:val="32"/>
        </w:rPr>
        <w:t>年</w:t>
      </w:r>
      <w:r>
        <w:rPr>
          <w:rFonts w:hint="eastAsia" w:ascii="仿宋_GB2312" w:hAnsi="仿宋" w:eastAsia="仿宋_GB2312"/>
          <w:sz w:val="32"/>
          <w:szCs w:val="32"/>
        </w:rPr>
        <w:t>，</w:t>
      </w:r>
      <w:r>
        <w:rPr>
          <w:rFonts w:ascii="仿宋_GB2312" w:hAnsi="仿宋" w:eastAsia="仿宋_GB2312"/>
          <w:sz w:val="32"/>
          <w:szCs w:val="32"/>
        </w:rPr>
        <w:t>实行上级气象主管机构和本级人民政府双重领导管理体制</w:t>
      </w:r>
      <w:r>
        <w:rPr>
          <w:rFonts w:hint="eastAsia" w:ascii="仿宋_GB2312" w:hAnsi="仿宋" w:eastAsia="仿宋_GB2312"/>
          <w:sz w:val="32"/>
          <w:szCs w:val="32"/>
        </w:rPr>
        <w:t>，</w:t>
      </w:r>
      <w:r>
        <w:rPr>
          <w:rFonts w:ascii="仿宋_GB2312" w:hAnsi="仿宋" w:eastAsia="仿宋_GB2312"/>
          <w:sz w:val="32"/>
          <w:szCs w:val="32"/>
        </w:rPr>
        <w:t>内设机构有</w:t>
      </w:r>
      <w:r>
        <w:rPr>
          <w:rFonts w:hint="eastAsia" w:ascii="仿宋_GB2312" w:hAnsi="仿宋" w:eastAsia="仿宋_GB2312"/>
          <w:sz w:val="32"/>
          <w:szCs w:val="32"/>
        </w:rPr>
        <w:t>综合股、气象台、道县防灾减灾预警中心。202</w:t>
      </w:r>
      <w:r>
        <w:rPr>
          <w:rFonts w:hint="eastAsia" w:ascii="仿宋_GB2312" w:hAnsi="仿宋" w:eastAsia="仿宋_GB2312"/>
          <w:sz w:val="32"/>
          <w:szCs w:val="32"/>
          <w:lang w:eastAsia="zh-CN"/>
        </w:rPr>
        <w:t>5</w:t>
      </w:r>
      <w:r>
        <w:rPr>
          <w:rFonts w:hint="eastAsia" w:ascii="仿宋_GB2312" w:hAnsi="仿宋" w:eastAsia="仿宋_GB2312"/>
          <w:sz w:val="32"/>
          <w:szCs w:val="32"/>
        </w:rPr>
        <w:t>年末，道县气象局在职人员1</w:t>
      </w:r>
      <w:r>
        <w:rPr>
          <w:rFonts w:hint="eastAsia" w:ascii="仿宋_GB2312" w:hAnsi="仿宋" w:eastAsia="仿宋_GB2312"/>
          <w:sz w:val="32"/>
          <w:szCs w:val="32"/>
          <w:lang w:eastAsia="zh-CN"/>
        </w:rPr>
        <w:t>3</w:t>
      </w:r>
      <w:r>
        <w:rPr>
          <w:rFonts w:hint="eastAsia" w:ascii="仿宋_GB2312" w:hAnsi="仿宋" w:eastAsia="仿宋_GB2312"/>
          <w:sz w:val="32"/>
          <w:szCs w:val="32"/>
        </w:rPr>
        <w:t>人，退休人员</w:t>
      </w:r>
      <w:r>
        <w:rPr>
          <w:rFonts w:hint="eastAsia" w:ascii="仿宋_GB2312" w:hAnsi="仿宋" w:eastAsia="仿宋_GB2312"/>
          <w:sz w:val="32"/>
          <w:szCs w:val="32"/>
          <w:lang w:eastAsia="zh-CN"/>
        </w:rPr>
        <w:t>3</w:t>
      </w:r>
      <w:r>
        <w:rPr>
          <w:rFonts w:hint="eastAsia" w:ascii="仿宋_GB2312" w:hAnsi="仿宋" w:eastAsia="仿宋_GB2312"/>
          <w:sz w:val="32"/>
          <w:szCs w:val="32"/>
        </w:rPr>
        <w:t>人。</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（三）部门整体支出情况</w:t>
      </w:r>
    </w:p>
    <w:p>
      <w:pPr>
        <w:pStyle w:val="34"/>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2025年总支出142.52万元，其中基本支出81.93万元，项目支出60.59万元。</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二、一般公共预算支出情况</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(一)基本支出情况</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2025年基本支出81.93万元，其中公用经费6.46万元。具体使用情况如下：</w:t>
      </w:r>
    </w:p>
    <w:tbl>
      <w:tblPr>
        <w:tblStyle w:val="5"/>
        <w:tblW w:w="8153"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3602"/>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编号</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费用名称</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基本工资</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10.71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2</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奖金</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27.12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3</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绩效工资</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33.34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4</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养老保险</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5</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医疗保险</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合计</w:t>
            </w:r>
          </w:p>
        </w:tc>
        <w:tc>
          <w:tcPr>
            <w:tcW w:w="3602" w:type="dxa"/>
          </w:tcPr>
          <w:p>
            <w:pPr>
              <w:pStyle w:val="34"/>
              <w:spacing w:line="500" w:lineRule="exact"/>
              <w:jc w:val="center"/>
              <w:rPr>
                <w:rFonts w:ascii="仿宋_GB2312" w:eastAsia="仿宋_GB2312"/>
                <w:kern w:val="0"/>
                <w:sz w:val="28"/>
                <w:szCs w:val="28"/>
              </w:rPr>
            </w:pP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75.47</w:t>
            </w:r>
          </w:p>
        </w:tc>
      </w:tr>
    </w:tbl>
    <w:p>
      <w:pPr>
        <w:pStyle w:val="34"/>
        <w:spacing w:line="500" w:lineRule="exact"/>
        <w:ind w:firstLine="960" w:firstLineChars="300"/>
        <w:rPr>
          <w:rFonts w:ascii="仿宋_GB2312" w:eastAsia="仿宋_GB2312"/>
          <w:kern w:val="0"/>
          <w:sz w:val="32"/>
          <w:szCs w:val="32"/>
        </w:rPr>
      </w:pPr>
      <w:r>
        <w:rPr>
          <w:rFonts w:hint="eastAsia" w:ascii="仿宋_GB2312" w:eastAsia="仿宋_GB2312"/>
          <w:kern w:val="0"/>
          <w:sz w:val="32"/>
          <w:szCs w:val="32"/>
        </w:rPr>
        <w:t>公用经费具体使用如下：</w:t>
      </w:r>
    </w:p>
    <w:tbl>
      <w:tblPr>
        <w:tblStyle w:val="5"/>
        <w:tblW w:w="8138" w:type="dxa"/>
        <w:tblInd w:w="3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6"/>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编号</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公用经费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办公费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2</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印刷费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3</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水费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4</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电费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5</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邮电费及维护费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6</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公务用车</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合计</w:t>
            </w:r>
          </w:p>
        </w:tc>
        <w:tc>
          <w:tcPr>
            <w:tcW w:w="2841" w:type="dxa"/>
          </w:tcPr>
          <w:p>
            <w:pPr>
              <w:pStyle w:val="34"/>
              <w:spacing w:line="500" w:lineRule="exact"/>
              <w:jc w:val="center"/>
              <w:rPr>
                <w:rFonts w:ascii="仿宋_GB2312" w:eastAsia="仿宋_GB2312"/>
                <w:kern w:val="0"/>
                <w:sz w:val="28"/>
                <w:szCs w:val="28"/>
              </w:rPr>
            </w:pP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6.46</w:t>
            </w:r>
          </w:p>
        </w:tc>
      </w:tr>
    </w:tbl>
    <w:p>
      <w:pPr>
        <w:pStyle w:val="34"/>
        <w:numPr>
          <w:ilvl w:val="0"/>
          <w:numId w:val="1"/>
        </w:numPr>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项目经费支出情况</w:t>
      </w:r>
    </w:p>
    <w:p>
      <w:pPr>
        <w:pStyle w:val="34"/>
        <w:spacing w:line="500" w:lineRule="exact"/>
        <w:ind w:firstLine="960" w:firstLineChars="300"/>
        <w:rPr>
          <w:rFonts w:ascii="仿宋_GB2312" w:eastAsia="仿宋_GB2312"/>
          <w:kern w:val="0"/>
          <w:sz w:val="32"/>
          <w:szCs w:val="32"/>
        </w:rPr>
      </w:pPr>
      <w:r>
        <w:rPr>
          <w:rFonts w:hint="eastAsia" w:ascii="仿宋_GB2312" w:eastAsia="仿宋_GB2312"/>
          <w:kern w:val="0"/>
          <w:sz w:val="32"/>
          <w:szCs w:val="32"/>
        </w:rPr>
        <w:t>2025年项目总支出60.59万元。具体使用情况如下：</w:t>
      </w:r>
    </w:p>
    <w:tbl>
      <w:tblPr>
        <w:tblStyle w:val="5"/>
        <w:tblW w:w="8536"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4636"/>
        <w:gridCol w:w="2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编号</w:t>
            </w:r>
          </w:p>
        </w:tc>
        <w:tc>
          <w:tcPr>
            <w:tcW w:w="463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费用名称</w:t>
            </w:r>
          </w:p>
        </w:tc>
        <w:tc>
          <w:tcPr>
            <w:tcW w:w="219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w:t>
            </w:r>
          </w:p>
        </w:tc>
        <w:tc>
          <w:tcPr>
            <w:tcW w:w="463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防雷监管及区域站升级改造</w:t>
            </w:r>
          </w:p>
        </w:tc>
        <w:tc>
          <w:tcPr>
            <w:tcW w:w="219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45.59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2</w:t>
            </w:r>
          </w:p>
        </w:tc>
        <w:tc>
          <w:tcPr>
            <w:tcW w:w="463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中国天然氧吧复查及评估</w:t>
            </w:r>
          </w:p>
        </w:tc>
        <w:tc>
          <w:tcPr>
            <w:tcW w:w="219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合计</w:t>
            </w:r>
          </w:p>
        </w:tc>
        <w:tc>
          <w:tcPr>
            <w:tcW w:w="4636" w:type="dxa"/>
          </w:tcPr>
          <w:p>
            <w:pPr>
              <w:pStyle w:val="34"/>
              <w:spacing w:line="500" w:lineRule="exact"/>
              <w:jc w:val="center"/>
              <w:rPr>
                <w:rFonts w:ascii="仿宋_GB2312" w:eastAsia="仿宋_GB2312"/>
                <w:kern w:val="0"/>
                <w:sz w:val="28"/>
                <w:szCs w:val="28"/>
              </w:rPr>
            </w:pPr>
          </w:p>
        </w:tc>
        <w:tc>
          <w:tcPr>
            <w:tcW w:w="2190" w:type="dxa"/>
          </w:tcPr>
          <w:p>
            <w:pPr>
              <w:pStyle w:val="34"/>
              <w:spacing w:line="500" w:lineRule="exact"/>
              <w:jc w:val="center"/>
              <w:rPr>
                <w:rFonts w:ascii="仿宋_GB2312" w:eastAsia="仿宋_GB2312"/>
                <w:kern w:val="0"/>
                <w:sz w:val="32"/>
                <w:szCs w:val="32"/>
              </w:rPr>
            </w:pPr>
            <w:r>
              <w:rPr>
                <w:rFonts w:hint="eastAsia" w:ascii="仿宋_GB2312" w:eastAsia="仿宋_GB2312"/>
                <w:kern w:val="0"/>
                <w:sz w:val="28"/>
                <w:szCs w:val="28"/>
              </w:rPr>
              <w:t>60.59</w:t>
            </w:r>
          </w:p>
        </w:tc>
      </w:tr>
    </w:tbl>
    <w:p>
      <w:pPr>
        <w:pStyle w:val="34"/>
        <w:numPr>
          <w:ilvl w:val="0"/>
          <w:numId w:val="1"/>
        </w:numPr>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三公经费情况</w:t>
      </w:r>
    </w:p>
    <w:p>
      <w:pPr>
        <w:pStyle w:val="34"/>
        <w:spacing w:line="500" w:lineRule="exact"/>
        <w:ind w:firstLine="960" w:firstLineChars="300"/>
        <w:rPr>
          <w:rFonts w:ascii="仿宋_GB2312" w:eastAsia="仿宋_GB2312"/>
          <w:kern w:val="0"/>
          <w:sz w:val="32"/>
          <w:szCs w:val="32"/>
        </w:rPr>
      </w:pPr>
      <w:r>
        <w:rPr>
          <w:rFonts w:hint="eastAsia" w:ascii="仿宋_GB2312" w:eastAsia="仿宋_GB2312"/>
          <w:kern w:val="0"/>
          <w:sz w:val="32"/>
          <w:szCs w:val="32"/>
        </w:rPr>
        <w:t>2025年预算支出4.86万元，其中因公出国（境）支出0万元，公务用车购置0辆，金额0万元，公务用车运行维护费4.86万元，公务接待费0万元，决算支出4.86万元，其中公务用车运行维护费4.86万元，公务接待费0万元。</w:t>
      </w:r>
    </w:p>
    <w:p>
      <w:pPr>
        <w:pStyle w:val="4"/>
        <w:widowControl/>
        <w:spacing w:beforeAutospacing="0" w:afterAutospacing="0" w:line="500" w:lineRule="exact"/>
        <w:ind w:right="11" w:firstLine="643" w:firstLineChars="200"/>
        <w:rPr>
          <w:rFonts w:ascii="黑体" w:hAnsi="黑体" w:eastAsia="黑体" w:cs="黑体"/>
          <w:b/>
          <w:color w:val="010101"/>
          <w:sz w:val="32"/>
          <w:szCs w:val="32"/>
          <w:lang w:eastAsia="zh-CN" w:bidi="ar-SA"/>
        </w:rPr>
      </w:pPr>
      <w:r>
        <w:rPr>
          <w:rFonts w:hint="eastAsia" w:ascii="黑体" w:hAnsi="黑体" w:eastAsia="黑体" w:cs="黑体"/>
          <w:b/>
          <w:color w:val="010101"/>
          <w:sz w:val="32"/>
          <w:szCs w:val="32"/>
          <w:lang w:eastAsia="zh-CN" w:bidi="ar-SA"/>
        </w:rPr>
        <w:t>三、政府性基金预算支出情况</w:t>
      </w:r>
    </w:p>
    <w:p>
      <w:pPr>
        <w:spacing w:line="500" w:lineRule="exact"/>
        <w:ind w:left="901" w:right="11"/>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道县气象局2025年年无政府性基金预算。</w:t>
      </w:r>
    </w:p>
    <w:p>
      <w:pPr>
        <w:pStyle w:val="4"/>
        <w:widowControl/>
        <w:spacing w:beforeAutospacing="0" w:afterAutospacing="0" w:line="500" w:lineRule="exact"/>
        <w:ind w:right="11" w:firstLine="643" w:firstLineChars="200"/>
        <w:rPr>
          <w:rFonts w:ascii="黑体" w:hAnsi="黑体" w:eastAsia="黑体" w:cs="黑体"/>
          <w:b/>
          <w:color w:val="010101"/>
          <w:sz w:val="32"/>
          <w:szCs w:val="32"/>
          <w:lang w:eastAsia="zh-CN" w:bidi="ar-SA"/>
        </w:rPr>
      </w:pPr>
      <w:r>
        <w:rPr>
          <w:rFonts w:hint="eastAsia" w:ascii="黑体" w:hAnsi="黑体" w:eastAsia="黑体" w:cs="黑体"/>
          <w:b/>
          <w:color w:val="010101"/>
          <w:sz w:val="32"/>
          <w:szCs w:val="32"/>
          <w:lang w:eastAsia="zh-CN" w:bidi="ar-SA"/>
        </w:rPr>
        <w:t>四、</w:t>
      </w:r>
      <w:r>
        <w:rPr>
          <w:rFonts w:ascii="黑体" w:hAnsi="黑体" w:eastAsia="黑体" w:cs="黑体"/>
          <w:b/>
          <w:color w:val="010101"/>
          <w:sz w:val="32"/>
          <w:szCs w:val="32"/>
          <w:lang w:eastAsia="zh-CN" w:bidi="ar-SA"/>
        </w:rPr>
        <w:t>国有资本经营预算支出情况</w:t>
      </w:r>
    </w:p>
    <w:p>
      <w:pPr>
        <w:spacing w:line="500" w:lineRule="exact"/>
        <w:ind w:left="901" w:right="11"/>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道县气象局2025年无国有资本经营预算支出。</w:t>
      </w:r>
    </w:p>
    <w:p>
      <w:pPr>
        <w:spacing w:line="500" w:lineRule="exact"/>
        <w:ind w:right="11" w:firstLine="643" w:firstLineChars="200"/>
        <w:rPr>
          <w:rFonts w:ascii="黑体" w:hAnsi="黑体" w:eastAsia="黑体" w:cs="黑体"/>
          <w:b/>
          <w:color w:val="010101"/>
          <w:sz w:val="32"/>
          <w:szCs w:val="32"/>
          <w:lang w:eastAsia="zh-CN" w:bidi="ar-SA"/>
        </w:rPr>
      </w:pPr>
      <w:r>
        <w:rPr>
          <w:rFonts w:hint="eastAsia" w:ascii="黑体" w:hAnsi="黑体" w:eastAsia="黑体" w:cs="黑体"/>
          <w:b/>
          <w:color w:val="010101"/>
          <w:sz w:val="32"/>
          <w:szCs w:val="32"/>
          <w:lang w:eastAsia="zh-CN" w:bidi="ar-SA"/>
        </w:rPr>
        <w:t>五、</w:t>
      </w:r>
      <w:r>
        <w:rPr>
          <w:rFonts w:ascii="黑体" w:hAnsi="黑体" w:eastAsia="黑体" w:cs="黑体"/>
          <w:b/>
          <w:color w:val="010101"/>
          <w:sz w:val="32"/>
          <w:szCs w:val="32"/>
          <w:lang w:eastAsia="zh-CN" w:bidi="ar-SA"/>
        </w:rPr>
        <w:t>社会保险基金预算支出情况</w:t>
      </w:r>
    </w:p>
    <w:p>
      <w:pPr>
        <w:spacing w:line="500" w:lineRule="exact"/>
        <w:ind w:left="901" w:right="11"/>
        <w:rPr>
          <w:rFonts w:ascii="仿宋" w:hAnsi="仿宋" w:eastAsia="仿宋" w:cs="仿宋"/>
          <w:sz w:val="32"/>
          <w:szCs w:val="32"/>
        </w:rPr>
      </w:pPr>
      <w:r>
        <w:rPr>
          <w:rFonts w:hint="eastAsia" w:ascii="仿宋_GB2312" w:hAnsi="Calibri" w:eastAsia="仿宋_GB2312"/>
          <w:sz w:val="32"/>
          <w:szCs w:val="32"/>
          <w:lang w:eastAsia="zh-CN" w:bidi="ar-SA"/>
        </w:rPr>
        <w:t>道县气象局2025</w:t>
      </w:r>
      <w:r>
        <w:rPr>
          <w:rFonts w:ascii="仿宋_GB2312" w:hAnsi="Calibri" w:eastAsia="仿宋_GB2312"/>
          <w:sz w:val="32"/>
          <w:szCs w:val="32"/>
          <w:lang w:eastAsia="zh-CN" w:bidi="ar-SA"/>
        </w:rPr>
        <w:t>年无社会保险基金预算支出。</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六、绩效评价工作情况</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我局组织专门人员对2025年度部门整体支出数据进行核实，将2025年度和2024年度部门整体支出情况进行比较分析。查阅了2025年度预算安排、非税收入、预算追加、资金管理、经费支出、资产管理等相关文件资料和财务凭证，按评价内容逐项进行评价。</w:t>
      </w:r>
    </w:p>
    <w:p>
      <w:pPr>
        <w:pStyle w:val="34"/>
        <w:spacing w:line="500" w:lineRule="exact"/>
        <w:rPr>
          <w:rFonts w:ascii="仿宋_GB2312" w:eastAsia="仿宋_GB2312"/>
          <w:b/>
          <w:bCs/>
          <w:kern w:val="0"/>
          <w:sz w:val="32"/>
          <w:szCs w:val="32"/>
        </w:rPr>
      </w:pPr>
      <w:r>
        <w:rPr>
          <w:rFonts w:hint="eastAsia" w:ascii="仿宋_GB2312" w:eastAsia="仿宋_GB2312"/>
          <w:b/>
          <w:bCs/>
          <w:kern w:val="0"/>
          <w:sz w:val="32"/>
          <w:szCs w:val="32"/>
        </w:rPr>
        <w:t>    (一)综合评价结果</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根据部门整体支出绩效评价指标规定的内容，2025年度整体支出绩效良好。</w:t>
      </w:r>
    </w:p>
    <w:p>
      <w:pPr>
        <w:pStyle w:val="34"/>
        <w:spacing w:line="500" w:lineRule="exact"/>
        <w:rPr>
          <w:rFonts w:ascii="黑体" w:hAnsi="黑体" w:eastAsia="黑体" w:cs="黑体"/>
          <w:b/>
          <w:bCs/>
          <w:kern w:val="0"/>
          <w:sz w:val="32"/>
          <w:szCs w:val="32"/>
        </w:rPr>
      </w:pPr>
      <w:r>
        <w:rPr>
          <w:rFonts w:hint="eastAsia" w:eastAsia="仿宋_GB2312"/>
          <w:b/>
          <w:bCs/>
          <w:kern w:val="0"/>
          <w:sz w:val="32"/>
          <w:szCs w:val="32"/>
        </w:rPr>
        <w:t>  </w:t>
      </w:r>
      <w:r>
        <w:rPr>
          <w:rFonts w:hint="eastAsia" w:ascii="仿宋_GB2312" w:eastAsia="仿宋_GB2312"/>
          <w:b/>
          <w:bCs/>
          <w:kern w:val="0"/>
          <w:sz w:val="32"/>
          <w:szCs w:val="32"/>
        </w:rPr>
        <w:t> (二)主要绩效</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我局充分履行职责职能,严格按财经法规及制度使用、管理资金,成效明显,主要体现在以下几个方面：</w:t>
      </w:r>
    </w:p>
    <w:p>
      <w:pPr>
        <w:pStyle w:val="34"/>
        <w:spacing w:line="500" w:lineRule="exact"/>
        <w:ind w:firstLine="643" w:firstLineChars="200"/>
        <w:rPr>
          <w:rFonts w:ascii="仿宋_GB2312" w:eastAsia="仿宋_GB2312"/>
          <w:kern w:val="0"/>
          <w:sz w:val="32"/>
          <w:szCs w:val="32"/>
        </w:rPr>
      </w:pPr>
      <w:r>
        <w:rPr>
          <w:rFonts w:hint="eastAsia" w:ascii="仿宋_GB2312" w:eastAsia="仿宋_GB2312"/>
          <w:b/>
          <w:bCs/>
          <w:kern w:val="0"/>
          <w:sz w:val="32"/>
          <w:szCs w:val="32"/>
        </w:rPr>
        <w:t>一是强化资金使用规范。</w:t>
      </w:r>
      <w:r>
        <w:rPr>
          <w:rFonts w:hint="eastAsia" w:ascii="仿宋_GB2312" w:eastAsia="仿宋_GB2312"/>
          <w:kern w:val="0"/>
          <w:sz w:val="32"/>
          <w:szCs w:val="32"/>
        </w:rPr>
        <w:t>做到了用好财政资金，确保了单位日常工作顺利开展。按年初预算合理安排各项资金支出。加强财政资金的最大化效益分析和评估，合理利用，及时总结和纠正资金使用的存在的问题。完成了年初财政预算收支目标任务。</w:t>
      </w:r>
    </w:p>
    <w:p>
      <w:pPr>
        <w:pStyle w:val="34"/>
        <w:spacing w:line="500" w:lineRule="exact"/>
        <w:rPr>
          <w:rFonts w:ascii="仿宋_GB2312" w:eastAsia="仿宋_GB2312"/>
          <w:b/>
          <w:bCs/>
          <w:kern w:val="0"/>
          <w:sz w:val="32"/>
          <w:szCs w:val="32"/>
        </w:rPr>
      </w:pPr>
      <w:r>
        <w:rPr>
          <w:rFonts w:hint="eastAsia" w:eastAsia="仿宋_GB2312"/>
          <w:kern w:val="0"/>
          <w:sz w:val="32"/>
          <w:szCs w:val="32"/>
        </w:rPr>
        <w:t>    </w:t>
      </w:r>
      <w:r>
        <w:rPr>
          <w:rFonts w:hint="eastAsia" w:ascii="仿宋_GB2312" w:eastAsia="仿宋_GB2312"/>
          <w:b/>
          <w:bCs/>
          <w:kern w:val="0"/>
          <w:sz w:val="32"/>
          <w:szCs w:val="32"/>
        </w:rPr>
        <w:t>二是扩大资金使用效益。</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①</w:t>
      </w:r>
      <w:r>
        <w:rPr>
          <w:rFonts w:hint="eastAsia" w:ascii="仿宋_GB2312" w:hAnsi="Calibri" w:eastAsia="仿宋_GB2312"/>
          <w:sz w:val="32"/>
          <w:szCs w:val="32"/>
          <w:lang w:eastAsia="zh-CN" w:bidi="ar-SA"/>
        </w:rPr>
        <w:t>切实抓好气象服务工作，全年未发生重大灾情。实施中央乡村振兴项目，开展春耕春播、夏收夏种、秋收秋种等专题天气预报，农业气象周报与月报，烟叶气象专题、杂交稻制种等专题服务，为农业生产提供直通服务，把天气预报送到他们手中，同时多次应群众要求在干旱乡镇开展人影作业。与道县农业农村局开展气象服务合作，深化针对性农业气象服务、人工影响天气、气象数据分析等方面合作。</w:t>
      </w:r>
      <w:r>
        <w:rPr>
          <w:rFonts w:hint="eastAsia" w:ascii="仿宋" w:hAnsi="仿宋" w:eastAsia="仿宋"/>
          <w:sz w:val="32"/>
          <w:szCs w:val="32"/>
        </w:rPr>
        <w:t>在春运、春耕春播、夏收夏种等关键时期，开展为农气象服务，发布春耕春播等专题天气预报，农业气象周报与月报，烟叶气象专题、杂交稻制种等专题服务，为农业生产提供直通服务，累计开展为农气象服务</w:t>
      </w:r>
      <w:r>
        <w:rPr>
          <w:rFonts w:hint="eastAsia" w:ascii="仿宋" w:hAnsi="仿宋" w:eastAsia="仿宋"/>
          <w:sz w:val="32"/>
          <w:szCs w:val="32"/>
          <w:lang w:eastAsia="zh-CN"/>
        </w:rPr>
        <w:t>47</w:t>
      </w:r>
      <w:r>
        <w:rPr>
          <w:rFonts w:hint="eastAsia" w:ascii="仿宋" w:hAnsi="仿宋" w:eastAsia="仿宋"/>
          <w:sz w:val="32"/>
          <w:szCs w:val="32"/>
        </w:rPr>
        <w:t>期。</w:t>
      </w:r>
      <w:r>
        <w:rPr>
          <w:rFonts w:hint="eastAsia" w:ascii="仿宋" w:hAnsi="仿宋" w:eastAsia="仿宋"/>
          <w:sz w:val="32"/>
          <w:szCs w:val="32"/>
          <w:lang w:eastAsia="zh-CN"/>
        </w:rPr>
        <w:t>今年我县暴雨过程19次，其中有站点超过100mm的大暴雨过程10次，共发布89乡镇（街道）次暴雨临灾警报，其中9乡镇（街道）次暴雨红色临灾警报。全年</w:t>
      </w:r>
      <w:r>
        <w:rPr>
          <w:rFonts w:hint="eastAsia" w:ascii="仿宋" w:hAnsi="仿宋" w:eastAsia="仿宋"/>
          <w:sz w:val="32"/>
          <w:szCs w:val="32"/>
        </w:rPr>
        <w:t>发布各类预警</w:t>
      </w:r>
      <w:r>
        <w:rPr>
          <w:rFonts w:hint="eastAsia" w:ascii="仿宋" w:hAnsi="仿宋" w:eastAsia="仿宋"/>
          <w:sz w:val="32"/>
          <w:szCs w:val="32"/>
          <w:lang w:eastAsia="zh-CN"/>
        </w:rPr>
        <w:t>755</w:t>
      </w:r>
      <w:r>
        <w:rPr>
          <w:rFonts w:hint="eastAsia" w:ascii="仿宋" w:hAnsi="仿宋" w:eastAsia="仿宋"/>
          <w:sz w:val="32"/>
          <w:szCs w:val="32"/>
        </w:rPr>
        <w:t>期</w:t>
      </w:r>
      <w:r>
        <w:rPr>
          <w:rFonts w:hint="eastAsia" w:ascii="仿宋" w:hAnsi="仿宋" w:eastAsia="仿宋"/>
          <w:sz w:val="32"/>
          <w:szCs w:val="32"/>
          <w:lang w:eastAsia="zh-CN"/>
        </w:rPr>
        <w:t>259万</w:t>
      </w:r>
      <w:r>
        <w:rPr>
          <w:rFonts w:hint="eastAsia" w:ascii="仿宋" w:hAnsi="仿宋" w:eastAsia="仿宋"/>
          <w:sz w:val="32"/>
          <w:szCs w:val="32"/>
        </w:rPr>
        <w:t>人次</w:t>
      </w:r>
      <w:r>
        <w:rPr>
          <w:rFonts w:hint="eastAsia" w:ascii="仿宋" w:hAnsi="仿宋" w:eastAsia="仿宋"/>
          <w:sz w:val="32"/>
          <w:szCs w:val="32"/>
          <w:lang w:eastAsia="zh-CN"/>
        </w:rPr>
        <w:t>、</w:t>
      </w:r>
      <w:r>
        <w:rPr>
          <w:rFonts w:hint="eastAsia" w:ascii="仿宋" w:hAnsi="仿宋" w:eastAsia="仿宋"/>
          <w:sz w:val="32"/>
          <w:szCs w:val="32"/>
        </w:rPr>
        <w:t>地质灾害风险临近预警</w:t>
      </w:r>
      <w:r>
        <w:rPr>
          <w:rFonts w:hint="eastAsia" w:ascii="仿宋" w:hAnsi="仿宋" w:eastAsia="仿宋"/>
          <w:sz w:val="32"/>
          <w:szCs w:val="32"/>
          <w:lang w:eastAsia="zh-CN"/>
        </w:rPr>
        <w:t>89</w:t>
      </w:r>
      <w:r>
        <w:rPr>
          <w:rFonts w:hint="eastAsia" w:ascii="仿宋" w:hAnsi="仿宋" w:eastAsia="仿宋"/>
          <w:sz w:val="32"/>
          <w:szCs w:val="32"/>
        </w:rPr>
        <w:t>期</w:t>
      </w:r>
      <w:r>
        <w:rPr>
          <w:rFonts w:hint="eastAsia" w:ascii="仿宋" w:hAnsi="仿宋" w:eastAsia="仿宋"/>
          <w:sz w:val="32"/>
          <w:szCs w:val="32"/>
          <w:lang w:eastAsia="zh-CN"/>
        </w:rPr>
        <w:t>、</w:t>
      </w:r>
      <w:r>
        <w:rPr>
          <w:rFonts w:hint="eastAsia" w:ascii="仿宋" w:hAnsi="仿宋" w:eastAsia="仿宋"/>
          <w:sz w:val="32"/>
          <w:szCs w:val="32"/>
        </w:rPr>
        <w:t>高风险区全网用户靶向发布预警</w:t>
      </w:r>
      <w:r>
        <w:rPr>
          <w:rFonts w:hint="eastAsia" w:ascii="仿宋" w:hAnsi="仿宋" w:eastAsia="仿宋"/>
          <w:sz w:val="32"/>
          <w:szCs w:val="32"/>
          <w:lang w:eastAsia="zh-CN"/>
        </w:rPr>
        <w:t>44乡镇</w:t>
      </w:r>
      <w:r>
        <w:rPr>
          <w:rFonts w:hint="eastAsia" w:ascii="仿宋" w:hAnsi="仿宋" w:eastAsia="仿宋"/>
          <w:sz w:val="32"/>
          <w:szCs w:val="32"/>
        </w:rPr>
        <w:t>次</w:t>
      </w:r>
      <w:r>
        <w:rPr>
          <w:rFonts w:hint="eastAsia" w:ascii="仿宋" w:hAnsi="仿宋" w:eastAsia="仿宋"/>
          <w:sz w:val="32"/>
          <w:szCs w:val="32"/>
          <w:lang w:eastAsia="zh-CN"/>
        </w:rPr>
        <w:t>46万</w:t>
      </w:r>
      <w:r>
        <w:rPr>
          <w:rFonts w:hint="eastAsia" w:ascii="仿宋" w:hAnsi="仿宋" w:eastAsia="仿宋"/>
          <w:sz w:val="32"/>
          <w:szCs w:val="32"/>
        </w:rPr>
        <w:t>人次</w:t>
      </w:r>
      <w:r>
        <w:rPr>
          <w:rFonts w:hint="eastAsia" w:ascii="仿宋" w:hAnsi="仿宋" w:eastAsia="仿宋"/>
          <w:sz w:val="32"/>
          <w:szCs w:val="32"/>
          <w:lang w:eastAsia="zh-CN"/>
        </w:rPr>
        <w:t>，预警闪信2次。</w:t>
      </w:r>
      <w:r>
        <w:rPr>
          <w:rFonts w:hint="eastAsia" w:ascii="仿宋" w:hAnsi="仿宋" w:eastAsia="仿宋"/>
          <w:sz w:val="32"/>
          <w:szCs w:val="32"/>
        </w:rPr>
        <w:t>由于气象决策服务到位，我县未发生重大灾害性事故，未垮一库一坝，未伤亡一人。</w:t>
      </w:r>
    </w:p>
    <w:p>
      <w:pPr>
        <w:spacing w:line="56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②扎实做好人工影响天气，为更好地开展人影作业，我局制定年度工作计划，并组织作业人员参加培训取得结业证书，并对火箭炮进行了年检和维护。抓住有利时机，在各个乡镇进行多次人工消雹作业，作业效果良好，烟草未受冰雹影响。</w:t>
      </w:r>
      <w:r>
        <w:rPr>
          <w:rFonts w:hint="eastAsia" w:ascii="仿宋" w:hAnsi="仿宋" w:eastAsia="仿宋"/>
          <w:sz w:val="32"/>
          <w:szCs w:val="32"/>
        </w:rPr>
        <w:t>累计开展人工防雹增雨作业</w:t>
      </w:r>
      <w:r>
        <w:rPr>
          <w:rFonts w:hint="eastAsia" w:ascii="仿宋" w:hAnsi="仿宋" w:eastAsia="仿宋"/>
          <w:sz w:val="32"/>
          <w:szCs w:val="32"/>
          <w:lang w:eastAsia="zh-CN"/>
        </w:rPr>
        <w:t>10</w:t>
      </w:r>
      <w:r>
        <w:rPr>
          <w:rFonts w:hint="eastAsia" w:ascii="仿宋" w:hAnsi="仿宋" w:eastAsia="仿宋"/>
          <w:sz w:val="32"/>
          <w:szCs w:val="32"/>
        </w:rPr>
        <w:t>次，有效减轻了冰雹</w:t>
      </w:r>
      <w:r>
        <w:rPr>
          <w:rFonts w:hint="eastAsia" w:ascii="仿宋" w:hAnsi="仿宋" w:eastAsia="仿宋"/>
          <w:sz w:val="32"/>
          <w:szCs w:val="32"/>
          <w:lang w:eastAsia="zh-CN"/>
        </w:rPr>
        <w:t>、干旱</w:t>
      </w:r>
      <w:r>
        <w:rPr>
          <w:rFonts w:hint="eastAsia" w:ascii="仿宋" w:hAnsi="仿宋" w:eastAsia="仿宋"/>
          <w:sz w:val="32"/>
          <w:szCs w:val="32"/>
        </w:rPr>
        <w:t>对</w:t>
      </w:r>
      <w:r>
        <w:rPr>
          <w:rFonts w:hint="eastAsia" w:ascii="仿宋" w:hAnsi="仿宋" w:eastAsia="仿宋"/>
          <w:sz w:val="32"/>
          <w:szCs w:val="32"/>
          <w:lang w:eastAsia="zh-CN"/>
        </w:rPr>
        <w:t>农业</w:t>
      </w:r>
      <w:r>
        <w:rPr>
          <w:rFonts w:hint="eastAsia" w:ascii="仿宋" w:hAnsi="仿宋" w:eastAsia="仿宋"/>
          <w:sz w:val="32"/>
          <w:szCs w:val="32"/>
        </w:rPr>
        <w:t>生产的损害。</w:t>
      </w:r>
      <w:r>
        <w:rPr>
          <w:rFonts w:ascii="仿宋" w:hAnsi="仿宋" w:eastAsia="仿宋"/>
          <w:sz w:val="32"/>
          <w:szCs w:val="32"/>
        </w:rPr>
        <w:t>推动人工影响天气设备更新，加强人工影响天气安全，优化炮点布局，发挥人工影响天气最大效益。</w:t>
      </w:r>
      <w:r>
        <w:rPr>
          <w:rFonts w:hint="eastAsia" w:ascii="仿宋" w:hAnsi="仿宋" w:eastAsia="仿宋"/>
          <w:sz w:val="32"/>
          <w:szCs w:val="32"/>
          <w:lang w:eastAsia="zh-CN"/>
        </w:rPr>
        <w:t>目前</w:t>
      </w:r>
      <w:r>
        <w:rPr>
          <w:rFonts w:hint="eastAsia" w:ascii="仿宋_GB2312" w:hAnsi="仿宋_GB2312" w:eastAsia="仿宋_GB2312" w:cs="仿宋_GB2312"/>
          <w:sz w:val="32"/>
          <w:szCs w:val="32"/>
          <w:lang w:eastAsia="zh-CN"/>
        </w:rPr>
        <w:t>道县</w:t>
      </w:r>
      <w:r>
        <w:rPr>
          <w:rFonts w:hint="eastAsia" w:ascii="仿宋_GB2312" w:hAnsi="仿宋_GB2312" w:eastAsia="仿宋_GB2312" w:cs="仿宋_GB2312"/>
          <w:sz w:val="32"/>
          <w:szCs w:val="32"/>
        </w:rPr>
        <w:t>祥霖铺</w:t>
      </w:r>
      <w:r>
        <w:rPr>
          <w:rFonts w:hint="eastAsia" w:ascii="仿宋_GB2312" w:hAnsi="仿宋_GB2312" w:eastAsia="仿宋_GB2312" w:cs="仿宋_GB2312"/>
          <w:sz w:val="32"/>
          <w:szCs w:val="32"/>
          <w:lang w:eastAsia="zh-CN"/>
        </w:rPr>
        <w:t>镇、寿雁镇两个</w:t>
      </w:r>
      <w:r>
        <w:rPr>
          <w:rFonts w:hint="eastAsia" w:ascii="仿宋_GB2312" w:hAnsi="仿宋_GB2312" w:eastAsia="仿宋_GB2312" w:cs="仿宋_GB2312"/>
          <w:sz w:val="32"/>
          <w:szCs w:val="32"/>
        </w:rPr>
        <w:t>标准化炮点</w:t>
      </w:r>
      <w:r>
        <w:rPr>
          <w:rFonts w:hint="eastAsia" w:ascii="仿宋_GB2312" w:hAnsi="仿宋_GB2312" w:eastAsia="仿宋_GB2312" w:cs="仿宋_GB2312"/>
          <w:sz w:val="32"/>
          <w:szCs w:val="32"/>
          <w:lang w:eastAsia="zh-CN"/>
        </w:rPr>
        <w:t>均已完成</w:t>
      </w:r>
      <w:r>
        <w:rPr>
          <w:rFonts w:hint="eastAsia" w:ascii="仿宋_GB2312" w:hAnsi="仿宋_GB2312" w:eastAsia="仿宋_GB2312" w:cs="仿宋_GB2312"/>
          <w:sz w:val="32"/>
          <w:szCs w:val="32"/>
        </w:rPr>
        <w:t>建设</w:t>
      </w:r>
      <w:r>
        <w:rPr>
          <w:rFonts w:hint="eastAsia" w:ascii="仿宋_GB2312" w:hAnsi="仿宋_GB2312" w:eastAsia="仿宋_GB2312" w:cs="仿宋_GB2312"/>
          <w:sz w:val="32"/>
          <w:szCs w:val="32"/>
          <w:lang w:eastAsia="zh-CN"/>
        </w:rPr>
        <w:t>，并通过联合验收移交气象部门</w:t>
      </w:r>
      <w:r>
        <w:rPr>
          <w:rFonts w:hint="eastAsia" w:ascii="仿宋_GB2312" w:hAnsi="仿宋_GB2312" w:eastAsia="仿宋_GB2312" w:cs="仿宋_GB2312"/>
          <w:sz w:val="32"/>
          <w:szCs w:val="32"/>
        </w:rPr>
        <w:t>。</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③按照省、市局的要求，继续推进突发事件预警平台建设。与多个部门防灾减灾救灾业务融合，统一领导，统一调度，密切合作，建立统一联系平台，及时发布针对性预警，参与同一队伍（灾害信息员队伍）。联合开展自然灾害综合风险普查工作、协作杂交稻制种的工作、对森林防火工作提供卫星火源地点、与住建部门联合执法开展防雷防灾工作等。对乡镇领导的换届工作做到及时更新防汛责任人，同步推广气象信息员工作，定时开展培训工作，必要时使用腾讯会议发布预警信息开展培训传达，和应急管理局即时联络实行灾情上报等等。</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④做好重大活动保障气象服务。按照“一活动一方案”，开展临近逐小时精细化气象服务，圆满完成春运、中高考、道州国家非遗龙舟赛专题气象服务等重大活动。气象局四次参与龙船赛相关赛事、活动时间决策，还总结提炼出龙舟赛风力指征标准。龙舟赛闭幕式无人机直播特别感谢气象部门。</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⑤根据市、县政府的要求，陆续开展了安全生产月、防雷安全生产专项整治，加强辖区内气象部门职责范围内的防雷安全重点单位和雷电防护装置检测活动的监管，落实雷电防护装置业主单位的主体责任，加大对违法行为的责任追究，督促存在雷电灾害事故隐患的单位及时完成整改，确保防雷安全。</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 xml:space="preserve">⑥扎实做好乡村振兴工作。严格落实各项政策，开展针对性的帮扶措施等工作，提升乡村振兴质量。 </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⑦</w:t>
      </w:r>
      <w:r>
        <w:rPr>
          <w:rFonts w:hint="eastAsia" w:ascii="仿宋_GB2312" w:hAnsi="仿宋_GB2312" w:eastAsia="仿宋_GB2312" w:cs="仿宋_GB2312"/>
          <w:sz w:val="32"/>
          <w:szCs w:val="32"/>
        </w:rPr>
        <w:t>积极开展科普宣传。利用“3.23”世界气象日、“5.12”防灾减灾日、“科技活动周”等专题活动积极开展线上线下相结合气象科普宣传，普及气象科普、人工影响天气、防雷减灾、气象法律法规等方面知识，提高市民的气象防灾减灾意识和应急防范能力。</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七、存在的主要问题</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1、政治建设与党中央的要求还存在差距，“三会一课”、 民主生活会、组织生活会质量还不高。</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2、为农气象服务水平不足，对农业气象服务产品的针对性有待进一步加强。县级气象部门自身人数少琐事多，现有气象业务服务人员知识结构比较单一，复合型人才较少。服务针对性不足，与农业农村的需求存在差距。</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3.气象科技服务存在差距，推进气候可行性论证等中高端气象服务存在困难，力不从心。</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八、改进措施和有关建议</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1、认真贯彻党的二十大精神，以党的政治建设为统领，把贯彻落实习近平总书记关于气象工作重要指示精神和党中央决策部署落到实处。持续推进党建和业务深度融合，认真落实习近平总书记关于气象工作的重要指示批示和国务院《气象高质量发展纲要（2023-2025年）》。严格落实中央八项规定及其实施细则精神。</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2、提高气象预报和服务质量。定期组织全体业务人员进行与预报、预警、气象服务的学习，力争提高预报预警准确率，提升气象服务水平。积极组织现有业务服务人员参加省、市局的相关培训，加强气象为农服务人才的培养。加强部门联防联动合作，开展专业气象服务，提高气象灾害预警提前量，加快气象防灾减灾决策部署。加快气象防灾减灾“六个一”建设，在各乡镇机关、应急、水利等防指成员单位部门推广安装最新天气盒子设备，推进各部门数据共享和交流。</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3、加强防雷安全社会管理职能。认真学习《中华人民共和国气象法》、《气象灾害防御条例》等法律法规。加强辖区内气象部门职责范围内的防雷安全重点单位和雷电防护装置检测活动的监管，落实雷电防护装置业主单位的主体责任，督促存在雷电灾害事故隐患的单位及时完成整改，确保防雷安全。完善“信易+防雷”工作，修改实施工作方案和信用修复方案，优化公平诚信的防雷安全环境。</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4、深化拓展气象科技服务。继续拓展气候可行性论证项目，积极联络农业局开展特色农产品等农业气象服务；联动自然资源局开展地质灾害预警服务，辅助产业高质量发展。</w:t>
      </w:r>
    </w:p>
    <w:p>
      <w:pPr>
        <w:spacing w:line="500" w:lineRule="exact"/>
        <w:ind w:firstLine="640" w:firstLineChars="200"/>
        <w:rPr>
          <w:rFonts w:ascii="仿宋_GB2312" w:hAnsi="仿宋_GB2312" w:eastAsia="仿宋_GB2312" w:cs="仿宋_GB2312"/>
          <w:sz w:val="32"/>
          <w:szCs w:val="32"/>
          <w:lang w:eastAsia="zh-CN"/>
        </w:rPr>
      </w:pPr>
    </w:p>
    <w:p>
      <w:pPr>
        <w:pStyle w:val="34"/>
        <w:spacing w:line="500" w:lineRule="exact"/>
        <w:ind w:firstLine="643" w:firstLineChars="200"/>
        <w:rPr>
          <w:rFonts w:ascii="黑体" w:hAnsi="黑体" w:eastAsia="黑体" w:cs="黑体"/>
          <w:b/>
          <w:color w:val="010101"/>
          <w:kern w:val="0"/>
          <w:sz w:val="32"/>
          <w:szCs w:val="32"/>
        </w:rPr>
      </w:pPr>
      <w:bookmarkStart w:id="0" w:name="_GoBack"/>
      <w:bookmarkEnd w:id="0"/>
      <w:r>
        <w:rPr>
          <w:rFonts w:hint="eastAsia" w:ascii="黑体" w:hAnsi="黑体" w:eastAsia="黑体" w:cs="黑体"/>
          <w:b/>
          <w:color w:val="010101"/>
          <w:kern w:val="0"/>
          <w:sz w:val="32"/>
          <w:szCs w:val="32"/>
        </w:rPr>
        <w:t>九、绩效自评结果拟应用和公开情况</w:t>
      </w:r>
    </w:p>
    <w:p>
      <w:pPr>
        <w:pStyle w:val="4"/>
        <w:widowControl/>
        <w:spacing w:beforeAutospacing="0"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根据财政部门要求及时在门户网站公开预决算及整体支出绩效自评报告。</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十、其他需要说明的情况</w:t>
      </w:r>
    </w:p>
    <w:p>
      <w:pPr>
        <w:pStyle w:val="4"/>
        <w:widowControl/>
        <w:spacing w:beforeAutospacing="0" w:line="500" w:lineRule="exact"/>
        <w:ind w:firstLine="960" w:firstLineChars="300"/>
        <w:rPr>
          <w:rStyle w:val="18"/>
          <w:lang w:val="en-US"/>
        </w:rPr>
        <w:sectPr>
          <w:footerReference r:id="rId5" w:type="default"/>
          <w:pgSz w:w="11909" w:h="16838"/>
          <w:pgMar w:top="1281" w:right="1007" w:bottom="1283" w:left="1089" w:header="853" w:footer="3" w:gutter="0"/>
          <w:cols w:space="720" w:num="1"/>
          <w:docGrid w:linePitch="360" w:charSpace="0"/>
        </w:sectPr>
      </w:pPr>
      <w:r>
        <w:rPr>
          <w:rFonts w:hint="eastAsia" w:ascii="仿宋_GB2312" w:hAnsi="Calibri" w:eastAsia="仿宋_GB2312"/>
          <w:sz w:val="32"/>
          <w:szCs w:val="32"/>
          <w:lang w:eastAsia="zh-CN" w:bidi="ar-SA"/>
        </w:rPr>
        <w:t>无其他需要说明的情况。</w:t>
      </w:r>
    </w:p>
    <w:p>
      <w:pPr>
        <w:pStyle w:val="15"/>
        <w:spacing w:after="0"/>
        <w:jc w:val="both"/>
      </w:pPr>
    </w:p>
    <w:sectPr>
      <w:footerReference r:id="rId6" w:type="default"/>
      <w:pgSz w:w="11909" w:h="16838"/>
      <w:pgMar w:top="6216" w:right="569" w:bottom="6216" w:left="1134" w:header="0"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pict>
        <v:shape id="Shape 5" o:spid="_x0000_s2050" o:spt="202" type="#_x0000_t202" style="position:absolute;left:0pt;margin-left:281.75pt;margin-top:784pt;height:6.25pt;width:26.4pt;mso-position-horizontal-relative:page;mso-position-vertical-relative:page;mso-wrap-style:none;z-index:-251657216;mso-width-relative:page;mso-height-relative:page;" filled="f" stroked="f" coordsize="21600,21600" o:gfxdata="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3sTMD1wAAAA0BAAAPAAAAAAAAAAEAIAAAACIAAABkcnMvZG93bnJldi54bWxQSwECFAAU&#10;AAAACACHTuJAQJrzwbkBAACUAwAADgAAAAAAAAABACAAAAAmAQAAZHJzL2Uyb0RvYy54bWxQSwUG&#10;AAAAAAYABgBZAQAAUQUAAAAA&#10;">
          <v:path/>
          <v:fill on="f" focussize="0,0"/>
          <v:stroke on="f" joinstyle="miter"/>
          <v:imagedata o:title=""/>
          <o:lock v:ext="edit"/>
          <v:textbox inset="0mm,0mm,0mm,0mm" style="mso-fit-shape-to-text:t;">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1</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pict>
        <v:shape id="Shape 9" o:spid="_x0000_s2049" o:spt="202" type="#_x0000_t202" style="position:absolute;left:0pt;margin-left:281.75pt;margin-top:784pt;height:6.25pt;width:26.4pt;mso-position-horizontal-relative:page;mso-position-vertical-relative:page;mso-wrap-style:none;z-index:-251656192;mso-width-relative:page;mso-height-relative:page;" filled="f" stroked="f" coordsize="21600,21600" o:gfxdata="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exMwPXAAAADQEAAA8AAAAAAAAAAQAgAAAAIgAAAGRycy9kb3ducmV2LnhtbFBLAQIUABQA&#10;AAAIAIdO4kCk3zFCuAEAAJQDAAAOAAAAAAAAAAEAIAAAACYBAABkcnMvZTJvRG9jLnhtbFBLBQYA&#10;AAAABgAGAFkBAABQBQAAAAA=&#10;">
          <v:path/>
          <v:fill on="f" focussize="0,0"/>
          <v:stroke on="f" joinstyle="miter"/>
          <v:imagedata o:title=""/>
          <o:lock v:ext="edit"/>
          <v:textbox inset="0mm,0mm,0mm,0mm" style="mso-fit-shape-to-text:t;">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7</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A5DEE7"/>
    <w:multiLevelType w:val="singleLevel"/>
    <w:tmpl w:val="F5A5DEE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81"/>
  <w:drawingGridVerticalSpacing w:val="181"/>
  <w:characterSpacingControl w:val="compressPunctuation"/>
  <w:hdrShapeDefaults>
    <o:shapelayout v:ext="edit">
      <o:idmap v:ext="edit" data="2"/>
    </o:shapelayout>
  </w:hdrShapeDefaults>
  <w:footnotePr>
    <w:footnote w:id="0"/>
    <w:footnote w:id="1"/>
  </w:footnotePr>
  <w:endnotePr>
    <w:endnote w:id="0"/>
    <w:endnote w:id="1"/>
  </w:endnotePr>
  <w:compat>
    <w:doNotExpandShiftReturn/>
    <w:useFELayout/>
    <w:compatSetting w:name="compatibilityMode" w:uri="http://schemas.microsoft.com/office/word" w:val="12"/>
  </w:compat>
  <w:docVars>
    <w:docVar w:name="commondata" w:val="eyJoZGlkIjoiZmU5ZWU0YzczYzJkMDE3YjZmMDc5NDdmMGMyNzhjNDYifQ=="/>
  </w:docVars>
  <w:rsids>
    <w:rsidRoot w:val="00E7235C"/>
    <w:rsid w:val="000D1260"/>
    <w:rsid w:val="00386FA7"/>
    <w:rsid w:val="005F4A49"/>
    <w:rsid w:val="00A351ED"/>
    <w:rsid w:val="00A81B80"/>
    <w:rsid w:val="00E7235C"/>
    <w:rsid w:val="01B17CB6"/>
    <w:rsid w:val="01D36FC3"/>
    <w:rsid w:val="01FC08A3"/>
    <w:rsid w:val="024E2783"/>
    <w:rsid w:val="03077134"/>
    <w:rsid w:val="066C0F90"/>
    <w:rsid w:val="0780617F"/>
    <w:rsid w:val="07E42F66"/>
    <w:rsid w:val="080E0EAA"/>
    <w:rsid w:val="088143D8"/>
    <w:rsid w:val="092A1D0B"/>
    <w:rsid w:val="0BD30898"/>
    <w:rsid w:val="0BED025E"/>
    <w:rsid w:val="0EE177DF"/>
    <w:rsid w:val="0F693D05"/>
    <w:rsid w:val="0FB96115"/>
    <w:rsid w:val="100124FA"/>
    <w:rsid w:val="109F7CDC"/>
    <w:rsid w:val="128B19E1"/>
    <w:rsid w:val="1317678A"/>
    <w:rsid w:val="1337209B"/>
    <w:rsid w:val="163113EA"/>
    <w:rsid w:val="16BB1925"/>
    <w:rsid w:val="179E3D32"/>
    <w:rsid w:val="17C90AA4"/>
    <w:rsid w:val="19886F19"/>
    <w:rsid w:val="19FA1725"/>
    <w:rsid w:val="1A1E27C9"/>
    <w:rsid w:val="1AF33901"/>
    <w:rsid w:val="1B4B24DD"/>
    <w:rsid w:val="1BBC572D"/>
    <w:rsid w:val="1F2A6936"/>
    <w:rsid w:val="20A7517C"/>
    <w:rsid w:val="23873791"/>
    <w:rsid w:val="26DD1A9F"/>
    <w:rsid w:val="280464B5"/>
    <w:rsid w:val="28C64758"/>
    <w:rsid w:val="2E1D1EBE"/>
    <w:rsid w:val="2F00322A"/>
    <w:rsid w:val="309D05AA"/>
    <w:rsid w:val="30CB44AF"/>
    <w:rsid w:val="32AC1D9D"/>
    <w:rsid w:val="32E935D7"/>
    <w:rsid w:val="339D7945"/>
    <w:rsid w:val="34FD3096"/>
    <w:rsid w:val="36794FEB"/>
    <w:rsid w:val="371B09FA"/>
    <w:rsid w:val="388572C9"/>
    <w:rsid w:val="398C1F97"/>
    <w:rsid w:val="3A532A28"/>
    <w:rsid w:val="3AE52CAA"/>
    <w:rsid w:val="3C117F8F"/>
    <w:rsid w:val="3CB80D14"/>
    <w:rsid w:val="3DC439D2"/>
    <w:rsid w:val="3E986EC0"/>
    <w:rsid w:val="3FE231B7"/>
    <w:rsid w:val="416251AF"/>
    <w:rsid w:val="423E51A1"/>
    <w:rsid w:val="427C1B51"/>
    <w:rsid w:val="428B0580"/>
    <w:rsid w:val="450665E4"/>
    <w:rsid w:val="45C53DA9"/>
    <w:rsid w:val="4900526D"/>
    <w:rsid w:val="4AE922E8"/>
    <w:rsid w:val="4AF85F7F"/>
    <w:rsid w:val="4C1B4C00"/>
    <w:rsid w:val="4C586FD0"/>
    <w:rsid w:val="4CC065F7"/>
    <w:rsid w:val="4CD528A6"/>
    <w:rsid w:val="4EA51010"/>
    <w:rsid w:val="504A41CA"/>
    <w:rsid w:val="508E3509"/>
    <w:rsid w:val="50A82090"/>
    <w:rsid w:val="513916C9"/>
    <w:rsid w:val="52824BA4"/>
    <w:rsid w:val="528F5414"/>
    <w:rsid w:val="52F749BC"/>
    <w:rsid w:val="542F70DE"/>
    <w:rsid w:val="55A12721"/>
    <w:rsid w:val="55CD576F"/>
    <w:rsid w:val="560A3063"/>
    <w:rsid w:val="56A05E3F"/>
    <w:rsid w:val="571219AA"/>
    <w:rsid w:val="573814BF"/>
    <w:rsid w:val="57B35C10"/>
    <w:rsid w:val="588734BB"/>
    <w:rsid w:val="59416985"/>
    <w:rsid w:val="5967244C"/>
    <w:rsid w:val="5A13112F"/>
    <w:rsid w:val="5AF75EDF"/>
    <w:rsid w:val="5AFB6BFD"/>
    <w:rsid w:val="5B343247"/>
    <w:rsid w:val="5C337620"/>
    <w:rsid w:val="5DFB359E"/>
    <w:rsid w:val="5EBB5B42"/>
    <w:rsid w:val="60BE685E"/>
    <w:rsid w:val="621A35FE"/>
    <w:rsid w:val="630C4753"/>
    <w:rsid w:val="64587459"/>
    <w:rsid w:val="656C4C34"/>
    <w:rsid w:val="65EE1816"/>
    <w:rsid w:val="66567A27"/>
    <w:rsid w:val="68B23016"/>
    <w:rsid w:val="69DE6925"/>
    <w:rsid w:val="6C6D0834"/>
    <w:rsid w:val="6DC63FCE"/>
    <w:rsid w:val="6DD91BD3"/>
    <w:rsid w:val="6E4615FC"/>
    <w:rsid w:val="6FB26954"/>
    <w:rsid w:val="70763D6E"/>
    <w:rsid w:val="715E3BFB"/>
    <w:rsid w:val="742D6C78"/>
    <w:rsid w:val="76DB6702"/>
    <w:rsid w:val="7A035BFD"/>
    <w:rsid w:val="7A2A2642"/>
    <w:rsid w:val="7A9C0852"/>
    <w:rsid w:val="7CFA4669"/>
    <w:rsid w:val="7D0B22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6"/>
    <w:uiPriority w:val="0"/>
    <w:pPr>
      <w:tabs>
        <w:tab w:val="center" w:pos="4153"/>
        <w:tab w:val="right" w:pos="8306"/>
      </w:tabs>
      <w:snapToGrid w:val="0"/>
    </w:pPr>
    <w:rPr>
      <w:sz w:val="18"/>
      <w:szCs w:val="18"/>
    </w:rPr>
  </w:style>
  <w:style w:type="paragraph" w:styleId="3">
    <w:name w:val="header"/>
    <w:basedOn w:val="1"/>
    <w:link w:val="35"/>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pPr>
  </w:style>
  <w:style w:type="paragraph" w:customStyle="1" w:styleId="7">
    <w:name w:val="NormalIndent"/>
    <w:basedOn w:val="1"/>
    <w:qFormat/>
    <w:uiPriority w:val="0"/>
    <w:pPr>
      <w:ind w:firstLine="567"/>
      <w:jc w:val="both"/>
      <w:textAlignment w:val="baseline"/>
    </w:pPr>
  </w:style>
  <w:style w:type="character" w:customStyle="1" w:styleId="8">
    <w:name w:val="Char Style 3"/>
    <w:basedOn w:val="6"/>
    <w:link w:val="9"/>
    <w:qFormat/>
    <w:uiPriority w:val="0"/>
    <w:rPr>
      <w:rFonts w:ascii="宋体" w:hAnsi="宋体" w:eastAsia="宋体" w:cs="宋体"/>
      <w:b/>
      <w:bCs/>
      <w:sz w:val="52"/>
      <w:szCs w:val="52"/>
      <w:u w:val="none"/>
      <w:lang w:val="zh-CN" w:eastAsia="zh-CN" w:bidi="zh-CN"/>
    </w:rPr>
  </w:style>
  <w:style w:type="paragraph" w:customStyle="1" w:styleId="9">
    <w:name w:val="Style 2"/>
    <w:basedOn w:val="1"/>
    <w:link w:val="8"/>
    <w:qFormat/>
    <w:uiPriority w:val="0"/>
    <w:pPr>
      <w:spacing w:before="2270" w:after="180"/>
      <w:jc w:val="center"/>
    </w:pPr>
    <w:rPr>
      <w:rFonts w:ascii="宋体" w:hAnsi="宋体" w:eastAsia="宋体" w:cs="宋体"/>
      <w:b/>
      <w:bCs/>
      <w:sz w:val="52"/>
      <w:szCs w:val="52"/>
      <w:lang w:val="zh-CN" w:eastAsia="zh-CN" w:bidi="zh-CN"/>
    </w:rPr>
  </w:style>
  <w:style w:type="character" w:customStyle="1" w:styleId="10">
    <w:name w:val="Char Style 6"/>
    <w:basedOn w:val="6"/>
    <w:link w:val="11"/>
    <w:qFormat/>
    <w:uiPriority w:val="0"/>
    <w:rPr>
      <w:sz w:val="20"/>
      <w:szCs w:val="20"/>
      <w:u w:val="none"/>
      <w:lang w:val="zh-CN" w:eastAsia="zh-CN" w:bidi="zh-CN"/>
    </w:rPr>
  </w:style>
  <w:style w:type="paragraph" w:customStyle="1" w:styleId="11">
    <w:name w:val="Style 5"/>
    <w:basedOn w:val="1"/>
    <w:link w:val="10"/>
    <w:qFormat/>
    <w:uiPriority w:val="0"/>
    <w:rPr>
      <w:sz w:val="20"/>
      <w:szCs w:val="20"/>
      <w:lang w:val="zh-CN" w:eastAsia="zh-CN" w:bidi="zh-CN"/>
    </w:rPr>
  </w:style>
  <w:style w:type="character" w:customStyle="1" w:styleId="12">
    <w:name w:val="Char Style 9"/>
    <w:basedOn w:val="6"/>
    <w:link w:val="13"/>
    <w:qFormat/>
    <w:uiPriority w:val="0"/>
    <w:rPr>
      <w:rFonts w:ascii="仿宋" w:hAnsi="仿宋" w:eastAsia="仿宋" w:cs="仿宋"/>
      <w:sz w:val="28"/>
      <w:szCs w:val="28"/>
      <w:u w:val="none"/>
      <w:lang w:val="zh-CN" w:eastAsia="zh-CN" w:bidi="zh-CN"/>
    </w:rPr>
  </w:style>
  <w:style w:type="paragraph" w:customStyle="1" w:styleId="13">
    <w:name w:val="Style 8"/>
    <w:basedOn w:val="1"/>
    <w:link w:val="12"/>
    <w:qFormat/>
    <w:uiPriority w:val="0"/>
    <w:pPr>
      <w:spacing w:line="440" w:lineRule="exact"/>
      <w:ind w:left="560"/>
    </w:pPr>
    <w:rPr>
      <w:rFonts w:ascii="仿宋" w:hAnsi="仿宋" w:eastAsia="仿宋" w:cs="仿宋"/>
      <w:sz w:val="28"/>
      <w:szCs w:val="28"/>
      <w:lang w:val="zh-CN" w:eastAsia="zh-CN" w:bidi="zh-CN"/>
    </w:rPr>
  </w:style>
  <w:style w:type="character" w:customStyle="1" w:styleId="14">
    <w:name w:val="Char Style 13"/>
    <w:basedOn w:val="6"/>
    <w:link w:val="15"/>
    <w:qFormat/>
    <w:uiPriority w:val="0"/>
    <w:rPr>
      <w:rFonts w:ascii="仿宋" w:hAnsi="仿宋" w:eastAsia="仿宋" w:cs="仿宋"/>
      <w:b/>
      <w:bCs/>
      <w:sz w:val="52"/>
      <w:szCs w:val="52"/>
      <w:u w:val="none"/>
      <w:lang w:val="zh-CN" w:eastAsia="zh-CN" w:bidi="zh-CN"/>
    </w:rPr>
  </w:style>
  <w:style w:type="paragraph" w:customStyle="1" w:styleId="15">
    <w:name w:val="Style 12"/>
    <w:basedOn w:val="1"/>
    <w:link w:val="14"/>
    <w:qFormat/>
    <w:uiPriority w:val="0"/>
    <w:pPr>
      <w:spacing w:after="660"/>
      <w:jc w:val="center"/>
    </w:pPr>
    <w:rPr>
      <w:rFonts w:ascii="仿宋" w:hAnsi="仿宋" w:eastAsia="仿宋" w:cs="仿宋"/>
      <w:b/>
      <w:bCs/>
      <w:sz w:val="52"/>
      <w:szCs w:val="52"/>
      <w:lang w:val="zh-CN" w:eastAsia="zh-CN" w:bidi="zh-CN"/>
    </w:rPr>
  </w:style>
  <w:style w:type="character" w:customStyle="1" w:styleId="16">
    <w:name w:val="Char Style 15"/>
    <w:basedOn w:val="6"/>
    <w:link w:val="17"/>
    <w:qFormat/>
    <w:uiPriority w:val="0"/>
    <w:rPr>
      <w:rFonts w:ascii="仿宋" w:hAnsi="仿宋" w:eastAsia="仿宋" w:cs="仿宋"/>
      <w:b/>
      <w:bCs/>
      <w:sz w:val="32"/>
      <w:szCs w:val="32"/>
      <w:u w:val="none"/>
      <w:lang w:val="zh-CN" w:eastAsia="zh-CN" w:bidi="zh-CN"/>
    </w:rPr>
  </w:style>
  <w:style w:type="paragraph" w:customStyle="1" w:styleId="17">
    <w:name w:val="Style 14"/>
    <w:basedOn w:val="1"/>
    <w:link w:val="16"/>
    <w:qFormat/>
    <w:uiPriority w:val="0"/>
    <w:pPr>
      <w:spacing w:line="638" w:lineRule="exact"/>
      <w:ind w:firstLine="660"/>
      <w:outlineLvl w:val="1"/>
    </w:pPr>
    <w:rPr>
      <w:rFonts w:ascii="仿宋" w:hAnsi="仿宋" w:eastAsia="仿宋" w:cs="仿宋"/>
      <w:b/>
      <w:bCs/>
      <w:sz w:val="32"/>
      <w:szCs w:val="32"/>
      <w:lang w:val="zh-CN" w:eastAsia="zh-CN" w:bidi="zh-CN"/>
    </w:rPr>
  </w:style>
  <w:style w:type="character" w:customStyle="1" w:styleId="18">
    <w:name w:val="Char Style 17"/>
    <w:basedOn w:val="6"/>
    <w:link w:val="19"/>
    <w:qFormat/>
    <w:uiPriority w:val="0"/>
    <w:rPr>
      <w:rFonts w:ascii="仿宋" w:hAnsi="仿宋" w:eastAsia="仿宋" w:cs="仿宋"/>
      <w:sz w:val="32"/>
      <w:szCs w:val="32"/>
      <w:u w:val="none"/>
      <w:lang w:val="zh-CN" w:eastAsia="zh-CN" w:bidi="zh-CN"/>
    </w:rPr>
  </w:style>
  <w:style w:type="paragraph" w:customStyle="1" w:styleId="19">
    <w:name w:val="Style 16"/>
    <w:basedOn w:val="1"/>
    <w:link w:val="18"/>
    <w:qFormat/>
    <w:uiPriority w:val="0"/>
    <w:pPr>
      <w:spacing w:line="420" w:lineRule="auto"/>
      <w:ind w:firstLine="400"/>
    </w:pPr>
    <w:rPr>
      <w:rFonts w:ascii="仿宋" w:hAnsi="仿宋" w:eastAsia="仿宋" w:cs="仿宋"/>
      <w:sz w:val="32"/>
      <w:szCs w:val="32"/>
      <w:lang w:val="zh-CN" w:eastAsia="zh-CN" w:bidi="zh-CN"/>
    </w:rPr>
  </w:style>
  <w:style w:type="character" w:customStyle="1" w:styleId="20">
    <w:name w:val="Char Style 20"/>
    <w:basedOn w:val="6"/>
    <w:link w:val="21"/>
    <w:qFormat/>
    <w:uiPriority w:val="0"/>
    <w:rPr>
      <w:rFonts w:ascii="宋体" w:hAnsi="宋体" w:eastAsia="宋体" w:cs="宋体"/>
      <w:sz w:val="36"/>
      <w:szCs w:val="36"/>
      <w:u w:val="none"/>
      <w:lang w:val="zh-CN" w:eastAsia="zh-CN" w:bidi="zh-CN"/>
    </w:rPr>
  </w:style>
  <w:style w:type="paragraph" w:customStyle="1" w:styleId="21">
    <w:name w:val="Style 19"/>
    <w:basedOn w:val="1"/>
    <w:link w:val="20"/>
    <w:qFormat/>
    <w:uiPriority w:val="0"/>
    <w:pPr>
      <w:jc w:val="center"/>
      <w:outlineLvl w:val="0"/>
    </w:pPr>
    <w:rPr>
      <w:rFonts w:ascii="宋体" w:hAnsi="宋体" w:eastAsia="宋体" w:cs="宋体"/>
      <w:sz w:val="36"/>
      <w:szCs w:val="36"/>
      <w:lang w:val="zh-CN" w:eastAsia="zh-CN" w:bidi="zh-CN"/>
    </w:rPr>
  </w:style>
  <w:style w:type="character" w:customStyle="1" w:styleId="22">
    <w:name w:val="Char Style 22"/>
    <w:basedOn w:val="6"/>
    <w:link w:val="23"/>
    <w:qFormat/>
    <w:uiPriority w:val="0"/>
    <w:rPr>
      <w:rFonts w:ascii="仿宋" w:hAnsi="仿宋" w:eastAsia="仿宋" w:cs="仿宋"/>
      <w:sz w:val="32"/>
      <w:szCs w:val="32"/>
      <w:u w:val="none"/>
      <w:lang w:val="zh-CN" w:eastAsia="zh-CN" w:bidi="zh-CN"/>
    </w:rPr>
  </w:style>
  <w:style w:type="paragraph" w:customStyle="1" w:styleId="23">
    <w:name w:val="Style 21"/>
    <w:basedOn w:val="1"/>
    <w:link w:val="22"/>
    <w:qFormat/>
    <w:uiPriority w:val="0"/>
    <w:pPr>
      <w:spacing w:line="420" w:lineRule="auto"/>
      <w:ind w:firstLine="400"/>
    </w:pPr>
    <w:rPr>
      <w:rFonts w:ascii="仿宋" w:hAnsi="仿宋" w:eastAsia="仿宋" w:cs="仿宋"/>
      <w:sz w:val="32"/>
      <w:szCs w:val="32"/>
      <w:lang w:val="zh-CN" w:eastAsia="zh-CN" w:bidi="zh-CN"/>
    </w:rPr>
  </w:style>
  <w:style w:type="character" w:customStyle="1" w:styleId="24">
    <w:name w:val="Char Style 28"/>
    <w:basedOn w:val="6"/>
    <w:link w:val="25"/>
    <w:qFormat/>
    <w:uiPriority w:val="0"/>
    <w:rPr>
      <w:rFonts w:ascii="宋体" w:hAnsi="宋体" w:eastAsia="宋体" w:cs="宋体"/>
      <w:sz w:val="18"/>
      <w:szCs w:val="18"/>
      <w:u w:val="none"/>
      <w:lang w:val="zh-CN" w:eastAsia="zh-CN" w:bidi="zh-CN"/>
    </w:rPr>
  </w:style>
  <w:style w:type="paragraph" w:customStyle="1" w:styleId="25">
    <w:name w:val="Style 27"/>
    <w:basedOn w:val="1"/>
    <w:link w:val="24"/>
    <w:qFormat/>
    <w:uiPriority w:val="0"/>
    <w:rPr>
      <w:rFonts w:ascii="宋体" w:hAnsi="宋体" w:eastAsia="宋体" w:cs="宋体"/>
      <w:sz w:val="18"/>
      <w:szCs w:val="18"/>
      <w:lang w:val="zh-CN" w:eastAsia="zh-CN" w:bidi="zh-CN"/>
    </w:rPr>
  </w:style>
  <w:style w:type="character" w:customStyle="1" w:styleId="26">
    <w:name w:val="Char Style 33"/>
    <w:basedOn w:val="6"/>
    <w:link w:val="27"/>
    <w:qFormat/>
    <w:uiPriority w:val="0"/>
    <w:rPr>
      <w:rFonts w:ascii="宋体" w:hAnsi="宋体" w:eastAsia="宋体" w:cs="宋体"/>
      <w:sz w:val="20"/>
      <w:szCs w:val="20"/>
      <w:u w:val="none"/>
      <w:lang w:val="zh-CN" w:eastAsia="zh-CN" w:bidi="zh-CN"/>
    </w:rPr>
  </w:style>
  <w:style w:type="paragraph" w:customStyle="1" w:styleId="27">
    <w:name w:val="Style 32"/>
    <w:basedOn w:val="1"/>
    <w:link w:val="26"/>
    <w:qFormat/>
    <w:uiPriority w:val="0"/>
    <w:pPr>
      <w:spacing w:after="130"/>
      <w:jc w:val="right"/>
    </w:pPr>
    <w:rPr>
      <w:rFonts w:ascii="宋体" w:hAnsi="宋体" w:eastAsia="宋体" w:cs="宋体"/>
      <w:sz w:val="20"/>
      <w:szCs w:val="20"/>
      <w:lang w:val="zh-CN" w:eastAsia="zh-CN" w:bidi="zh-CN"/>
    </w:rPr>
  </w:style>
  <w:style w:type="character" w:customStyle="1" w:styleId="28">
    <w:name w:val="Char Style 37"/>
    <w:basedOn w:val="6"/>
    <w:link w:val="29"/>
    <w:qFormat/>
    <w:uiPriority w:val="0"/>
    <w:rPr>
      <w:rFonts w:ascii="宋体" w:hAnsi="宋体" w:eastAsia="宋体" w:cs="宋体"/>
      <w:sz w:val="18"/>
      <w:szCs w:val="18"/>
      <w:u w:val="none"/>
      <w:lang w:val="zh-CN" w:eastAsia="zh-CN" w:bidi="zh-CN"/>
    </w:rPr>
  </w:style>
  <w:style w:type="paragraph" w:customStyle="1" w:styleId="29">
    <w:name w:val="Style 36"/>
    <w:basedOn w:val="1"/>
    <w:link w:val="28"/>
    <w:qFormat/>
    <w:uiPriority w:val="0"/>
    <w:pPr>
      <w:spacing w:after="100"/>
      <w:ind w:firstLine="380"/>
    </w:pPr>
    <w:rPr>
      <w:rFonts w:ascii="宋体" w:hAnsi="宋体" w:eastAsia="宋体" w:cs="宋体"/>
      <w:sz w:val="18"/>
      <w:szCs w:val="18"/>
      <w:lang w:val="zh-CN" w:eastAsia="zh-CN" w:bidi="zh-CN"/>
    </w:rPr>
  </w:style>
  <w:style w:type="character" w:customStyle="1" w:styleId="30">
    <w:name w:val="Char Style 41"/>
    <w:basedOn w:val="6"/>
    <w:link w:val="31"/>
    <w:qFormat/>
    <w:uiPriority w:val="0"/>
    <w:rPr>
      <w:rFonts w:ascii="仿宋" w:hAnsi="仿宋" w:eastAsia="仿宋" w:cs="仿宋"/>
      <w:sz w:val="32"/>
      <w:szCs w:val="32"/>
      <w:u w:val="none"/>
      <w:lang w:val="zh-CN" w:eastAsia="zh-CN" w:bidi="zh-CN"/>
    </w:rPr>
  </w:style>
  <w:style w:type="paragraph" w:customStyle="1" w:styleId="31">
    <w:name w:val="Style 40"/>
    <w:basedOn w:val="1"/>
    <w:link w:val="30"/>
    <w:qFormat/>
    <w:uiPriority w:val="0"/>
    <w:rPr>
      <w:rFonts w:ascii="仿宋" w:hAnsi="仿宋" w:eastAsia="仿宋" w:cs="仿宋"/>
      <w:sz w:val="32"/>
      <w:szCs w:val="32"/>
      <w:lang w:val="zh-CN" w:eastAsia="zh-CN" w:bidi="zh-CN"/>
    </w:rPr>
  </w:style>
  <w:style w:type="paragraph" w:customStyle="1" w:styleId="3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33">
    <w:name w:val="List Paragraph"/>
    <w:basedOn w:val="1"/>
    <w:qFormat/>
    <w:uiPriority w:val="34"/>
    <w:pPr>
      <w:ind w:firstLine="420" w:firstLineChars="200"/>
    </w:pPr>
  </w:style>
  <w:style w:type="paragraph" w:styleId="34">
    <w:name w:val="No Spacing"/>
    <w:qFormat/>
    <w:uiPriority w:val="1"/>
    <w:pPr>
      <w:widowControl w:val="0"/>
      <w:jc w:val="both"/>
    </w:pPr>
    <w:rPr>
      <w:rFonts w:ascii="Calibri" w:hAnsi="Calibri" w:eastAsia="微软雅黑" w:cs="Times New Roman"/>
      <w:kern w:val="2"/>
      <w:sz w:val="21"/>
      <w:szCs w:val="22"/>
      <w:lang w:val="en-US" w:eastAsia="zh-CN" w:bidi="ar-SA"/>
    </w:rPr>
  </w:style>
  <w:style w:type="character" w:customStyle="1" w:styleId="35">
    <w:name w:val="页眉 Char"/>
    <w:basedOn w:val="6"/>
    <w:link w:val="3"/>
    <w:qFormat/>
    <w:uiPriority w:val="0"/>
    <w:rPr>
      <w:rFonts w:eastAsia="Times New Roman"/>
      <w:color w:val="000000"/>
      <w:sz w:val="18"/>
      <w:szCs w:val="18"/>
      <w:lang w:eastAsia="en-US" w:bidi="en-US"/>
    </w:rPr>
  </w:style>
  <w:style w:type="character" w:customStyle="1" w:styleId="36">
    <w:name w:val="页脚 Char"/>
    <w:basedOn w:val="6"/>
    <w:link w:val="2"/>
    <w:qFormat/>
    <w:uiPriority w:val="0"/>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Pages>
  <Words>3410</Words>
  <Characters>3604</Characters>
  <Lines>26</Lines>
  <Paragraphs>7</Paragraphs>
  <TotalTime>0</TotalTime>
  <ScaleCrop>false</ScaleCrop>
  <LinksUpToDate>false</LinksUpToDate>
  <CharactersWithSpaces>3618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2026-09-09T08:01:00Z</dcterms:created>
  <dc:creator>Admin</dc:creator>
  <cp:lastModifiedBy>水蜜桃</cp:lastModifiedBy>
  <dcterms:modified xsi:type="dcterms:W3CDTF">2026-09-11T07:43:55Z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41584A87AD2D413E8B523A37BD14D5A4_13</vt:lpwstr>
  </property>
  <property fmtid="{D5CDD505-2E9C-101B-9397-08002B2CF9AE}" pid="4" name="KSOTemplateDocerSaveRecord">
    <vt:lpwstr>eyJoZGlkIjoiYmUyYzNhOWU4NzlmNDUwNWUwMzEzMTRhYmYyYjRjZjkiLCJ1c2VySWQiOiIyNzM4NTc4MTAifQ==</vt:lpwstr>
  </property>
</Properties>
</file>