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道县烤烟事务中心</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道县烤烟事务中心</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2"/>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道县烤烟事务中心</w:t>
      </w:r>
      <w:r>
        <w:rPr>
          <w:rFonts w:ascii="Times New Roman" w:hAnsi="Times New Roman" w:eastAsia="方正小标宋_GBK" w:cs="Times New Roman"/>
          <w:sz w:val="52"/>
          <w:szCs w:val="52"/>
        </w:rPr>
        <w:t>概况</w:t>
      </w: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（一）参与和会同有关部门研究全县农业和农村经济发展战略目标，负责编制烤烟生产中、长期的发展规划。</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（二）</w:t>
      </w:r>
      <w:r>
        <w:rPr>
          <w:rFonts w:hint="eastAsia" w:ascii="Times New Roman" w:hAnsi="Times New Roman" w:eastAsia="仿宋_GB2312" w:cs="仿宋_GB2312"/>
          <w:sz w:val="32"/>
          <w:szCs w:val="32"/>
        </w:rPr>
        <w:t>调查了解农业生产情况，制定增产技术措施，推广高科技新品种，实施“富民工程”项目，发展高产、优质、高效农业。</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kern w:val="0"/>
          <w:sz w:val="32"/>
          <w:szCs w:val="32"/>
          <w:lang w:eastAsia="zh-CN"/>
        </w:rPr>
        <w:t>三</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rPr>
        <w:t>研究烤烟市场产销方向，做好烟农产前、产中、产后的服务工作，做好数据统计工作。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本单位为正科级全额拨款事业单位，属参照公务员管理单位，内设综合技术股1个职能股室。目前实有在职在编人数8人，其中行政编制7人，工勤人员1名。退休人员 4人。</w:t>
      </w:r>
    </w:p>
    <w:p>
      <w:pPr>
        <w:widowControl/>
        <w:spacing w:line="600" w:lineRule="exact"/>
        <w:rPr>
          <w:rFonts w:hint="eastAsia" w:ascii="Times New Roman" w:hAnsi="Times New Roman" w:eastAsia="仿宋_GB2312" w:cs="仿宋_GB2312"/>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道县烤烟事务中心202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w:t>
      </w:r>
      <w:r>
        <w:rPr>
          <w:rFonts w:hint="eastAsia" w:ascii="Times New Roman" w:hAnsi="Times New Roman" w:eastAsia="仿宋_GB2312" w:cs="仿宋_GB2312"/>
          <w:bCs/>
          <w:kern w:val="0"/>
          <w:sz w:val="32"/>
          <w:szCs w:val="32"/>
          <w:lang w:eastAsia="zh-CN"/>
        </w:rPr>
        <w:t>只有</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没有其他二级预算单位</w:t>
      </w:r>
      <w:r>
        <w:rPr>
          <w:rFonts w:hint="eastAsia" w:ascii="Times New Roman" w:hAnsi="Times New Roman" w:eastAsia="仿宋_GB2312" w:cs="仿宋_GB2312"/>
          <w:bCs/>
          <w:kern w:val="0"/>
          <w:sz w:val="32"/>
          <w:szCs w:val="32"/>
          <w:lang w:eastAsia="zh-CN"/>
        </w:rPr>
        <w:t>。</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部门决算表</w:t>
      </w:r>
    </w:p>
    <w:p>
      <w:pPr>
        <w:pStyle w:val="12"/>
        <w:widowControl w:val="0"/>
        <w:numPr>
          <w:numId w:val="0"/>
        </w:numPr>
        <w:autoSpaceDE w:val="0"/>
        <w:autoSpaceDN w:val="0"/>
        <w:adjustRightInd w:val="0"/>
        <w:jc w:val="center"/>
        <w:rPr>
          <w:rFonts w:ascii="Times New Roman" w:hAnsi="Times New Roman" w:eastAsia="方正小标宋_GBK" w:cs="Times New Roman"/>
          <w:sz w:val="52"/>
          <w:szCs w:val="52"/>
        </w:r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道县烤烟事务中心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166.0</w:t>
            </w:r>
          </w:p>
          <w:p>
            <w:pPr>
              <w:pStyle w:val="2"/>
              <w:jc w:val="center"/>
              <w:rPr>
                <w:rFonts w:hint="eastAsia" w:ascii="Times New Roman" w:hAnsi="Times New Roman" w:eastAsia="仿宋_GB2312" w:cs="Times New Roman"/>
                <w:color w:val="000000"/>
                <w:sz w:val="22"/>
                <w:lang w:val="en-US" w:eastAsia="zh-CN"/>
              </w:rPr>
            </w:pPr>
          </w:p>
          <w:p>
            <w:pPr>
              <w:pStyle w:val="3"/>
              <w:jc w:val="center"/>
              <w:rPr>
                <w:rFonts w:hint="default"/>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109.0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326.7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326.7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326.7</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道县烤烟事务中心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center" w:pos="805"/>
                <w:tab w:val="right" w:pos="1940"/>
              </w:tabs>
              <w:jc w:val="left"/>
              <w:rPr>
                <w:rFonts w:ascii="Times New Roman" w:hAnsi="Times New Roman" w:eastAsia="仿宋_GB2312" w:cs="Times New Roman"/>
                <w:sz w:val="24"/>
                <w:szCs w:val="24"/>
              </w:rPr>
            </w:pPr>
            <w:r>
              <w:rPr>
                <w:rFonts w:hint="eastAsia" w:ascii="Times New Roman" w:hAnsi="Times New Roman" w:eastAsia="仿宋_GB2312" w:cs="Times New Roman"/>
                <w:lang w:eastAsia="zh-CN"/>
              </w:rPr>
              <w:tab/>
            </w:r>
            <w:r>
              <w:rPr>
                <w:rFonts w:hint="eastAsia" w:ascii="Times New Roman" w:hAnsi="Times New Roman" w:eastAsia="仿宋_GB2312" w:cs="Times New Roman"/>
                <w:lang w:val="en-US" w:eastAsia="zh-CN"/>
              </w:rPr>
              <w:t>326.7</w:t>
            </w:r>
            <w:r>
              <w:rPr>
                <w:rFonts w:hint="eastAsia" w:ascii="Times New Roman" w:hAnsi="Times New Roman" w:eastAsia="仿宋_GB2312" w:cs="Times New Roman"/>
                <w:lang w:eastAsia="zh-CN"/>
              </w:rPr>
              <w:tab/>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326.7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2010350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51.7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51.7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2130104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60.7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60.7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2139999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其他农林水支出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105.3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105.3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2290403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其他政府性基金债务收入安排的支出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109.0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109.0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道县烤烟事务中心</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846"/>
        <w:gridCol w:w="1913"/>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6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673"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64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73"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326.7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112.4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214.3</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2010350</w:t>
            </w:r>
          </w:p>
        </w:tc>
        <w:tc>
          <w:tcPr>
            <w:tcW w:w="67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51.7</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2130104</w:t>
            </w:r>
          </w:p>
        </w:tc>
        <w:tc>
          <w:tcPr>
            <w:tcW w:w="67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60.7</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60.7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2139999</w:t>
            </w:r>
          </w:p>
        </w:tc>
        <w:tc>
          <w:tcPr>
            <w:tcW w:w="67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其他农林水支出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105.3</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105.3</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67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109.0</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109.0</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3"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3"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道县烤烟事务中心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616"/>
        <w:gridCol w:w="948"/>
        <w:gridCol w:w="2670"/>
        <w:gridCol w:w="610"/>
        <w:gridCol w:w="940"/>
        <w:gridCol w:w="1580"/>
        <w:gridCol w:w="1600"/>
        <w:gridCol w:w="1600"/>
      </w:tblGrid>
      <w:tr>
        <w:tblPrEx>
          <w:tblCellMar>
            <w:top w:w="0" w:type="dxa"/>
            <w:left w:w="108" w:type="dxa"/>
            <w:bottom w:w="0" w:type="dxa"/>
            <w:right w:w="108" w:type="dxa"/>
          </w:tblCellMar>
        </w:tblPrEx>
        <w:trPr>
          <w:trHeight w:val="402" w:hRule="atLeast"/>
          <w:jc w:val="center"/>
        </w:trPr>
        <w:tc>
          <w:tcPr>
            <w:tcW w:w="50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00"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8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217.7</w:t>
            </w: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51.7</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51.7</w:t>
            </w: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109.0</w:t>
            </w: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hint="default"/>
                <w:lang w:val="en-US" w:eastAsia="zh-CN"/>
              </w:rPr>
            </w:pPr>
            <w:r>
              <w:rPr>
                <w:rFonts w:hint="eastAsia" w:ascii="Times New Roman" w:hAnsi="Times New Roman" w:eastAsia="仿宋_GB2312" w:cs="Times New Roman"/>
                <w:kern w:val="0"/>
                <w:sz w:val="24"/>
                <w:szCs w:val="24"/>
                <w:lang w:val="en-US" w:eastAsia="zh-CN"/>
              </w:rPr>
              <w:t>七、其他农林水支出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166.0</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166.0</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4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八、其他支出</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109.0</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109.0</w:t>
            </w: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326.7</w:t>
            </w: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326.7</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217.7</w:t>
            </w: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109.0</w:t>
            </w: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326.7</w:t>
            </w:r>
            <w:r>
              <w:rPr>
                <w:rFonts w:ascii="Times New Roman" w:hAnsi="Times New Roman" w:eastAsia="仿宋_GB2312" w:cs="Times New Roman"/>
                <w:kern w:val="0"/>
                <w:sz w:val="22"/>
              </w:rPr>
              <w:t>　</w:t>
            </w:r>
          </w:p>
        </w:tc>
        <w:tc>
          <w:tcPr>
            <w:tcW w:w="267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40"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326.7</w:t>
            </w:r>
          </w:p>
        </w:tc>
        <w:tc>
          <w:tcPr>
            <w:tcW w:w="158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217.7</w:t>
            </w:r>
            <w:r>
              <w:rPr>
                <w:rFonts w:ascii="Times New Roman" w:hAnsi="Times New Roman" w:eastAsia="仿宋_GB2312" w:cs="Times New Roman"/>
                <w:kern w:val="0"/>
                <w:sz w:val="22"/>
              </w:rPr>
              <w:t>　</w:t>
            </w:r>
          </w:p>
        </w:tc>
        <w:tc>
          <w:tcPr>
            <w:tcW w:w="160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kern w:val="0"/>
                <w:sz w:val="22"/>
                <w:lang w:val="en-US" w:eastAsia="zh-CN"/>
              </w:rPr>
              <w:t>109.0</w:t>
            </w:r>
          </w:p>
        </w:tc>
        <w:tc>
          <w:tcPr>
            <w:tcW w:w="16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道县烤烟事务中心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217.7</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112.4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105.3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51.7</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51.7</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60.7</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60.7</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2139999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其他农林水支出</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105.3</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105.3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部门：道县烤烟事务中心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91.77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45.98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3.10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13.04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12.53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5.75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2.73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3.20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5.44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0.62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5.48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0.59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20.01</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道县烤烟事务中心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2496"/>
        <w:gridCol w:w="1220"/>
        <w:gridCol w:w="1422"/>
        <w:gridCol w:w="1919"/>
        <w:gridCol w:w="1935"/>
        <w:gridCol w:w="1918"/>
        <w:gridCol w:w="1919"/>
      </w:tblGrid>
      <w:tr>
        <w:tblPrEx>
          <w:tblCellMar>
            <w:top w:w="0" w:type="dxa"/>
            <w:left w:w="108" w:type="dxa"/>
            <w:bottom w:w="0" w:type="dxa"/>
            <w:right w:w="108" w:type="dxa"/>
          </w:tblCellMar>
        </w:tblPrEx>
        <w:trPr>
          <w:trHeight w:val="459" w:hRule="atLeast"/>
          <w:jc w:val="center"/>
        </w:trPr>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4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4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4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道县烤烟事务中心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w:t>
            </w: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道县烤烟事务中心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0.08</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242.1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本年全县烤烟种植保险资金和用于清偿拖欠企业账款（道县密集烤房建设项目）的政府性基金列入本单位决算</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基本民生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运转</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242.1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本年新增了全县烤烟种植保险资金和用于清偿拖欠企业账款（道县密集烤房建设项目）的政府性基金</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217.7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66.6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133.1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烤烟种植保险及清偿企业账款资金列入本单位决算资金；上年烤烟种植保险等烤烟项目资金列入全县大预算中。</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217.7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一般公共服务</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112.4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105.3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217.7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事业运行</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农林水支出（类）农业农村（款）事业运行</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农林水支出（类）农业农村（款）其他农林水支出（项）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按照支出功能分类，其他农林水支出方面占财政拨款支出总额的比重较高，主要是：其他农林水支出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全县烤烟种植保险费及其他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105.3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48.4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全县烤烟种植保险拨付。</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112.4</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92.4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%,主要包括基本工资、奖金、</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绩效工资、机关事业单位基本养老保险缴费、职工基本医疗保险缴费、其他社会保障缴费、住房公积金、其他工资福利支出、对个人和家庭的补助、医疗费补助、其他对个人和家庭的补助。</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%，主要包括办公费、手续费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水费、电费。差旅费、维修（护）费、公务接待费、劳务费、工会经费、福利费、其他交通费用、税金及附加</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78.4</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政策规定县级无接待活动，本年度公务接待决算支出为上年度遗留未结算公务接待支出，本年度实际未产生公务接待事项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万元，决算数小于上年数的主要原因是</w:t>
      </w:r>
      <w:r>
        <w:rPr>
          <w:rFonts w:hint="eastAsia" w:ascii="Times New Roman" w:hAnsi="Times New Roman" w:eastAsia="仿宋_GB2312" w:cs="Times New Roman"/>
          <w:sz w:val="32"/>
          <w:szCs w:val="32"/>
          <w:lang w:val="en-US" w:eastAsia="zh-CN"/>
        </w:rPr>
        <w:t>根据政策规定县级公务接待已取消，本年度支出发生额为上年度遗留未结算公务接待支出，本年度实际未产生公务接待事项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全省本年度拨付了政府性基金用于清偿企业账款，本单位申报了清偿企业账款资金用于偿还密集烤房项目拖欠账款。</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相比上年本单位</w:t>
      </w:r>
      <w:r>
        <w:rPr>
          <w:rFonts w:hint="eastAsia" w:ascii="Times New Roman" w:hAnsi="Times New Roman" w:eastAsia="仿宋_GB2312" w:cs="Times New Roman"/>
          <w:sz w:val="32"/>
          <w:szCs w:val="32"/>
        </w:rPr>
        <w:t>人员数量增加</w:t>
      </w:r>
      <w:r>
        <w:rPr>
          <w:rFonts w:hint="eastAsia" w:ascii="Times New Roman" w:hAnsi="Times New Roman" w:eastAsia="仿宋_GB2312" w:cs="Times New Roman"/>
          <w:sz w:val="32"/>
          <w:szCs w:val="32"/>
          <w:lang w:val="en-US" w:eastAsia="zh-CN"/>
        </w:rPr>
        <w:t>1人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val="0"/>
          <w:bCs w:val="0"/>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326.7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217.7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109</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val="0"/>
          <w:bCs w:val="0"/>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327.7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2025年，我县坚持稳中求进、以进促稳的产业发展基调，紧紧围绕烤烟产业发展核心任务，主动作为、精准施策，推动烤烟产业在复杂形势下实现稳中向好、提质增效。  2025年市里安排我县种植面积3.86万亩、收购烟叶9.85万担生产计划。面对新的形势和压力，县委、县政府锚定十万担烤烟产业发展目标，站在产业平稳发展和维护烟农利益的高度，坚持稳中求进、进中求优，着力稳种植面积稳生产规模。全县育苗4.5万亩（含10%的预备苗），抢季节抓移栽，严格落实“四个100%”烟苗移栽要求，14个烤烟乡镇165个村906户烟农完成烟苗移栽4.2万亩（其中两段育苗6989亩，地膜覆盖24507亩），收购烟叶9.85万担，实现烟叶税3650.16万元，完成市里下达上限任务</w:t>
      </w:r>
      <w:r>
        <w:rPr>
          <w:rFonts w:ascii="Times New Roman" w:hAnsi="Times New Roman" w:eastAsia="仿宋_GB2312" w:cs="Times New Roman"/>
          <w:kern w:val="0"/>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高度重视绩效评价结果的应用工作，积极探索和建立一套与预算管理相结合、多渠道应用评价结果的有效机制，着力</w:t>
      </w:r>
      <w:r>
        <w:rPr>
          <w:rFonts w:hint="eastAsia" w:ascii="Times New Roman" w:hAnsi="Times New Roman" w:eastAsia="仿宋_GB2312" w:cs="Times New Roman"/>
          <w:color w:val="auto"/>
          <w:sz w:val="32"/>
          <w:szCs w:val="32"/>
          <w:lang w:eastAsia="zh-CN"/>
        </w:rPr>
        <w:t>增强</w:t>
      </w:r>
      <w:r>
        <w:rPr>
          <w:rFonts w:hint="eastAsia" w:ascii="Times New Roman" w:hAnsi="Times New Roman" w:eastAsia="仿宋_GB2312" w:cs="Times New Roman"/>
          <w:color w:val="auto"/>
          <w:sz w:val="32"/>
          <w:szCs w:val="32"/>
        </w:rPr>
        <w:t>绩效意识和财政资金使用效益。同时，道县烤烟事务中心部门整体支出绩效自评报告在道县人民政府门户网站上进行公开，广泛接受社会监督。</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lang w:val="en-US" w:eastAsia="zh-CN"/>
        </w:rPr>
        <w:t>财政拨款收入：指单位本年度从同级财政部门取得的各类财政</w:t>
      </w:r>
      <w:r>
        <w:rPr>
          <w:rFonts w:hint="eastAsia" w:ascii="Times New Roman" w:hAnsi="Times New Roman" w:eastAsia="仿宋_GB2312" w:cs="Times New Roman"/>
          <w:color w:val="000000"/>
          <w:kern w:val="0"/>
          <w:sz w:val="32"/>
          <w:szCs w:val="32"/>
          <w:lang w:val="en-US" w:eastAsia="zh-CN"/>
        </w:rPr>
        <w:t xml:space="preserve">拨款。 </w:t>
      </w:r>
    </w:p>
    <w:p>
      <w:pPr>
        <w:pStyle w:val="2"/>
      </w:pP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pPr>
      <w:r>
        <w:rPr>
          <w:rFonts w:hint="eastAsia" w:ascii="Times New Roman" w:hAnsi="Times New Roman" w:eastAsia="仿宋_GB2312" w:cs="Times New Roman"/>
          <w:color w:val="000000"/>
          <w:kern w:val="0"/>
          <w:sz w:val="32"/>
          <w:szCs w:val="32"/>
          <w:lang w:val="en-US" w:eastAsia="zh-CN"/>
        </w:rPr>
        <w:t xml:space="preserve">二、机关运行经费：指行政单位（含参照公务员法管理的事业单位） </w:t>
      </w:r>
      <w:r>
        <w:rPr>
          <w:rFonts w:hint="eastAsia" w:ascii="仿宋" w:hAnsi="仿宋" w:eastAsia="仿宋" w:cs="仿宋"/>
          <w:color w:val="000000"/>
          <w:kern w:val="0"/>
          <w:sz w:val="32"/>
          <w:szCs w:val="32"/>
          <w:lang w:val="en-US" w:eastAsia="zh-CN" w:bidi="ar"/>
        </w:rPr>
        <w:t xml:space="preserve">使用一般公共预算安排的基本支出中的公用经费支出，包括办公及印刷 费、邮电费、差旅费、会议费、福利费、日常维修费、专用材料及一般 设备购置费、办公用房水电费、办公用房取暖费、办公用房物业管理费、 公务用车运行维护费及其他费用。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三、事业收入：指事业单位开展专业业务活动及其辅助活动取得的收入，事业单位收到的财政专户实际核拨的教育收费等资金在此反映。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四、经营收入：指事业单位在专业业务活动及其辅助活动之外开展非独立核算经营活动取得的收入。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五、附属单位上缴收入：指事业单位附属独立核算单位按照有关规定上缴的收入。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六、其他收入：指单位取得的除上述“财政拨款收入”、“事业收入”、“经营收入”等以外的各项收入。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七、使用非财政拨款结余：指事业单位使用非财政拨款结余（原事业基金）弥补当年收支差额的数额。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八、年初结转和结余：指单位上年结转本年使用的基本支出结转、项目支出结转和结余和经营结余。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九、结余分配：指事业单位按规定对非财政拨款结余资金提取的专用基金、缴纳的所得税和转入非财政拨款结余等。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十、年末结转和结余资金：指本年度或以前年度预算安排、因客观条件发生变化无法按原计划实施，需要延迟到以后年度按有关规定继续使用的资金。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十一、基本支出：指为保障机构正常运转、完成日常工作任务而发生的支出，包括人员经费和公用经费。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十二、项目支出：指在为完成特定的工作任务和事业发展目标所发生的支出。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十三、上缴上级支出：指事业单位按照财政部门和主管部门的规定上缴上级单位的支出。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十四、经营支出：指事业单位在专业业务活动及其辅助活动之外开展非独立核算经营活动发生的支出。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十五、对附属单位补助支出：指事业单位用财政拨款收入之外的收入对附属单位补助发生的支出。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十六、“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十七、上级补助收入：指事业单位从主管部门和上级单位取得的非财政补助收入</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2"/>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rPr>
          <w:rFonts w:ascii="Times New Roman" w:hAnsi="Times New Roman" w:cs="Times New Roman"/>
          <w:sz w:val="72"/>
          <w:szCs w:val="72"/>
        </w:rPr>
      </w:pPr>
    </w:p>
    <w:p>
      <w:pPr>
        <w:pStyle w:val="12"/>
        <w:spacing w:line="600" w:lineRule="exact"/>
        <w:ind w:firstLine="360" w:firstLineChars="100"/>
        <w:rPr>
          <w:rFonts w:hint="eastAsia" w:ascii="Times New Roman" w:hAnsi="Times New Roman" w:eastAsia="仿宋_GB2312" w:cs="Times New Roman"/>
          <w:sz w:val="32"/>
          <w:szCs w:val="32"/>
        </w:rPr>
      </w:pPr>
      <w:r>
        <w:rPr>
          <w:rFonts w:ascii="Times New Roman" w:hAnsi="Times New Roman" w:eastAsia="仿宋_GB2312" w:cs="Times New Roman"/>
          <w:sz w:val="36"/>
          <w:szCs w:val="36"/>
        </w:rPr>
        <w:t>202</w:t>
      </w:r>
      <w:r>
        <w:rPr>
          <w:rFonts w:hint="eastAsia" w:ascii="Times New Roman" w:hAnsi="Times New Roman" w:eastAsia="仿宋_GB2312" w:cs="Times New Roman"/>
          <w:sz w:val="36"/>
          <w:szCs w:val="36"/>
          <w:lang w:val="en-US" w:eastAsia="zh-CN"/>
        </w:rPr>
        <w:t>5</w:t>
      </w:r>
      <w:r>
        <w:rPr>
          <w:rFonts w:ascii="Times New Roman" w:hAnsi="Times New Roman" w:eastAsia="仿宋_GB2312" w:cs="Times New Roman"/>
          <w:sz w:val="36"/>
          <w:szCs w:val="36"/>
        </w:rPr>
        <w:t>年度</w:t>
      </w:r>
      <w:r>
        <w:rPr>
          <w:rFonts w:hint="eastAsia" w:ascii="Times New Roman" w:hAnsi="Times New Roman" w:eastAsia="仿宋_GB2312" w:cs="Times New Roman"/>
          <w:sz w:val="36"/>
          <w:szCs w:val="36"/>
        </w:rPr>
        <w:t>道县烤烟事务中心</w:t>
      </w:r>
      <w:r>
        <w:rPr>
          <w:rFonts w:ascii="Times New Roman" w:hAnsi="Times New Roman" w:eastAsia="仿宋_GB2312" w:cs="Times New Roman"/>
          <w:sz w:val="36"/>
          <w:szCs w:val="36"/>
        </w:rPr>
        <w:t>整体支出绩效自评报告</w:t>
      </w:r>
      <w:r>
        <w:rPr>
          <w:rFonts w:hint="eastAsia" w:ascii="Times New Roman" w:hAnsi="Times New Roman" w:eastAsia="仿宋_GB2312" w:cs="Times New Roman"/>
          <w:sz w:val="32"/>
          <w:szCs w:val="32"/>
        </w:rPr>
        <w:t>一、基本情况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（一）部门（单位）基本情况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1、职能职责</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（1）参与和会同有关部门研究全县农业和农村经济发展战略目标，负责编制烤烟生产中、长期的发展规划。</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（2）调查了解农业生产情况，制定增产技术措施，推广高科技新品种，实施“富民工程”项目，发展高产、优质、高效农业。</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（3）研究烤烟市场产销方向，做好烟农产前、产中、产后的服务工作，做好数据统计工作。</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2、机构设置</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道县烤烟事务中心为正科级全额拨款事业单位，属参照公务员管理单位，内设综合技术股1个职能股室。目前实有在职在编人数7人，其中行政编制7人，工勤人员1名。退休人员4人。 </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3、决算单位构成。</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道县烤烟事务中心2025年部门决算汇总公开单位构成包括：部门单位本级。</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（二）部门（单位）年度整体支出绩效目标</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目标1：稳定烤烟生产规模 ，促进产业平稳发展。</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目标2：发展现代烟草农业，稳定烟农生产效益。</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目标3：实现年度财税目标。</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二、一般公共预算支出情况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（一）基本支出情况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本部门基本支出112.4万元，主要是保障部门正常运转、完成日常工作任务而发生的各项支出，包括用于基本工资、奖金、绩效工资、机关事业单位基本养老保险缴费、职工基本医疗保险缴费、其他社会保障缴费、住房公积金、其他工资福利支出、对个人和家庭的补助、医疗费补助、其他对个人和家庭的补助;办公费、手续费、水费、电费。差旅费、维修（护）费、公务接待费、劳务费、工会经费、福利费、其他交通费用、税金及附加。</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（二）项目支出情况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2025年项目支出年初预算数为105.3万元，本年项目资金包括全县烤烟种植保险资金。</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三、政府性基金预算支出情况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2025年政府性基金预算支出为105.3万元，包括清偿拖欠企业账款（道县密集烤房建设项目）的政府性基金。</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四、国有资本经营预算支出情况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道县烤烟事务中心2025年无国有资本经营预算支出。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五、社会保险基金预算支出情况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道县烤烟事务中心2025年无社会保险基金预算支出。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六、部门整体支出绩效情况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2025年，我县坚持稳中求进、以进促稳的产业发展基调，紧紧围绕烤烟产业发展核心任务，主动作为、精准施策，推动烤烟产业在复杂形势下实现稳中向好、提质增效。</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（一）稳面积、保供给，产业基础更加坚实。</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2025年市里安排我县种植面积3.86万亩、收购烟叶9.85万担生产计划。面对新的形势和压力，县委、县政府锚定十万担烤烟产业发展目标，站在产业平稳发展和维护烟农利益的高度，坚持稳中求进、进中求优，着力稳种植面积稳生产规模。全县育苗4.5万亩（含10%的预备苗），抢季节抓移栽，严格落实“四个100%”烟苗移栽要求，14个烤烟乡镇165个村906户烟农完成烟苗移栽4.2万亩（其中两段育苗6989亩，地膜覆盖24507亩），收购烟叶9.85万担，实现烟叶税3650.16万元，完成市里下达上限任务</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（二）促增收、激活力，烟农信心有效提振。</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一是严把计划红线，维护烟农利益。2025年，按照省市烟草部门严控生产物资，严控种植计划，严格按合同数量收购的要求，切实加强生产计划管理，积极做好乡镇和烟农政策宣传和解释工作，采取以收购计划倒推种植面积的办法确定乡镇和烟农种植面积，根据生产水平和产量计算种植面积，通过烟叶合作社按照乡镇、烟草站生产计划和种植面积发放烟苗的管理机制，科学适度控制超计划种植，有效防止乡镇、烟农一头热现象，确保全县种植面积在合理可控范围。二是收购眼光平稳，增加烟农收益。开秤收购以来，积极对接烟草公司，平衡收购眼光，争取合理收购价格，做到等级内的烟叶应收尽收，收购均价1860.78元/担，烟农收入1.83亿元，烟叶亩均产值达4357元。烟叶分级队规范化运行，提升组织化、集约化水平，降低生产成本，烟农比较满意，切实增强产业吸引力和可持续性。"</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七、存在的问题及原因分析</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加强会计队伍建设，提高信息化质量，抓好绩效评价管理部门的队伍建设和业务指导，培养部门的绩效管理队伍，建立绩效评价的长期机制。</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八、下一步改进措施</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（一）严格制度执行。要严格执行预算管理、支出、审批、报销等各项制度和程序，强化开支的计划性，最大限度</w:t>
      </w:r>
      <w:r>
        <w:rPr>
          <w:rFonts w:hint="eastAsia" w:ascii="Times New Roman" w:hAnsi="Times New Roman" w:eastAsia="仿宋_GB2312" w:cs="Times New Roman"/>
          <w:sz w:val="32"/>
          <w:szCs w:val="32"/>
          <w:lang w:eastAsia="zh-CN"/>
        </w:rPr>
        <w:t>地</w:t>
      </w:r>
      <w:r>
        <w:rPr>
          <w:rFonts w:hint="eastAsia" w:ascii="Times New Roman" w:hAnsi="Times New Roman" w:eastAsia="仿宋_GB2312" w:cs="Times New Roman"/>
          <w:sz w:val="32"/>
          <w:szCs w:val="32"/>
        </w:rPr>
        <w:t>提高各项预算资金的使用效率。</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（二）财务人员应加强学习财务知识，多进行</w:t>
      </w:r>
      <w:r>
        <w:rPr>
          <w:rFonts w:hint="eastAsia" w:ascii="Times New Roman" w:hAnsi="Times New Roman" w:eastAsia="仿宋_GB2312" w:cs="Times New Roman"/>
          <w:sz w:val="32"/>
          <w:szCs w:val="32"/>
          <w:lang w:eastAsia="zh-CN"/>
        </w:rPr>
        <w:t>调查研究</w:t>
      </w:r>
      <w:r>
        <w:rPr>
          <w:rFonts w:hint="eastAsia" w:ascii="Times New Roman" w:hAnsi="Times New Roman" w:eastAsia="仿宋_GB2312" w:cs="Times New Roman"/>
          <w:sz w:val="32"/>
          <w:szCs w:val="32"/>
        </w:rPr>
        <w:t>，钻研学习，因时制宜，更好地结合单位实际情况编制部门预算，提高预算编制的细化程度、精准度和合理性，从而提高资金的使用效率。</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九、绩效自评结果拟应用和公开情况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高度重视绩效评价结果的应用工作，积极探索和建立一套与预算管理相结合、多渠道应用评价结果的有效机制，着力</w:t>
      </w:r>
      <w:r>
        <w:rPr>
          <w:rFonts w:hint="eastAsia" w:ascii="Times New Roman" w:hAnsi="Times New Roman" w:eastAsia="仿宋_GB2312" w:cs="Times New Roman"/>
          <w:sz w:val="32"/>
          <w:szCs w:val="32"/>
          <w:lang w:eastAsia="zh-CN"/>
        </w:rPr>
        <w:t>增强</w:t>
      </w:r>
      <w:r>
        <w:rPr>
          <w:rFonts w:hint="eastAsia" w:ascii="Times New Roman" w:hAnsi="Times New Roman" w:eastAsia="仿宋_GB2312" w:cs="Times New Roman"/>
          <w:sz w:val="32"/>
          <w:szCs w:val="32"/>
        </w:rPr>
        <w:t>绩效意识和财政资金使用效益。同时，道县烤烟事务中心部门整体支出绩效自评报告在道县人民政府门户网站上进行公开，广泛接受社会监督。</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无。</w:t>
      </w:r>
    </w:p>
    <w:p>
      <w:pPr>
        <w:pStyle w:val="12"/>
        <w:spacing w:line="600" w:lineRule="exact"/>
        <w:ind w:firstLine="640" w:firstLineChars="200"/>
        <w:rPr>
          <w:rFonts w:ascii="Times New Roman" w:hAnsi="Times New Roman" w:eastAsia="仿宋_GB2312" w:cs="Times New Roman"/>
          <w:sz w:val="32"/>
          <w:szCs w:val="32"/>
        </w:rPr>
      </w:pPr>
    </w:p>
    <w:p>
      <w:pPr>
        <w:jc w:val="left"/>
        <w:rPr>
          <w:rFonts w:ascii="Times New Roman" w:hAnsi="Times New Roman" w:cs="Times New Roman"/>
          <w:color w:val="000000"/>
          <w:kern w:val="0"/>
          <w:sz w:val="32"/>
          <w:szCs w:val="32"/>
        </w:rPr>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FD0113"/>
    <w:multiLevelType w:val="singleLevel"/>
    <w:tmpl w:val="28FD0113"/>
    <w:lvl w:ilvl="0" w:tentative="0">
      <w:start w:val="5"/>
      <w:numFmt w:val="chineseCounting"/>
      <w:suff w:val="space"/>
      <w:lvlText w:val="第%1部分"/>
      <w:lvlJc w:val="left"/>
      <w:rPr>
        <w:rFonts w:hint="eastAsia"/>
      </w:rPr>
    </w:lvl>
  </w:abstractNum>
  <w:abstractNum w:abstractNumId="1">
    <w:nsid w:val="49AB6714"/>
    <w:multiLevelType w:val="singleLevel"/>
    <w:tmpl w:val="49AB6714"/>
    <w:lvl w:ilvl="0" w:tentative="0">
      <w:start w:val="2"/>
      <w:numFmt w:val="chineseCounting"/>
      <w:suff w:val="space"/>
      <w:lvlText w:val="第%1部分"/>
      <w:lvlJc w:val="left"/>
      <w:rPr>
        <w:rFonts w:hint="eastAsia"/>
      </w:rPr>
    </w:lvl>
  </w:abstractNum>
  <w:abstractNum w:abstractNumId="2">
    <w:nsid w:val="4C4C89D5"/>
    <w:multiLevelType w:val="singleLevel"/>
    <w:tmpl w:val="4C4C89D5"/>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B2F7C0E"/>
    <w:rsid w:val="0B615182"/>
    <w:rsid w:val="0CD10852"/>
    <w:rsid w:val="152F6008"/>
    <w:rsid w:val="1C4D696E"/>
    <w:rsid w:val="1D97DEFF"/>
    <w:rsid w:val="1DFF72E5"/>
    <w:rsid w:val="1EFC6F07"/>
    <w:rsid w:val="22AF58A5"/>
    <w:rsid w:val="23E76EA7"/>
    <w:rsid w:val="26B83935"/>
    <w:rsid w:val="272555CB"/>
    <w:rsid w:val="2EA065A9"/>
    <w:rsid w:val="2FDF85B8"/>
    <w:rsid w:val="2FFFEE04"/>
    <w:rsid w:val="316A599D"/>
    <w:rsid w:val="33153183"/>
    <w:rsid w:val="34DF85B0"/>
    <w:rsid w:val="357F2FF3"/>
    <w:rsid w:val="363B7C68"/>
    <w:rsid w:val="3AEE53C5"/>
    <w:rsid w:val="3B8F36BC"/>
    <w:rsid w:val="415A41B0"/>
    <w:rsid w:val="491FF225"/>
    <w:rsid w:val="4FFD214C"/>
    <w:rsid w:val="530532F8"/>
    <w:rsid w:val="534F0D01"/>
    <w:rsid w:val="5777D4F5"/>
    <w:rsid w:val="5991071A"/>
    <w:rsid w:val="59DD8326"/>
    <w:rsid w:val="5B4F1F89"/>
    <w:rsid w:val="5DEF592A"/>
    <w:rsid w:val="5FC6BB1E"/>
    <w:rsid w:val="5FF720F1"/>
    <w:rsid w:val="64D622F2"/>
    <w:rsid w:val="67EE0C5C"/>
    <w:rsid w:val="67FF5C0B"/>
    <w:rsid w:val="6931254A"/>
    <w:rsid w:val="69795EB7"/>
    <w:rsid w:val="69B8584F"/>
    <w:rsid w:val="6AFE36D9"/>
    <w:rsid w:val="6EFC0924"/>
    <w:rsid w:val="6F991873"/>
    <w:rsid w:val="6FB74722"/>
    <w:rsid w:val="6FEF8B7E"/>
    <w:rsid w:val="71A6591B"/>
    <w:rsid w:val="737D59BA"/>
    <w:rsid w:val="749318F6"/>
    <w:rsid w:val="765D6201"/>
    <w:rsid w:val="76F9231A"/>
    <w:rsid w:val="77C37683"/>
    <w:rsid w:val="79D19834"/>
    <w:rsid w:val="79FF515B"/>
    <w:rsid w:val="7BF549BF"/>
    <w:rsid w:val="7CB9408B"/>
    <w:rsid w:val="7D6F401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9137</Words>
  <Characters>10353</Characters>
  <Lines>69</Lines>
  <Paragraphs>19</Paragraphs>
  <TotalTime>20</TotalTime>
  <ScaleCrop>false</ScaleCrop>
  <LinksUpToDate>false</LinksUpToDate>
  <CharactersWithSpaces>11580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2026-09-11T07:29:17Z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B48C7A6EEF404055A9F775F3F5FE8AE3_13</vt:lpwstr>
  </property>
  <property fmtid="{D5CDD505-2E9C-101B-9397-08002B2CF9AE}" pid="4" name="KSOTemplateDocerSaveRecord">
    <vt:lpwstr>eyJoZGlkIjoiYmQ2NTlhODkyYWRlMDMyNmZiNzNjY2M3M2QwYzNmNDgiLCJ1c2VySWQiOiIyNjM0NDY5MTUifQ==</vt:lpwstr>
  </property>
</Properties>
</file>