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4"/>
        <w:jc w:val="center"/>
        <w:rPr>
          <w:sz w:val="56"/>
          <w:szCs w:val="56"/>
        </w:rPr>
      </w:pPr>
    </w:p>
    <w:p>
      <w:pPr>
        <w:pStyle w:val="14"/>
        <w:jc w:val="center"/>
        <w:rPr>
          <w:sz w:val="84"/>
          <w:szCs w:val="84"/>
        </w:rPr>
      </w:pPr>
    </w:p>
    <w:p>
      <w:pPr>
        <w:pStyle w:val="14"/>
        <w:jc w:val="center"/>
        <w:rPr>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道县教育局系统（</w:t>
      </w:r>
      <w:r>
        <w:rPr>
          <w:rFonts w:hint="eastAsia" w:ascii="方正小标宋_GBK" w:hAnsi="方正小标宋_GBK" w:eastAsia="方正小标宋_GBK" w:cs="方正小标宋_GBK"/>
          <w:sz w:val="72"/>
          <w:szCs w:val="72"/>
          <w:lang w:eastAsia="zh-CN"/>
        </w:rPr>
        <w:t>除工贸民办学校外</w:t>
      </w:r>
      <w:r>
        <w:rPr>
          <w:rFonts w:hint="eastAsia" w:ascii="方正小标宋_GBK" w:hAnsi="方正小标宋_GBK" w:eastAsia="方正小标宋_GBK" w:cs="方正小标宋_GBK"/>
          <w:sz w:val="84"/>
          <w:szCs w:val="84"/>
          <w:lang w:eastAsia="zh-CN"/>
        </w:rPr>
        <w:t>）</w:t>
      </w:r>
      <w:r>
        <w:rPr>
          <w:rFonts w:hint="eastAsia" w:ascii="方正小标宋_GBK" w:hAnsi="方正小标宋_GBK" w:eastAsia="方正小标宋_GBK" w:cs="方正小标宋_GBK"/>
          <w:sz w:val="84"/>
          <w:szCs w:val="84"/>
        </w:rPr>
        <w:t>部门决算</w:t>
      </w:r>
    </w:p>
    <w:p>
      <w:pPr>
        <w:pStyle w:val="14"/>
        <w:jc w:val="center"/>
        <w:rPr>
          <w:rFonts w:hint="eastAsia" w:ascii="方正小标宋_GBK" w:hAnsi="方正小标宋_GBK" w:eastAsia="方正小标宋_GBK" w:cs="方正小标宋_GBK"/>
          <w:sz w:val="56"/>
          <w:szCs w:val="56"/>
        </w:rPr>
      </w:pPr>
    </w:p>
    <w:p>
      <w:pPr>
        <w:pStyle w:val="14"/>
        <w:jc w:val="center"/>
        <w:rPr>
          <w:sz w:val="56"/>
          <w:szCs w:val="56"/>
        </w:rPr>
      </w:pPr>
    </w:p>
    <w:p>
      <w:pPr>
        <w:pStyle w:val="14"/>
        <w:jc w:val="center"/>
        <w:rPr>
          <w:sz w:val="56"/>
          <w:szCs w:val="56"/>
        </w:rPr>
      </w:pPr>
    </w:p>
    <w:p>
      <w:pPr>
        <w:pStyle w:val="14"/>
        <w:jc w:val="center"/>
        <w:rPr>
          <w:sz w:val="56"/>
          <w:szCs w:val="56"/>
        </w:rPr>
      </w:pPr>
    </w:p>
    <w:p>
      <w:pPr>
        <w:pStyle w:val="14"/>
        <w:jc w:val="center"/>
        <w:rPr>
          <w:sz w:val="32"/>
          <w:szCs w:val="32"/>
        </w:rPr>
      </w:pPr>
    </w:p>
    <w:p>
      <w:pPr>
        <w:pStyle w:val="14"/>
        <w:jc w:val="center"/>
        <w:rPr>
          <w:sz w:val="32"/>
          <w:szCs w:val="32"/>
        </w:rPr>
      </w:pPr>
    </w:p>
    <w:p>
      <w:pPr>
        <w:pStyle w:val="14"/>
        <w:jc w:val="center"/>
        <w:rPr>
          <w:sz w:val="32"/>
          <w:szCs w:val="32"/>
        </w:rPr>
      </w:pPr>
    </w:p>
    <w:p>
      <w:pPr>
        <w:pStyle w:val="14"/>
        <w:spacing w:line="500" w:lineRule="exact"/>
        <w:jc w:val="both"/>
        <w:rPr>
          <w:b/>
          <w:sz w:val="36"/>
          <w:szCs w:val="28"/>
        </w:rPr>
      </w:pPr>
    </w:p>
    <w:p>
      <w:pPr>
        <w:pStyle w:val="14"/>
        <w:spacing w:line="500" w:lineRule="exact"/>
        <w:jc w:val="both"/>
        <w:rPr>
          <w:b/>
          <w:sz w:val="36"/>
          <w:szCs w:val="28"/>
        </w:rPr>
      </w:pPr>
    </w:p>
    <w:p>
      <w:pPr>
        <w:pStyle w:val="14"/>
        <w:spacing w:line="500" w:lineRule="exact"/>
        <w:jc w:val="center"/>
        <w:rPr>
          <w:b/>
          <w:sz w:val="36"/>
          <w:szCs w:val="28"/>
        </w:rPr>
      </w:pPr>
      <w:r>
        <w:rPr>
          <w:rFonts w:hint="eastAsia"/>
          <w:b/>
          <w:sz w:val="36"/>
          <w:szCs w:val="28"/>
        </w:rPr>
        <w:t>目录</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w:t>
      </w:r>
      <w:r>
        <w:rPr>
          <w:rFonts w:hint="eastAsia" w:ascii="Times New Roman" w:hAnsi="Times New Roman" w:eastAsia="仿宋_GB2312" w:cs="Times New Roman"/>
          <w:sz w:val="28"/>
          <w:szCs w:val="28"/>
          <w:lang w:val="en-US" w:eastAsia="zh-CN"/>
        </w:rPr>
        <w:t>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4"/>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道县教育局部门</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both"/>
        <w:rPr>
          <w:sz w:val="72"/>
          <w:szCs w:val="72"/>
        </w:rPr>
      </w:pPr>
      <w:bookmarkStart w:id="85" w:name="_GoBack"/>
      <w:bookmarkEnd w:id="85"/>
    </w:p>
    <w:p>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spacing w:line="360" w:lineRule="auto"/>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道县教育局</w:t>
      </w:r>
      <w:bookmarkEnd w:id="0"/>
      <w:r>
        <w:rPr>
          <w:rFonts w:hint="eastAsia" w:ascii="仿宋" w:hAnsi="仿宋" w:eastAsia="仿宋" w:cs="仿宋"/>
          <w:color w:val="000000"/>
          <w:sz w:val="32"/>
          <w:szCs w:val="32"/>
          <w:shd w:val="clear" w:color="auto" w:fill="FFFFFF"/>
        </w:rPr>
        <w:t>的主要职责是：</w:t>
      </w:r>
    </w:p>
    <w:p>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（1）贯彻落实国家、省、市关于教育工作的法律、法规和政策，拟订全县教育改革和发展战略规划，并组织实施。</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（2）负责各级各类教育的统筹规划和协调管理，组织实施各级各类学校设置标准，指导各级各类学校教育教学改革，负责教育基本信息的统计、分析和发布。</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负责推进义务教育均衡发展和促进教育公平，负责义务教育、高中教育、幼儿教育和特殊教育的管理、指导与协调。落实基础教育教学基本要求，制定全县中小学和职业学校招生计划，组织招生考试和录取工作，全面实施素质教育。</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（4）指导以就业为导向的职业教育的发展与改革，执行教学指导文件和教学评估标准。</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（5）负责组织大中专招生考试、成人高校招生考试、高等教育自学考试和自学考试学籍管理工作；负责大中专院校毕业生就业指导、服务和管理工作。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统筹管理本部门教育经费；参与拟订全县教育经费筹措、教育拨款、教育基建投资办法与措施；负责统计和监测全县教育经费的投入和使用情况；指导、管理全县资助经济困难学生工作；负责组织实施教育系统内部审计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（7）统筹指导少数民族教育工作。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（8）负责全县中、小学校的思想政治工作、德育工作、体育卫生与艺术教育以及国防教育工作，指导和协调教育系统的稳定工作。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依据《教师法》规定，在职责范围内，主管全县教师工作；贯彻实施各级各类教师资格标准，配合有关部门组织实施各级各类学校编制标准；负责普通中小学（含职业学校）、中等专业学校、幼儿园教师招聘录用、资格认定、培养培训、专业技术职务评聘、调动交流、工资福利、考核奖惩和新教师的转正定级工作；按照干部管理权限和程序，考核、呈报、任免全县各级各类学校的领导干部；指导有关教育学会、基金会、关工委、退（教）协、团委、妇联等社会组织的工作；负责教育系统人才队伍建设。</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（10）负责组织全县教育督导工作。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（11）统筹管理全县语言文字工作，拟定全县语言文字规划并组织实施，负责指导推广普通话和规范字及普通话师资培训工作。</w:t>
      </w:r>
    </w:p>
    <w:p>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（13）负责建立和完善全县教育系统学校安全工作监督管理体系，对全县各级各类学校法制安全管理工作实施监督管理；综合协调、指导、督促校（园）建立和完善安全工作责任管理制度。</w:t>
      </w:r>
    </w:p>
    <w:p>
      <w:pPr>
        <w:spacing w:line="360" w:lineRule="auto"/>
        <w:ind w:firstLine="960" w:firstLineChars="300"/>
        <w:rPr>
          <w:rFonts w:hint="eastAsia" w:ascii="Times New Roman" w:hAnsi="Times New Roman" w:eastAsia="仿宋_GB2312" w:cs="仿宋_GB2312"/>
          <w:sz w:val="32"/>
          <w:szCs w:val="32"/>
        </w:rPr>
      </w:pPr>
      <w:r>
        <w:rPr>
          <w:rFonts w:hint="eastAsia" w:ascii="仿宋" w:hAnsi="仿宋" w:eastAsia="仿宋" w:cs="仿宋"/>
          <w:color w:val="000000"/>
          <w:sz w:val="32"/>
          <w:szCs w:val="32"/>
          <w:shd w:val="clear" w:color="auto" w:fill="FFFFFF"/>
        </w:rPr>
        <w:t>（14）承办县人民政府交办的其他事项。</w:t>
      </w:r>
      <w:bookmarkEnd w:id="1"/>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spacing w:line="360" w:lineRule="auto"/>
        <w:ind w:firstLine="960" w:firstLineChars="300"/>
        <w:rPr>
          <w:rFonts w:hint="eastAsia" w:ascii="仿宋" w:hAnsi="仿宋" w:eastAsia="仿宋" w:cs="仿宋"/>
          <w:kern w:val="0"/>
          <w:lang w:bidi="zh-CN"/>
        </w:rPr>
      </w:pPr>
      <w:r>
        <w:rPr>
          <w:rFonts w:hint="eastAsia" w:ascii="Times New Roman" w:hAnsi="Times New Roman" w:eastAsia="仿宋_GB2312" w:cs="仿宋_GB2312"/>
          <w:bCs/>
          <w:kern w:val="0"/>
          <w:sz w:val="32"/>
          <w:szCs w:val="32"/>
        </w:rPr>
        <w:t>（一）内设机构设置。</w:t>
      </w:r>
      <w:r>
        <w:rPr>
          <w:rFonts w:hint="eastAsia" w:ascii="仿宋" w:hAnsi="仿宋" w:eastAsia="仿宋" w:cs="仿宋"/>
          <w:color w:val="000000"/>
          <w:sz w:val="32"/>
          <w:szCs w:val="32"/>
          <w:shd w:val="clear" w:color="auto" w:fill="FFFFFF"/>
        </w:rPr>
        <w:t xml:space="preserve"> 县教育局设内设机构及直属事业单位包括：县委教育工作领导小组秘书组秘书股、综合股、人事股、行政审批股、计划财务股、基础教育股、职业教育和成人教育股、教育督导股、政策法规与学校安全管理股、体育卫生与艺术教育股、党建办公室、审计股、县委教育工委纪检（监察）办公室、道县教师发展中心、道县教育联合工会、道县教育科学研究中心、道县招生考试中心、道县电化教学站、道县民办教育事务中心、道县学生资助中心、道县教育事务</w:t>
      </w:r>
      <w:r>
        <w:rPr>
          <w:rFonts w:hint="eastAsia" w:ascii="仿宋" w:hAnsi="仿宋" w:eastAsia="仿宋" w:cs="仿宋"/>
          <w:color w:val="000000"/>
          <w:sz w:val="32"/>
          <w:szCs w:val="32"/>
          <w:shd w:val="clear" w:color="auto" w:fill="FFFFFF"/>
          <w:lang w:eastAsia="zh-CN"/>
        </w:rPr>
        <w:t>协调</w:t>
      </w:r>
      <w:r>
        <w:rPr>
          <w:rFonts w:hint="eastAsia" w:ascii="仿宋" w:hAnsi="仿宋" w:eastAsia="仿宋" w:cs="仿宋"/>
          <w:color w:val="000000"/>
          <w:sz w:val="32"/>
          <w:szCs w:val="32"/>
          <w:shd w:val="clear" w:color="auto" w:fill="FFFFFF"/>
        </w:rPr>
        <w:t>服务中心、学校基础建设服务中心。</w:t>
      </w:r>
    </w:p>
    <w:p>
      <w:pPr>
        <w:spacing w:line="360" w:lineRule="auto"/>
        <w:ind w:left="420" w:leftChars="200" w:right="384" w:rightChars="183"/>
        <w:rPr>
          <w:rFonts w:ascii="仿宋" w:hAnsi="仿宋" w:eastAsia="仿宋" w:cs="仿宋"/>
          <w:sz w:val="32"/>
          <w:szCs w:val="32"/>
        </w:rPr>
        <w:sectPr>
          <w:pgSz w:w="11906" w:h="16838"/>
          <w:pgMar w:top="720" w:right="720" w:bottom="720" w:left="720" w:header="851" w:footer="992" w:gutter="0"/>
          <w:pgNumType w:fmt="numberInDash"/>
          <w:cols w:space="720" w:num="1"/>
          <w:docGrid w:type="lines" w:linePitch="319" w:charSpace="0"/>
        </w:sectPr>
      </w:pPr>
      <w:r>
        <w:rPr>
          <w:rFonts w:hint="eastAsia" w:ascii="仿宋_GB2312" w:hAnsi="仿宋_GB2312" w:eastAsia="仿宋_GB2312" w:cs="仿宋_GB2312"/>
          <w:sz w:val="32"/>
          <w:szCs w:val="32"/>
          <w:highlight w:val="none"/>
        </w:rPr>
        <w:t>全县有各级各类学校和幼儿园及教育局共有</w:t>
      </w:r>
      <w:r>
        <w:rPr>
          <w:rFonts w:hint="eastAsia" w:ascii="仿宋_GB2312" w:hAnsi="仿宋_GB2312" w:eastAsia="仿宋_GB2312" w:cs="仿宋_GB2312"/>
          <w:sz w:val="32"/>
          <w:szCs w:val="32"/>
          <w:highlight w:val="none"/>
          <w:lang w:val="en-US" w:eastAsia="zh-CN"/>
        </w:rPr>
        <w:t>243</w:t>
      </w:r>
      <w:r>
        <w:rPr>
          <w:rFonts w:hint="eastAsia" w:ascii="仿宋_GB2312" w:hAnsi="仿宋_GB2312" w:eastAsia="仿宋_GB2312" w:cs="仿宋_GB2312"/>
          <w:sz w:val="32"/>
          <w:szCs w:val="32"/>
          <w:highlight w:val="none"/>
        </w:rPr>
        <w:t>个机构,其中:幼儿园</w:t>
      </w:r>
      <w:r>
        <w:rPr>
          <w:rFonts w:hint="eastAsia" w:ascii="仿宋_GB2312" w:hAnsi="仿宋_GB2312" w:eastAsia="仿宋_GB2312" w:cs="仿宋_GB2312"/>
          <w:sz w:val="32"/>
          <w:szCs w:val="32"/>
          <w:highlight w:val="none"/>
          <w:lang w:val="en-US" w:eastAsia="zh-CN"/>
        </w:rPr>
        <w:t>155</w:t>
      </w:r>
      <w:r>
        <w:rPr>
          <w:rFonts w:hint="eastAsia" w:ascii="仿宋_GB2312" w:hAnsi="仿宋_GB2312" w:eastAsia="仿宋_GB2312" w:cs="仿宋_GB2312"/>
          <w:sz w:val="32"/>
          <w:szCs w:val="32"/>
          <w:highlight w:val="none"/>
        </w:rPr>
        <w:t>个，高中</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个，小学4</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个，初中3</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中等职业学校、教师进修学校、特殊教育学校、教育局各1个。全县在校学生1</w:t>
      </w:r>
      <w:r>
        <w:rPr>
          <w:rFonts w:hint="eastAsia" w:ascii="仿宋_GB2312" w:hAnsi="仿宋_GB2312" w:eastAsia="仿宋_GB2312" w:cs="仿宋_GB2312"/>
          <w:sz w:val="32"/>
          <w:szCs w:val="32"/>
          <w:highlight w:val="none"/>
          <w:lang w:val="en-US" w:eastAsia="zh-CN"/>
        </w:rPr>
        <w:t>12073</w:t>
      </w:r>
      <w:r>
        <w:rPr>
          <w:rFonts w:hint="eastAsia" w:ascii="仿宋_GB2312" w:hAnsi="仿宋_GB2312" w:eastAsia="仿宋_GB2312" w:cs="仿宋_GB2312"/>
          <w:sz w:val="32"/>
          <w:szCs w:val="32"/>
          <w:highlight w:val="none"/>
        </w:rPr>
        <w:t>人，全县教育系统编制数</w:t>
      </w:r>
      <w:r>
        <w:rPr>
          <w:rFonts w:hint="eastAsia" w:ascii="仿宋_GB2312" w:hAnsi="仿宋_GB2312" w:eastAsia="仿宋_GB2312" w:cs="仿宋_GB2312"/>
          <w:sz w:val="32"/>
          <w:szCs w:val="32"/>
          <w:highlight w:val="none"/>
          <w:lang w:val="en-US" w:eastAsia="zh-CN"/>
        </w:rPr>
        <w:t>6408</w:t>
      </w:r>
      <w:r>
        <w:rPr>
          <w:rFonts w:hint="eastAsia" w:ascii="仿宋_GB2312" w:hAnsi="仿宋_GB2312" w:eastAsia="仿宋_GB2312" w:cs="仿宋_GB2312"/>
          <w:sz w:val="32"/>
          <w:szCs w:val="32"/>
          <w:highlight w:val="none"/>
        </w:rPr>
        <w:t>人，实有在职人员</w:t>
      </w:r>
      <w:r>
        <w:rPr>
          <w:rFonts w:hint="eastAsia" w:ascii="仿宋_GB2312" w:hAnsi="仿宋_GB2312" w:eastAsia="仿宋_GB2312" w:cs="仿宋_GB2312"/>
          <w:sz w:val="32"/>
          <w:szCs w:val="32"/>
          <w:highlight w:val="none"/>
          <w:lang w:val="en-US" w:eastAsia="zh-CN"/>
        </w:rPr>
        <w:t>8444</w:t>
      </w:r>
      <w:r>
        <w:rPr>
          <w:rFonts w:hint="eastAsia" w:ascii="仿宋_GB2312" w:hAnsi="仿宋_GB2312" w:eastAsia="仿宋_GB2312" w:cs="仿宋_GB2312"/>
          <w:sz w:val="32"/>
          <w:szCs w:val="32"/>
          <w:highlight w:val="none"/>
        </w:rPr>
        <w:t>人，退休人员</w:t>
      </w:r>
      <w:r>
        <w:rPr>
          <w:rFonts w:hint="eastAsia" w:ascii="仿宋_GB2312" w:hAnsi="仿宋_GB2312" w:eastAsia="仿宋_GB2312" w:cs="仿宋_GB2312"/>
          <w:sz w:val="32"/>
          <w:szCs w:val="32"/>
          <w:highlight w:val="none"/>
          <w:lang w:val="en-US" w:eastAsia="zh-CN"/>
        </w:rPr>
        <w:t>1972</w:t>
      </w:r>
      <w:r>
        <w:rPr>
          <w:rFonts w:hint="eastAsia" w:ascii="仿宋_GB2312" w:hAnsi="仿宋_GB2312" w:eastAsia="仿宋_GB2312" w:cs="仿宋_GB2312"/>
          <w:sz w:val="32"/>
          <w:szCs w:val="32"/>
          <w:highlight w:val="none"/>
        </w:rPr>
        <w:t>人。</w:t>
      </w:r>
      <w:r>
        <w:rPr>
          <w:rFonts w:hint="eastAsia" w:ascii="Times New Roman" w:hAnsi="Times New Roman" w:eastAsia="仿宋_GB2312" w:cs="仿宋_GB2312"/>
          <w:bCs/>
          <w:kern w:val="0"/>
          <w:sz w:val="32"/>
          <w:szCs w:val="32"/>
        </w:rPr>
        <w:t>（二）决算单位构成。</w:t>
      </w:r>
      <w:bookmarkStart w:id="2" w:name="DEPT_COMPOSE"/>
      <w:r>
        <w:rPr>
          <w:rFonts w:hint="eastAsia" w:ascii="仿宋" w:hAnsi="仿宋" w:eastAsia="仿宋" w:cs="仿宋"/>
          <w:sz w:val="32"/>
          <w:szCs w:val="32"/>
        </w:rPr>
        <w:t>道县教育局</w:t>
      </w: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年部门决算汇总公开单位构成包括：</w:t>
      </w:r>
      <w:r>
        <w:rPr>
          <w:rFonts w:hint="eastAsia" w:ascii="仿宋" w:hAnsi="仿宋" w:eastAsia="仿宋" w:cs="仿宋"/>
          <w:color w:val="000000"/>
          <w:sz w:val="32"/>
          <w:szCs w:val="32"/>
          <w:shd w:val="clear" w:color="auto" w:fill="FFFFFF"/>
        </w:rPr>
        <w:t>全县</w:t>
      </w:r>
      <w:r>
        <w:rPr>
          <w:rFonts w:hint="eastAsia" w:ascii="仿宋" w:hAnsi="仿宋" w:eastAsia="仿宋" w:cs="仿宋"/>
          <w:color w:val="000000"/>
          <w:sz w:val="32"/>
          <w:szCs w:val="32"/>
          <w:shd w:val="clear" w:color="auto" w:fill="FFFFFF"/>
          <w:lang w:eastAsia="zh-CN"/>
        </w:rPr>
        <w:t>教育系统</w:t>
      </w:r>
      <w:r>
        <w:rPr>
          <w:rFonts w:hint="eastAsia" w:ascii="仿宋" w:hAnsi="仿宋" w:eastAsia="仿宋" w:cs="仿宋"/>
          <w:color w:val="000000"/>
          <w:sz w:val="32"/>
          <w:szCs w:val="32"/>
          <w:shd w:val="clear" w:color="auto" w:fill="FFFFFF"/>
        </w:rPr>
        <w:t>独立编制机构数</w:t>
      </w:r>
      <w:r>
        <w:rPr>
          <w:rFonts w:hint="eastAsia" w:ascii="仿宋" w:hAnsi="仿宋" w:eastAsia="仿宋" w:cs="仿宋"/>
          <w:color w:val="000000"/>
          <w:sz w:val="32"/>
          <w:szCs w:val="32"/>
          <w:shd w:val="clear" w:color="auto" w:fill="FFFFFF"/>
          <w:lang w:val="en-US" w:eastAsia="zh-CN"/>
        </w:rPr>
        <w:t>83个</w:t>
      </w:r>
      <w:r>
        <w:rPr>
          <w:rFonts w:hint="eastAsia" w:ascii="仿宋" w:hAnsi="仿宋" w:eastAsia="仿宋" w:cs="仿宋"/>
          <w:color w:val="000000"/>
          <w:sz w:val="32"/>
          <w:szCs w:val="32"/>
          <w:shd w:val="clear" w:color="auto" w:fill="FFFFFF"/>
        </w:rPr>
        <w:t>机构</w:t>
      </w:r>
      <w:r>
        <w:rPr>
          <w:rFonts w:hint="eastAsia" w:ascii="仿宋" w:hAnsi="仿宋" w:eastAsia="仿宋" w:cs="仿宋"/>
          <w:color w:val="000000"/>
          <w:sz w:val="32"/>
          <w:szCs w:val="32"/>
          <w:shd w:val="clear" w:color="auto" w:fill="FFFFFF"/>
          <w:lang w:eastAsia="zh-CN"/>
        </w:rPr>
        <w:t>和</w:t>
      </w:r>
      <w:r>
        <w:rPr>
          <w:rFonts w:hint="eastAsia" w:ascii="仿宋" w:hAnsi="仿宋" w:eastAsia="仿宋" w:cs="仿宋"/>
          <w:color w:val="000000"/>
          <w:sz w:val="32"/>
          <w:szCs w:val="32"/>
          <w:shd w:val="clear" w:color="auto" w:fill="FFFFFF"/>
          <w:lang w:val="en-US" w:eastAsia="zh-CN"/>
        </w:rPr>
        <w:t>1个教育系统汇总单位</w:t>
      </w:r>
      <w:r>
        <w:rPr>
          <w:rFonts w:hint="eastAsia" w:ascii="仿宋" w:hAnsi="仿宋" w:eastAsia="仿宋" w:cs="仿宋"/>
          <w:color w:val="000000"/>
          <w:sz w:val="32"/>
          <w:szCs w:val="32"/>
          <w:shd w:val="clear" w:color="auto" w:fill="FFFFFF"/>
          <w:lang w:eastAsia="zh-CN"/>
        </w:rPr>
        <w:t>（不含工贸学校及民办学校）</w:t>
      </w:r>
      <w:r>
        <w:rPr>
          <w:rFonts w:hint="eastAsia" w:ascii="仿宋" w:hAnsi="仿宋" w:eastAsia="仿宋" w:cs="仿宋"/>
          <w:sz w:val="32"/>
          <w:szCs w:val="32"/>
        </w:rPr>
        <w:t>。</w:t>
      </w:r>
      <w:bookmarkEnd w:id="2"/>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pStyle w:val="14"/>
        <w:jc w:val="both"/>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4"/>
        <w:jc w:val="center"/>
        <w:rPr>
          <w:rFonts w:hint="eastAsia" w:ascii="方正小标宋_GBK" w:hAnsi="方正小标宋_GBK" w:eastAsia="方正小标宋_GBK" w:cs="方正小标宋_GBK"/>
          <w:sz w:val="84"/>
          <w:szCs w:val="84"/>
        </w:rPr>
      </w:pPr>
    </w:p>
    <w:p>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fixed"/>
        <w:tblCellMar>
          <w:top w:w="0" w:type="dxa"/>
          <w:left w:w="0" w:type="dxa"/>
          <w:bottom w:w="0" w:type="dxa"/>
          <w:right w:w="0" w:type="dxa"/>
        </w:tblCellMar>
      </w:tblPr>
      <w:tblGrid>
        <w:gridCol w:w="282"/>
        <w:gridCol w:w="1080"/>
        <w:gridCol w:w="4395"/>
        <w:gridCol w:w="1455"/>
        <w:gridCol w:w="1695"/>
        <w:gridCol w:w="1320"/>
        <w:gridCol w:w="1290"/>
        <w:gridCol w:w="1140"/>
        <w:gridCol w:w="1255"/>
        <w:gridCol w:w="1516"/>
      </w:tblGrid>
      <w:tr>
        <w:tblPrEx>
          <w:tblCellMar>
            <w:top w:w="0" w:type="dxa"/>
            <w:left w:w="0" w:type="dxa"/>
            <w:bottom w:w="0" w:type="dxa"/>
            <w:right w:w="0" w:type="dxa"/>
          </w:tblCellMar>
        </w:tblPrEx>
        <w:trPr>
          <w:trHeight w:val="90"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30"/>
              <w:gridCol w:w="1327"/>
              <w:gridCol w:w="2487"/>
              <w:gridCol w:w="3465"/>
              <w:gridCol w:w="1350"/>
              <w:gridCol w:w="73"/>
              <w:gridCol w:w="24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0"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32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8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4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42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230" w:type="dxa"/>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32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87"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3465" w:type="dxa"/>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1423" w:type="dxa"/>
                  <w:gridSpan w:val="2"/>
                  <w:tcBorders>
                    <w:top w:val="nil"/>
                    <w:left w:val="nil"/>
                    <w:bottom w:val="nil"/>
                    <w:right w:val="nil"/>
                  </w:tcBorders>
                  <w:shd w:val="clear" w:color="auto" w:fill="FFFFFF"/>
                  <w:noWrap/>
                  <w:vAlign w:val="center"/>
                </w:tcPr>
                <w:p>
                  <w:pPr>
                    <w:jc w:val="right"/>
                    <w:rPr>
                      <w:rFonts w:hint="eastAsia" w:ascii="宋体" w:hAnsi="宋体" w:eastAsia="宋体" w:cs="宋体"/>
                      <w:i w:val="0"/>
                      <w:color w:val="000000"/>
                      <w:sz w:val="24"/>
                      <w:szCs w:val="24"/>
                      <w:u w:val="none"/>
                    </w:rPr>
                  </w:pPr>
                </w:p>
              </w:tc>
              <w:tc>
                <w:tcPr>
                  <w:tcW w:w="2466" w:type="dxa"/>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804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354"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color w:val="000000"/>
                      <w:sz w:val="24"/>
                      <w:szCs w:val="24"/>
                      <w:u w:val="none"/>
                    </w:rPr>
                  </w:pP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122901.55</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25.61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3209.98</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16</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17</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18</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8,182.41 </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19</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rPr>
                    <w:t xml:space="preserve">131,863.77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eastAsia="zh-CN"/>
                    </w:rPr>
                    <w:t>六</w:t>
                  </w:r>
                  <w:r>
                    <w:rPr>
                      <w:rFonts w:hint="eastAsia" w:ascii="宋体" w:hAnsi="宋体" w:eastAsia="宋体" w:cs="宋体"/>
                      <w:i w:val="0"/>
                      <w:color w:val="000000"/>
                      <w:sz w:val="22"/>
                      <w:szCs w:val="22"/>
                      <w:u w:val="none"/>
                    </w:rPr>
                    <w:t>、社会保障和就业支出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20</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2,663.20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eastAsia="zh-CN"/>
                    </w:rPr>
                  </w:pPr>
                  <w:r>
                    <w:rPr>
                      <w:rFonts w:hint="eastAsia" w:ascii="宋体" w:hAnsi="宋体" w:eastAsia="宋体" w:cs="宋体"/>
                      <w:i w:val="0"/>
                      <w:color w:val="000000"/>
                      <w:sz w:val="22"/>
                      <w:szCs w:val="22"/>
                      <w:u w:val="none"/>
                      <w:lang w:eastAsia="zh-CN"/>
                    </w:rPr>
                    <w:t>七</w:t>
                  </w:r>
                  <w:r>
                    <w:rPr>
                      <w:rFonts w:hint="eastAsia" w:ascii="宋体" w:hAnsi="宋体" w:eastAsia="宋体" w:cs="宋体"/>
                      <w:i w:val="0"/>
                      <w:color w:val="000000"/>
                      <w:sz w:val="22"/>
                      <w:szCs w:val="22"/>
                      <w:u w:val="none"/>
                    </w:rPr>
                    <w:t>、</w:t>
                  </w:r>
                  <w:r>
                    <w:rPr>
                      <w:rFonts w:hint="eastAsia" w:ascii="宋体" w:hAnsi="宋体" w:eastAsia="宋体" w:cs="宋体"/>
                      <w:i w:val="0"/>
                      <w:color w:val="000000"/>
                      <w:sz w:val="22"/>
                      <w:szCs w:val="22"/>
                      <w:u w:val="none"/>
                      <w:lang w:eastAsia="zh-CN"/>
                    </w:rPr>
                    <w:t>卫生健康支出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21</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1,336.78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5,757.54 </w:t>
                  </w: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w:t>
                  </w:r>
                  <w:r>
                    <w:rPr>
                      <w:rFonts w:hint="eastAsia" w:ascii="宋体" w:hAnsi="宋体" w:eastAsia="宋体" w:cs="宋体"/>
                      <w:i w:val="0"/>
                      <w:color w:val="000000"/>
                      <w:sz w:val="22"/>
                      <w:szCs w:val="22"/>
                      <w:u w:val="none"/>
                      <w:lang w:eastAsia="zh-CN"/>
                    </w:rPr>
                    <w:t>住房保障</w:t>
                  </w:r>
                  <w:r>
                    <w:rPr>
                      <w:rFonts w:hint="eastAsia" w:ascii="宋体" w:hAnsi="宋体" w:eastAsia="宋体" w:cs="宋体"/>
                      <w:i w:val="0"/>
                      <w:color w:val="000000"/>
                      <w:sz w:val="22"/>
                      <w:szCs w:val="22"/>
                      <w:u w:val="none"/>
                    </w:rPr>
                    <w:t>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22</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386.35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0"/>
                      <w:szCs w:val="20"/>
                      <w:u w:val="none"/>
                    </w:rPr>
                  </w:pP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color w:val="000000"/>
                      <w:sz w:val="22"/>
                      <w:szCs w:val="22"/>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color w:val="000000"/>
                      <w:sz w:val="20"/>
                      <w:szCs w:val="20"/>
                      <w:u w:val="none"/>
                    </w:rPr>
                  </w:pPr>
                  <w:r>
                    <w:rPr>
                      <w:rFonts w:hint="eastAsia" w:ascii="宋体" w:hAnsi="宋体" w:eastAsia="宋体" w:cs="宋体"/>
                      <w:i w:val="0"/>
                      <w:color w:val="000000"/>
                      <w:sz w:val="22"/>
                      <w:szCs w:val="22"/>
                      <w:u w:val="none"/>
                      <w:lang w:eastAsia="zh-CN"/>
                    </w:rPr>
                    <w:t>九</w:t>
                  </w:r>
                  <w:r>
                    <w:rPr>
                      <w:rFonts w:hint="eastAsia" w:ascii="宋体" w:hAnsi="宋体" w:eastAsia="宋体" w:cs="宋体"/>
                      <w:i w:val="0"/>
                      <w:color w:val="000000"/>
                      <w:sz w:val="22"/>
                      <w:szCs w:val="22"/>
                      <w:u w:val="none"/>
                    </w:rPr>
                    <w:t>、</w:t>
                  </w:r>
                  <w:r>
                    <w:rPr>
                      <w:rFonts w:hint="eastAsia" w:ascii="宋体" w:hAnsi="宋体" w:eastAsia="宋体" w:cs="宋体"/>
                      <w:i w:val="0"/>
                      <w:color w:val="000000"/>
                      <w:sz w:val="22"/>
                      <w:szCs w:val="22"/>
                      <w:u w:val="none"/>
                      <w:lang w:eastAsia="zh-CN"/>
                    </w:rPr>
                    <w:t>其他</w:t>
                  </w:r>
                  <w:r>
                    <w:rPr>
                      <w:rFonts w:hint="eastAsia" w:ascii="宋体" w:hAnsi="宋体" w:eastAsia="宋体" w:cs="宋体"/>
                      <w:i w:val="0"/>
                      <w:color w:val="000000"/>
                      <w:sz w:val="22"/>
                      <w:szCs w:val="22"/>
                      <w:u w:val="none"/>
                    </w:rPr>
                    <w:t>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23</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color w:val="000000"/>
                      <w:sz w:val="22"/>
                      <w:szCs w:val="22"/>
                      <w:u w:val="none"/>
                      <w:lang w:val="en-US" w:eastAsia="zh-CN"/>
                    </w:rPr>
                    <w:t>809.74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10</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i w:val="0"/>
                      <w:color w:val="000000"/>
                      <w:sz w:val="22"/>
                      <w:szCs w:val="22"/>
                      <w:u w:val="none"/>
                      <w:lang w:val="en-US" w:eastAsia="zh-CN"/>
                    </w:rPr>
                    <w:t>十一、城乡社区支出</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24</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2,966.01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11</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 xml:space="preserve">140,051.48 </w:t>
                  </w: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25</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 xml:space="preserve">140,051.48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12</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结余分配</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26</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13</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c>
                <w:tcPr>
                  <w:tcW w:w="34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27</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42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32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14</w:t>
                  </w:r>
                </w:p>
              </w:tc>
              <w:tc>
                <w:tcPr>
                  <w:tcW w:w="2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lang w:val="en-US" w:eastAsia="zh-CN"/>
                    </w:rPr>
                    <w:t xml:space="preserve">140,051.48 </w:t>
                  </w:r>
                </w:p>
              </w:tc>
              <w:tc>
                <w:tcPr>
                  <w:tcW w:w="346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3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28</w:t>
                  </w:r>
                </w:p>
              </w:tc>
              <w:tc>
                <w:tcPr>
                  <w:tcW w:w="253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i w:val="0"/>
                      <w:color w:val="000000"/>
                      <w:sz w:val="22"/>
                      <w:szCs w:val="22"/>
                      <w:u w:val="none"/>
                    </w:rPr>
                  </w:pPr>
                  <w:r>
                    <w:rPr>
                      <w:rFonts w:hint="eastAsia" w:ascii="宋体" w:hAnsi="宋体" w:eastAsia="宋体" w:cs="宋体"/>
                      <w:i w:val="0"/>
                      <w:color w:val="000000"/>
                      <w:sz w:val="22"/>
                      <w:szCs w:val="22"/>
                      <w:u w:val="none"/>
                      <w:lang w:val="en-US" w:eastAsia="zh-CN"/>
                    </w:rPr>
                    <w:t xml:space="preserve">140,051.48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p>
                <w:p>
                  <w:pPr>
                    <w:pStyle w:val="9"/>
                    <w:rPr>
                      <w:rFonts w:hint="eastAsia"/>
                      <w:lang w:val="en-US" w:eastAsia="zh-CN"/>
                    </w:rPr>
                  </w:pPr>
                </w:p>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CellMar>
            <w:top w:w="0" w:type="dxa"/>
            <w:left w:w="0" w:type="dxa"/>
            <w:bottom w:w="0" w:type="dxa"/>
            <w:right w:w="0" w:type="dxa"/>
          </w:tblCellMar>
        </w:tblPrEx>
        <w:trPr>
          <w:trHeight w:val="282" w:hRule="atLeast"/>
        </w:trPr>
        <w:tc>
          <w:tcPr>
            <w:tcW w:w="282"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08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43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2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CellMar>
            <w:top w:w="0" w:type="dxa"/>
            <w:left w:w="0" w:type="dxa"/>
            <w:bottom w:w="0" w:type="dxa"/>
            <w:right w:w="0" w:type="dxa"/>
          </w:tblCellMar>
        </w:tblPrEx>
        <w:trPr>
          <w:trHeight w:val="222" w:hRule="atLeast"/>
        </w:trPr>
        <w:tc>
          <w:tcPr>
            <w:tcW w:w="1362" w:type="dxa"/>
            <w:gridSpan w:val="2"/>
            <w:tcBorders>
              <w:top w:val="nil"/>
              <w:left w:val="nil"/>
              <w:bottom w:val="nil"/>
              <w:right w:val="nil"/>
            </w:tcBorders>
            <w:shd w:val="clear" w:color="000000" w:fill="FFFFFF"/>
            <w:noWrap/>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43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69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320" w:type="dxa"/>
            <w:tcBorders>
              <w:top w:val="nil"/>
              <w:left w:val="nil"/>
              <w:bottom w:val="nil"/>
              <w:right w:val="nil"/>
            </w:tcBorders>
            <w:shd w:val="clear" w:color="000000" w:fill="FFFFFF"/>
            <w:noWrap/>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29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140"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255"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516" w:type="dxa"/>
            <w:tcBorders>
              <w:top w:val="nil"/>
              <w:left w:val="nil"/>
              <w:bottom w:val="nil"/>
              <w:right w:val="nil"/>
            </w:tcBorders>
            <w:shd w:val="clear" w:color="000000" w:fill="FFFFFF"/>
            <w:noWrap/>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CellMar>
            <w:top w:w="0" w:type="dxa"/>
            <w:left w:w="0" w:type="dxa"/>
            <w:bottom w:w="0" w:type="dxa"/>
            <w:right w:w="0" w:type="dxa"/>
          </w:tblCellMar>
        </w:tblPrEx>
        <w:trPr>
          <w:trHeight w:val="272" w:hRule="atLeast"/>
        </w:trPr>
        <w:tc>
          <w:tcPr>
            <w:tcW w:w="5757"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4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本年收入合计</w:t>
            </w:r>
          </w:p>
        </w:tc>
        <w:tc>
          <w:tcPr>
            <w:tcW w:w="16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财政拨款收入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上级补助收入</w:t>
            </w:r>
          </w:p>
        </w:tc>
        <w:tc>
          <w:tcPr>
            <w:tcW w:w="12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事业收入</w:t>
            </w:r>
          </w:p>
        </w:tc>
        <w:tc>
          <w:tcPr>
            <w:tcW w:w="11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经营收入</w:t>
            </w:r>
          </w:p>
        </w:tc>
        <w:tc>
          <w:tcPr>
            <w:tcW w:w="12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附属单位上缴收入</w:t>
            </w:r>
          </w:p>
        </w:tc>
        <w:tc>
          <w:tcPr>
            <w:tcW w:w="151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其他收入</w:t>
            </w:r>
          </w:p>
        </w:tc>
      </w:tr>
      <w:tr>
        <w:tblPrEx>
          <w:tblCellMar>
            <w:top w:w="0" w:type="dxa"/>
            <w:left w:w="0" w:type="dxa"/>
            <w:bottom w:w="0" w:type="dxa"/>
            <w:right w:w="0" w:type="dxa"/>
          </w:tblCellMar>
        </w:tblPrEx>
        <w:trPr>
          <w:trHeight w:val="450" w:hRule="atLeast"/>
        </w:trPr>
        <w:tc>
          <w:tcPr>
            <w:tcW w:w="136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功能分类科目编码</w:t>
            </w:r>
          </w:p>
        </w:tc>
        <w:tc>
          <w:tcPr>
            <w:tcW w:w="439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sz w:val="21"/>
                <w:szCs w:val="21"/>
              </w:rPr>
              <w:t>科目名称</w:t>
            </w: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312" w:hRule="atLeast"/>
        </w:trPr>
        <w:tc>
          <w:tcPr>
            <w:tcW w:w="1362"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4395"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140"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255"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CellMar>
            <w:top w:w="0" w:type="dxa"/>
            <w:left w:w="0" w:type="dxa"/>
            <w:bottom w:w="0" w:type="dxa"/>
            <w:right w:w="0" w:type="dxa"/>
          </w:tblCellMar>
        </w:tblPrEx>
        <w:trPr>
          <w:trHeight w:val="222" w:hRule="atLeast"/>
        </w:trPr>
        <w:tc>
          <w:tcPr>
            <w:tcW w:w="575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4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6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3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2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1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2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151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CellMar>
            <w:top w:w="0" w:type="dxa"/>
            <w:left w:w="0" w:type="dxa"/>
            <w:bottom w:w="0" w:type="dxa"/>
            <w:right w:w="0" w:type="dxa"/>
          </w:tblCellMar>
        </w:tblPrEx>
        <w:trPr>
          <w:trHeight w:val="267" w:hRule="atLeast"/>
        </w:trPr>
        <w:tc>
          <w:tcPr>
            <w:tcW w:w="5757"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45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140,051.48 </w:t>
            </w:r>
          </w:p>
        </w:tc>
        <w:tc>
          <w:tcPr>
            <w:tcW w:w="16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126,111.53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 xml:space="preserve">8,182.41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 xml:space="preserve">5,757.54 </w:t>
            </w:r>
          </w:p>
        </w:tc>
      </w:tr>
      <w:tr>
        <w:tblPrEx>
          <w:tblCellMar>
            <w:top w:w="0" w:type="dxa"/>
            <w:left w:w="0" w:type="dxa"/>
            <w:bottom w:w="0" w:type="dxa"/>
            <w:right w:w="0" w:type="dxa"/>
          </w:tblCellMar>
        </w:tblPrEx>
        <w:trPr>
          <w:trHeight w:val="34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2019999</w:t>
            </w:r>
          </w:p>
        </w:tc>
        <w:tc>
          <w:tcPr>
            <w:tcW w:w="4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25.61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25.61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25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2050101</w:t>
            </w:r>
          </w:p>
        </w:tc>
        <w:tc>
          <w:tcPr>
            <w:tcW w:w="43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45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6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267"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2050102</w:t>
            </w:r>
          </w:p>
        </w:tc>
        <w:tc>
          <w:tcPr>
            <w:tcW w:w="4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4,245.43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4,245.43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宋体" w:hAnsi="宋体" w:eastAsia="宋体" w:cs="宋体"/>
                <w:sz w:val="24"/>
                <w:szCs w:val="24"/>
              </w:rPr>
            </w:pPr>
          </w:p>
        </w:tc>
      </w:tr>
      <w:tr>
        <w:tblPrEx>
          <w:tblCellMar>
            <w:top w:w="0" w:type="dxa"/>
            <w:left w:w="0" w:type="dxa"/>
            <w:bottom w:w="0" w:type="dxa"/>
            <w:right w:w="0" w:type="dxa"/>
          </w:tblCellMar>
        </w:tblPrEx>
        <w:trPr>
          <w:trHeight w:val="28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2050199</w:t>
            </w:r>
          </w:p>
        </w:tc>
        <w:tc>
          <w:tcPr>
            <w:tcW w:w="43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145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436.28 </w:t>
            </w:r>
          </w:p>
        </w:tc>
        <w:tc>
          <w:tcPr>
            <w:tcW w:w="16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436.28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28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2050201</w:t>
            </w:r>
          </w:p>
        </w:tc>
        <w:tc>
          <w:tcPr>
            <w:tcW w:w="43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45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4,012.91 </w:t>
            </w:r>
          </w:p>
        </w:tc>
        <w:tc>
          <w:tcPr>
            <w:tcW w:w="16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3,379.27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531.62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102.02 </w:t>
            </w:r>
          </w:p>
        </w:tc>
      </w:tr>
      <w:tr>
        <w:tblPrEx>
          <w:tblCellMar>
            <w:top w:w="0" w:type="dxa"/>
            <w:left w:w="0" w:type="dxa"/>
            <w:bottom w:w="0" w:type="dxa"/>
            <w:right w:w="0" w:type="dxa"/>
          </w:tblCellMar>
        </w:tblPrEx>
        <w:trPr>
          <w:trHeight w:val="90"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2050202</w:t>
            </w:r>
          </w:p>
        </w:tc>
        <w:tc>
          <w:tcPr>
            <w:tcW w:w="43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45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49,335.53 </w:t>
            </w:r>
          </w:p>
        </w:tc>
        <w:tc>
          <w:tcPr>
            <w:tcW w:w="1695"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44,337.40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1,770.11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3,228.03 </w:t>
            </w:r>
          </w:p>
        </w:tc>
      </w:tr>
      <w:tr>
        <w:tblPrEx>
          <w:tblCellMar>
            <w:top w:w="0" w:type="dxa"/>
            <w:left w:w="0" w:type="dxa"/>
            <w:bottom w:w="0" w:type="dxa"/>
            <w:right w:w="0" w:type="dxa"/>
          </w:tblCellMar>
        </w:tblPrEx>
        <w:trPr>
          <w:trHeight w:val="312"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2050203</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初中教育</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47,839.02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43,192.65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2,788.45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1,857.93 </w:t>
            </w:r>
          </w:p>
        </w:tc>
      </w:tr>
      <w:tr>
        <w:tblPrEx>
          <w:tblCellMar>
            <w:top w:w="0" w:type="dxa"/>
            <w:left w:w="0" w:type="dxa"/>
            <w:bottom w:w="0" w:type="dxa"/>
            <w:right w:w="0" w:type="dxa"/>
          </w:tblCellMar>
        </w:tblPrEx>
        <w:trPr>
          <w:trHeight w:val="310"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2050204</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高中教育</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23,545.97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20,449.80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3,092.22 </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3.94 </w:t>
            </w:r>
          </w:p>
        </w:tc>
      </w:tr>
      <w:tr>
        <w:tblPrEx>
          <w:tblCellMar>
            <w:top w:w="0" w:type="dxa"/>
            <w:left w:w="0" w:type="dxa"/>
            <w:bottom w:w="0" w:type="dxa"/>
            <w:right w:w="0" w:type="dxa"/>
          </w:tblCellMar>
        </w:tblPrEx>
        <w:trPr>
          <w:trHeight w:val="310"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2050299</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其他普通教育支出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618.94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618.94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310"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2050399</w:t>
            </w:r>
          </w:p>
        </w:tc>
        <w:tc>
          <w:tcPr>
            <w:tcW w:w="4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其他职业教育支出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315.15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315.15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310"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4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83.20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83.20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324"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2,439.03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2,439.03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316"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179.39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 xml:space="preserve">179.39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0" w:type="dxa"/>
            <w:bottom w:w="0" w:type="dxa"/>
            <w:right w:w="0" w:type="dxa"/>
          </w:tblCellMar>
        </w:tblPrEx>
        <w:trPr>
          <w:trHeight w:val="27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2089999</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44.79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44.79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75"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3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67"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2101102</w:t>
            </w:r>
          </w:p>
        </w:tc>
        <w:tc>
          <w:tcPr>
            <w:tcW w:w="43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事业单位医疗</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1,335.78 </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1,335.78 </w:t>
            </w:r>
          </w:p>
        </w:tc>
        <w:tc>
          <w:tcPr>
            <w:tcW w:w="1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57"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2120899</w:t>
            </w:r>
          </w:p>
        </w:tc>
        <w:tc>
          <w:tcPr>
            <w:tcW w:w="43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4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2,966.01 </w:t>
            </w:r>
          </w:p>
        </w:tc>
        <w:tc>
          <w:tcPr>
            <w:tcW w:w="16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2,966.01 </w:t>
            </w: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57"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4395"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住房公积金</w:t>
            </w:r>
          </w:p>
        </w:tc>
        <w:tc>
          <w:tcPr>
            <w:tcW w:w="14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386.35 </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386.35 </w:t>
            </w:r>
          </w:p>
        </w:tc>
        <w:tc>
          <w:tcPr>
            <w:tcW w:w="1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27"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2290403</w:t>
            </w:r>
          </w:p>
        </w:tc>
        <w:tc>
          <w:tcPr>
            <w:tcW w:w="43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4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243.97 </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243.97 </w:t>
            </w:r>
          </w:p>
        </w:tc>
        <w:tc>
          <w:tcPr>
            <w:tcW w:w="1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r>
      <w:tr>
        <w:tblPrEx>
          <w:tblCellMar>
            <w:top w:w="0" w:type="dxa"/>
            <w:left w:w="0" w:type="dxa"/>
            <w:bottom w:w="0" w:type="dxa"/>
            <w:right w:w="0" w:type="dxa"/>
          </w:tblCellMar>
        </w:tblPrEx>
        <w:trPr>
          <w:trHeight w:val="242" w:hRule="atLeast"/>
        </w:trPr>
        <w:tc>
          <w:tcPr>
            <w:tcW w:w="136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2299999</w:t>
            </w:r>
          </w:p>
        </w:tc>
        <w:tc>
          <w:tcPr>
            <w:tcW w:w="43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14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565.78 </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0.16 </w:t>
            </w:r>
          </w:p>
        </w:tc>
        <w:tc>
          <w:tcPr>
            <w:tcW w:w="1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9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1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25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eastAsia"/>
              </w:rPr>
            </w:pPr>
          </w:p>
        </w:tc>
        <w:tc>
          <w:tcPr>
            <w:tcW w:w="1516"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565.62 </w:t>
            </w:r>
          </w:p>
        </w:tc>
      </w:tr>
      <w:tr>
        <w:tblPrEx>
          <w:tblCellMar>
            <w:top w:w="0" w:type="dxa"/>
            <w:left w:w="0" w:type="dxa"/>
            <w:bottom w:w="0" w:type="dxa"/>
            <w:right w:w="0" w:type="dxa"/>
          </w:tblCellMar>
        </w:tblPrEx>
        <w:trPr>
          <w:trHeight w:val="46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tbl>
      <w:tblPr>
        <w:tblStyle w:val="10"/>
        <w:tblpPr w:leftFromText="180" w:rightFromText="180" w:vertAnchor="text" w:horzAnchor="page" w:tblpX="692" w:tblpY="89"/>
        <w:tblOverlap w:val="never"/>
        <w:tblW w:w="15640" w:type="dxa"/>
        <w:tblInd w:w="0" w:type="dxa"/>
        <w:tblLayout w:type="fixed"/>
        <w:tblCellMar>
          <w:top w:w="0" w:type="dxa"/>
          <w:left w:w="108" w:type="dxa"/>
          <w:bottom w:w="0" w:type="dxa"/>
          <w:right w:w="108" w:type="dxa"/>
        </w:tblCellMar>
      </w:tblPr>
      <w:tblGrid>
        <w:gridCol w:w="1236"/>
        <w:gridCol w:w="668"/>
        <w:gridCol w:w="4530"/>
        <w:gridCol w:w="1665"/>
        <w:gridCol w:w="1560"/>
        <w:gridCol w:w="1470"/>
        <w:gridCol w:w="1725"/>
        <w:gridCol w:w="1200"/>
        <w:gridCol w:w="1586"/>
      </w:tblGrid>
      <w:tr>
        <w:tblPrEx>
          <w:tblCellMar>
            <w:top w:w="0" w:type="dxa"/>
            <w:left w:w="108" w:type="dxa"/>
            <w:bottom w:w="0" w:type="dxa"/>
            <w:right w:w="108" w:type="dxa"/>
          </w:tblCellMar>
        </w:tblPrEx>
        <w:trPr>
          <w:trHeight w:val="504" w:hRule="atLeast"/>
        </w:trPr>
        <w:tc>
          <w:tcPr>
            <w:tcW w:w="15640" w:type="dxa"/>
            <w:gridSpan w:val="9"/>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CellMar>
            <w:top w:w="0" w:type="dxa"/>
            <w:left w:w="108" w:type="dxa"/>
            <w:bottom w:w="0" w:type="dxa"/>
            <w:right w:w="108" w:type="dxa"/>
          </w:tblCellMar>
        </w:tblPrEx>
        <w:trPr>
          <w:trHeight w:val="252" w:hRule="atLeast"/>
        </w:trPr>
        <w:tc>
          <w:tcPr>
            <w:tcW w:w="12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6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53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7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8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CellMar>
            <w:top w:w="0" w:type="dxa"/>
            <w:left w:w="108" w:type="dxa"/>
            <w:bottom w:w="0" w:type="dxa"/>
            <w:right w:w="108" w:type="dxa"/>
          </w:tblCellMar>
        </w:tblPrEx>
        <w:trPr>
          <w:trHeight w:val="313" w:hRule="atLeast"/>
        </w:trPr>
        <w:tc>
          <w:tcPr>
            <w:tcW w:w="1236"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668"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53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6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6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70" w:type="dxa"/>
            <w:tcBorders>
              <w:top w:val="nil"/>
              <w:left w:val="nil"/>
              <w:bottom w:val="nil"/>
              <w:right w:val="nil"/>
            </w:tcBorders>
            <w:shd w:val="clear" w:color="000000" w:fill="FFFFFF"/>
            <w:noWrap/>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72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200"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86"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305" w:hRule="atLeast"/>
        </w:trPr>
        <w:tc>
          <w:tcPr>
            <w:tcW w:w="643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6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56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7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20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158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CellMar>
            <w:top w:w="0" w:type="dxa"/>
            <w:left w:w="108" w:type="dxa"/>
            <w:bottom w:w="0" w:type="dxa"/>
            <w:right w:w="108" w:type="dxa"/>
          </w:tblCellMar>
        </w:tblPrEx>
        <w:trPr>
          <w:trHeight w:val="595" w:hRule="atLeast"/>
        </w:trPr>
        <w:tc>
          <w:tcPr>
            <w:tcW w:w="1904"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1"/>
                <w:szCs w:val="21"/>
              </w:rPr>
              <w:t>功能分类科目编码</w:t>
            </w:r>
          </w:p>
        </w:tc>
        <w:tc>
          <w:tcPr>
            <w:tcW w:w="4530"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8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312" w:hRule="atLeast"/>
        </w:trPr>
        <w:tc>
          <w:tcPr>
            <w:tcW w:w="190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453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66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7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2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8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CellMar>
            <w:top w:w="0" w:type="dxa"/>
            <w:left w:w="108" w:type="dxa"/>
            <w:bottom w:w="0" w:type="dxa"/>
            <w:right w:w="108" w:type="dxa"/>
          </w:tblCellMar>
        </w:tblPrEx>
        <w:trPr>
          <w:trHeight w:val="252" w:hRule="atLeast"/>
        </w:trPr>
        <w:tc>
          <w:tcPr>
            <w:tcW w:w="643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6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56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47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72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200"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158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CellMar>
            <w:top w:w="0" w:type="dxa"/>
            <w:left w:w="108" w:type="dxa"/>
            <w:bottom w:w="0" w:type="dxa"/>
            <w:right w:w="108" w:type="dxa"/>
          </w:tblCellMar>
        </w:tblPrEx>
        <w:trPr>
          <w:trHeight w:val="239" w:hRule="atLeast"/>
        </w:trPr>
        <w:tc>
          <w:tcPr>
            <w:tcW w:w="6434"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65"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140,051.48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99,757.52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4"/>
                <w:szCs w:val="24"/>
              </w:rPr>
            </w:pPr>
            <w:r>
              <w:rPr>
                <w:rFonts w:hint="eastAsia" w:ascii="宋体" w:hAnsi="宋体" w:eastAsia="宋体" w:cs="宋体"/>
                <w:b/>
                <w:bCs/>
                <w:i w:val="0"/>
                <w:iCs w:val="0"/>
                <w:color w:val="000000"/>
                <w:kern w:val="0"/>
                <w:sz w:val="22"/>
                <w:szCs w:val="22"/>
                <w:u w:val="none"/>
                <w:lang w:val="en-US" w:eastAsia="zh-CN" w:bidi="ar"/>
              </w:rPr>
              <w:t xml:space="preserve">40,293.96 </w:t>
            </w:r>
          </w:p>
        </w:tc>
        <w:tc>
          <w:tcPr>
            <w:tcW w:w="17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5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354"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2019999</w:t>
            </w:r>
          </w:p>
        </w:tc>
        <w:tc>
          <w:tcPr>
            <w:tcW w:w="453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25.61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25.61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309"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2050101</w:t>
            </w:r>
          </w:p>
        </w:tc>
        <w:tc>
          <w:tcPr>
            <w:tcW w:w="453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665"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98"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2050102</w:t>
            </w:r>
          </w:p>
        </w:tc>
        <w:tc>
          <w:tcPr>
            <w:tcW w:w="453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4,245.43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4,245.43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98"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2050199</w:t>
            </w:r>
          </w:p>
        </w:tc>
        <w:tc>
          <w:tcPr>
            <w:tcW w:w="453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1665"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436.28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245.56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190.72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2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453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1665"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4,012.91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1,974.51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2,038.40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26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2050202</w:t>
            </w:r>
          </w:p>
        </w:tc>
        <w:tc>
          <w:tcPr>
            <w:tcW w:w="453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小学教育</w:t>
            </w:r>
          </w:p>
        </w:tc>
        <w:tc>
          <w:tcPr>
            <w:tcW w:w="1665"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49,335.53 </w:t>
            </w:r>
          </w:p>
        </w:tc>
        <w:tc>
          <w:tcPr>
            <w:tcW w:w="1560"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39,494.80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9,840.73 </w:t>
            </w:r>
          </w:p>
        </w:tc>
        <w:tc>
          <w:tcPr>
            <w:tcW w:w="17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16"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47,839.02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32,036.43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15,802.60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197"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2050204</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高中教育</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23,545.97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19,331.00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4,214.97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267"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618.94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533.28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85.66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22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2050399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其他职业教育支出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315.15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315.15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28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83.20 </w:t>
            </w:r>
          </w:p>
        </w:tc>
        <w:tc>
          <w:tcPr>
            <w:tcW w:w="156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83.20 </w:t>
            </w:r>
          </w:p>
        </w:tc>
        <w:tc>
          <w:tcPr>
            <w:tcW w:w="172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2,439.03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2,439.03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22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179.39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179.39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2089999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44.79 </w:t>
            </w:r>
          </w:p>
        </w:tc>
        <w:tc>
          <w:tcPr>
            <w:tcW w:w="156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44.79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 </w:t>
            </w: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1,335.78 </w:t>
            </w:r>
          </w:p>
        </w:tc>
        <w:tc>
          <w:tcPr>
            <w:tcW w:w="15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1,335.78 </w:t>
            </w:r>
          </w:p>
        </w:tc>
        <w:tc>
          <w:tcPr>
            <w:tcW w:w="147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2120899</w:t>
            </w:r>
          </w:p>
        </w:tc>
        <w:tc>
          <w:tcPr>
            <w:tcW w:w="4530"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66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2,966.01 </w:t>
            </w:r>
          </w:p>
        </w:tc>
        <w:tc>
          <w:tcPr>
            <w:tcW w:w="156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47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2,966.01 </w:t>
            </w:r>
          </w:p>
        </w:tc>
        <w:tc>
          <w:tcPr>
            <w:tcW w:w="1725"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45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166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386.35 </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386.35 </w:t>
            </w: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72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hint="eastAsia"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2290403</w:t>
            </w:r>
          </w:p>
        </w:tc>
        <w:tc>
          <w:tcPr>
            <w:tcW w:w="45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66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243.97 </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宋体" w:hAnsi="宋体" w:eastAsia="宋体" w:cs="宋体"/>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243.97 </w:t>
            </w:r>
          </w:p>
        </w:tc>
        <w:tc>
          <w:tcPr>
            <w:tcW w:w="17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302" w:hRule="atLeast"/>
        </w:trPr>
        <w:tc>
          <w:tcPr>
            <w:tcW w:w="1904"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453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6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565.78 </w:t>
            </w:r>
          </w:p>
        </w:tc>
        <w:tc>
          <w:tcPr>
            <w:tcW w:w="15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28.29 </w:t>
            </w: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537.48 </w:t>
            </w:r>
          </w:p>
        </w:tc>
        <w:tc>
          <w:tcPr>
            <w:tcW w:w="17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c>
          <w:tcPr>
            <w:tcW w:w="158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4"/>
                <w:szCs w:val="24"/>
              </w:rPr>
            </w:pPr>
          </w:p>
        </w:tc>
      </w:tr>
      <w:tr>
        <w:tblPrEx>
          <w:tblCellMar>
            <w:top w:w="0" w:type="dxa"/>
            <w:left w:w="108" w:type="dxa"/>
            <w:bottom w:w="0" w:type="dxa"/>
            <w:right w:w="108" w:type="dxa"/>
          </w:tblCellMar>
        </w:tblPrEx>
        <w:trPr>
          <w:trHeight w:val="504" w:hRule="atLeast"/>
        </w:trPr>
        <w:tc>
          <w:tcPr>
            <w:tcW w:w="15640" w:type="dxa"/>
            <w:gridSpan w:val="9"/>
            <w:tcBorders>
              <w:top w:val="single" w:color="auto" w:sz="4" w:space="0"/>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10"/>
        <w:tblpPr w:leftFromText="180" w:rightFromText="180" w:vertAnchor="text" w:horzAnchor="page" w:tblpX="847" w:tblpY="127"/>
        <w:tblOverlap w:val="never"/>
        <w:tblW w:w="15521" w:type="dxa"/>
        <w:tblInd w:w="0" w:type="dxa"/>
        <w:tblLayout w:type="fixed"/>
        <w:tblCellMar>
          <w:top w:w="0" w:type="dxa"/>
          <w:left w:w="108" w:type="dxa"/>
          <w:bottom w:w="0" w:type="dxa"/>
          <w:right w:w="108" w:type="dxa"/>
        </w:tblCellMar>
      </w:tblPr>
      <w:tblGrid>
        <w:gridCol w:w="3595"/>
        <w:gridCol w:w="436"/>
        <w:gridCol w:w="1574"/>
        <w:gridCol w:w="2915"/>
        <w:gridCol w:w="632"/>
        <w:gridCol w:w="435"/>
        <w:gridCol w:w="1573"/>
        <w:gridCol w:w="1394"/>
        <w:gridCol w:w="1394"/>
        <w:gridCol w:w="1573"/>
      </w:tblGrid>
      <w:tr>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pPr>
              <w:widowControl/>
              <w:jc w:val="left"/>
              <w:rPr>
                <w:rFonts w:ascii="黑体" w:hAnsi="黑体" w:eastAsia="黑体" w:cs="宋体"/>
                <w:kern w:val="0"/>
                <w:sz w:val="24"/>
                <w:szCs w:val="24"/>
              </w:rPr>
            </w:pPr>
          </w:p>
        </w:tc>
        <w:tc>
          <w:tcPr>
            <w:tcW w:w="436"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pPr>
              <w:widowControl/>
              <w:jc w:val="right"/>
              <w:rPr>
                <w:rFonts w:ascii="宋体" w:hAnsi="宋体" w:eastAsia="宋体" w:cs="宋体"/>
                <w:kern w:val="0"/>
                <w:sz w:val="24"/>
                <w:szCs w:val="24"/>
              </w:rPr>
            </w:pPr>
          </w:p>
        </w:tc>
      </w:tr>
      <w:tr>
        <w:tblPrEx>
          <w:tblCellMar>
            <w:top w:w="0" w:type="dxa"/>
            <w:left w:w="108" w:type="dxa"/>
            <w:bottom w:w="0" w:type="dxa"/>
            <w:right w:w="108" w:type="dxa"/>
          </w:tblCellMar>
        </w:tblPrEx>
        <w:trPr>
          <w:trHeight w:val="474" w:hRule="atLeast"/>
        </w:trPr>
        <w:tc>
          <w:tcPr>
            <w:tcW w:w="15521" w:type="dxa"/>
            <w:gridSpan w:val="10"/>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4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3547" w:type="dxa"/>
            <w:gridSpan w:val="2"/>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60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9916" w:type="dxa"/>
            <w:gridSpan w:val="7"/>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122,901.55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rPr>
              <w:t>25.61</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rPr>
              <w:t>25.61</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 xml:space="preserve">3,209.98 </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118,489.44</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118,489.44</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sz w:val="22"/>
                <w:szCs w:val="22"/>
                <w:u w:val="none"/>
                <w:lang w:eastAsia="zh-CN"/>
              </w:rPr>
              <w:t>六</w:t>
            </w:r>
            <w:r>
              <w:rPr>
                <w:rFonts w:hint="eastAsia" w:ascii="宋体" w:hAnsi="宋体" w:eastAsia="宋体" w:cs="宋体"/>
                <w:i w:val="0"/>
                <w:color w:val="000000"/>
                <w:sz w:val="22"/>
                <w:szCs w:val="22"/>
                <w:u w:val="none"/>
              </w:rPr>
              <w:t>、社会保障和就业支出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2,663.20</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2,663.20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sz w:val="22"/>
                <w:szCs w:val="22"/>
                <w:u w:val="none"/>
                <w:lang w:eastAsia="zh-CN"/>
              </w:rPr>
              <w:t>七</w:t>
            </w:r>
            <w:r>
              <w:rPr>
                <w:rFonts w:hint="eastAsia" w:ascii="宋体" w:hAnsi="宋体" w:eastAsia="宋体" w:cs="宋体"/>
                <w:i w:val="0"/>
                <w:color w:val="000000"/>
                <w:sz w:val="22"/>
                <w:szCs w:val="22"/>
                <w:u w:val="none"/>
              </w:rPr>
              <w:t>、</w:t>
            </w:r>
            <w:r>
              <w:rPr>
                <w:rFonts w:hint="eastAsia" w:ascii="宋体" w:hAnsi="宋体" w:eastAsia="宋体" w:cs="宋体"/>
                <w:i w:val="0"/>
                <w:color w:val="000000"/>
                <w:sz w:val="22"/>
                <w:szCs w:val="22"/>
                <w:u w:val="none"/>
                <w:lang w:eastAsia="zh-CN"/>
              </w:rPr>
              <w:t>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1,336.78</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1,336.78</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9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kern w:val="0"/>
                <w:sz w:val="22"/>
              </w:rPr>
            </w:pPr>
            <w:r>
              <w:rPr>
                <w:rFonts w:hint="eastAsia" w:ascii="宋体" w:hAnsi="宋体" w:eastAsia="宋体" w:cs="宋体"/>
                <w:i w:val="0"/>
                <w:color w:val="000000"/>
                <w:sz w:val="22"/>
                <w:szCs w:val="22"/>
                <w:u w:val="none"/>
              </w:rPr>
              <w:t>八、</w:t>
            </w:r>
            <w:r>
              <w:rPr>
                <w:rFonts w:hint="eastAsia" w:ascii="宋体" w:hAnsi="宋体" w:eastAsia="宋体" w:cs="宋体"/>
                <w:i w:val="0"/>
                <w:color w:val="000000"/>
                <w:sz w:val="22"/>
                <w:szCs w:val="22"/>
                <w:u w:val="none"/>
                <w:lang w:eastAsia="zh-CN"/>
              </w:rPr>
              <w:t>住房保障</w:t>
            </w:r>
            <w:r>
              <w:rPr>
                <w:rFonts w:hint="eastAsia" w:ascii="宋体" w:hAnsi="宋体" w:eastAsia="宋体" w:cs="宋体"/>
                <w:i w:val="0"/>
                <w:color w:val="000000"/>
                <w:sz w:val="22"/>
                <w:szCs w:val="22"/>
                <w:u w:val="none"/>
              </w:rPr>
              <w:t>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386.35</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386.35</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9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2,966.01</w:t>
            </w:r>
          </w:p>
        </w:tc>
        <w:tc>
          <w:tcPr>
            <w:tcW w:w="1394"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2,966.01</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9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2915" w:type="dxa"/>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w:t>
            </w:r>
          </w:p>
        </w:tc>
        <w:tc>
          <w:tcPr>
            <w:tcW w:w="15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244.13</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0.16</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243.97</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rPr>
            </w:pP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126,111.53 </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126,111.53 </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122,901.55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3,209.98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2915"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6</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0</w:t>
            </w: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7</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8</w:t>
            </w:r>
          </w:p>
        </w:tc>
        <w:tc>
          <w:tcPr>
            <w:tcW w:w="1573"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57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0</w:t>
            </w:r>
          </w:p>
        </w:tc>
        <w:tc>
          <w:tcPr>
            <w:tcW w:w="2915"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57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126,111.53 </w:t>
            </w:r>
          </w:p>
        </w:tc>
        <w:tc>
          <w:tcPr>
            <w:tcW w:w="2915"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30</w:t>
            </w:r>
          </w:p>
        </w:tc>
        <w:tc>
          <w:tcPr>
            <w:tcW w:w="1573"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126,111.53 </w:t>
            </w:r>
          </w:p>
        </w:tc>
        <w:tc>
          <w:tcPr>
            <w:tcW w:w="1394" w:type="dxa"/>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122,901.55 </w:t>
            </w:r>
          </w:p>
        </w:tc>
        <w:tc>
          <w:tcPr>
            <w:tcW w:w="139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 xml:space="preserve">3,209.98 </w:t>
            </w:r>
          </w:p>
        </w:tc>
        <w:tc>
          <w:tcPr>
            <w:tcW w:w="1573"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bookmarkStart w:id="3" w:name="RANGE!A1:I22"/>
      <w:bookmarkEnd w:id="3"/>
      <w:bookmarkStart w:id="4" w:name="RANGE!A1:F16"/>
      <w:r>
        <w:rPr>
          <w:rFonts w:ascii="Times New Roman" w:hAnsi="Times New Roman" w:eastAsia="方正小标宋_GBK" w:cs="Times New Roman"/>
          <w:kern w:val="0"/>
          <w:sz w:val="36"/>
          <w:szCs w:val="36"/>
        </w:rPr>
        <w:t>一般公共预算财政拨款支出决算表</w:t>
      </w:r>
      <w:bookmarkEnd w:id="4"/>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4539"/>
        <w:gridCol w:w="2448"/>
        <w:gridCol w:w="3032"/>
        <w:gridCol w:w="3000"/>
      </w:tblGrid>
      <w:tr>
        <w:tblPrEx>
          <w:tblCellMar>
            <w:top w:w="0" w:type="dxa"/>
            <w:left w:w="108" w:type="dxa"/>
            <w:bottom w:w="0" w:type="dxa"/>
            <w:right w:w="108" w:type="dxa"/>
          </w:tblCellMar>
        </w:tblPrEx>
        <w:trPr>
          <w:trHeight w:val="242" w:hRule="atLeast"/>
          <w:jc w:val="center"/>
        </w:trPr>
        <w:tc>
          <w:tcPr>
            <w:tcW w:w="5739"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480"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453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44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03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53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3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4539"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448"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3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5739"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44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03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04" w:hRule="atLeast"/>
          <w:jc w:val="center"/>
        </w:trPr>
        <w:tc>
          <w:tcPr>
            <w:tcW w:w="5739"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122,901.55 </w:t>
            </w:r>
          </w:p>
        </w:tc>
        <w:tc>
          <w:tcPr>
            <w:tcW w:w="303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89,783.78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b/>
                <w:bCs/>
                <w:kern w:val="0"/>
                <w:szCs w:val="21"/>
              </w:rPr>
            </w:pPr>
            <w:r>
              <w:rPr>
                <w:rFonts w:hint="eastAsia" w:ascii="宋体" w:hAnsi="宋体" w:eastAsia="宋体" w:cs="宋体"/>
                <w:b/>
                <w:bCs/>
                <w:i w:val="0"/>
                <w:iCs w:val="0"/>
                <w:color w:val="000000"/>
                <w:kern w:val="0"/>
                <w:sz w:val="22"/>
                <w:szCs w:val="22"/>
                <w:u w:val="none"/>
                <w:lang w:val="en-US" w:eastAsia="zh-CN" w:bidi="ar"/>
              </w:rPr>
              <w:t xml:space="preserve">33,117.77 </w:t>
            </w:r>
          </w:p>
        </w:tc>
      </w:tr>
      <w:tr>
        <w:tblPrEx>
          <w:tblCellMar>
            <w:top w:w="0" w:type="dxa"/>
            <w:left w:w="108" w:type="dxa"/>
            <w:bottom w:w="0" w:type="dxa"/>
            <w:right w:w="108" w:type="dxa"/>
          </w:tblCellMar>
        </w:tblPrEx>
        <w:trPr>
          <w:trHeight w:val="381"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2019999</w:t>
            </w:r>
          </w:p>
        </w:tc>
        <w:tc>
          <w:tcPr>
            <w:tcW w:w="4539"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25.61 </w:t>
            </w:r>
          </w:p>
        </w:tc>
        <w:tc>
          <w:tcPr>
            <w:tcW w:w="303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25.61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61"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2050101</w:t>
            </w:r>
          </w:p>
        </w:tc>
        <w:tc>
          <w:tcPr>
            <w:tcW w:w="4539"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303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1,431.34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06"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2050102</w:t>
            </w:r>
          </w:p>
        </w:tc>
        <w:tc>
          <w:tcPr>
            <w:tcW w:w="4539"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4,245.43 </w:t>
            </w:r>
          </w:p>
        </w:tc>
        <w:tc>
          <w:tcPr>
            <w:tcW w:w="3032" w:type="dxa"/>
            <w:tcBorders>
              <w:top w:val="nil"/>
              <w:left w:val="nil"/>
              <w:bottom w:val="single" w:color="auto" w:sz="4" w:space="0"/>
              <w:right w:val="single" w:color="auto" w:sz="4" w:space="0"/>
            </w:tcBorders>
            <w:shd w:val="clear" w:color="auto" w:fill="FFFFFF"/>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4,245.43 </w:t>
            </w:r>
          </w:p>
        </w:tc>
      </w:tr>
      <w:tr>
        <w:tblPrEx>
          <w:tblCellMar>
            <w:top w:w="0" w:type="dxa"/>
            <w:left w:w="108" w:type="dxa"/>
            <w:bottom w:w="0" w:type="dxa"/>
            <w:right w:w="108" w:type="dxa"/>
          </w:tblCellMar>
        </w:tblPrEx>
        <w:trPr>
          <w:trHeight w:val="287"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2050199</w:t>
            </w:r>
          </w:p>
        </w:tc>
        <w:tc>
          <w:tcPr>
            <w:tcW w:w="4539"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其他教育管理事务支出</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436.28 </w:t>
            </w:r>
          </w:p>
        </w:tc>
        <w:tc>
          <w:tcPr>
            <w:tcW w:w="303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245.56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190.72 </w:t>
            </w:r>
          </w:p>
        </w:tc>
      </w:tr>
      <w:tr>
        <w:tblPrEx>
          <w:tblCellMar>
            <w:top w:w="0" w:type="dxa"/>
            <w:left w:w="108" w:type="dxa"/>
            <w:bottom w:w="0" w:type="dxa"/>
            <w:right w:w="108" w:type="dxa"/>
          </w:tblCellMar>
        </w:tblPrEx>
        <w:trPr>
          <w:trHeight w:val="282"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2050201</w:t>
            </w:r>
          </w:p>
        </w:tc>
        <w:tc>
          <w:tcPr>
            <w:tcW w:w="4539"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学前教育</w:t>
            </w:r>
          </w:p>
        </w:tc>
        <w:tc>
          <w:tcPr>
            <w:tcW w:w="2448"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3,379.27 </w:t>
            </w:r>
          </w:p>
        </w:tc>
        <w:tc>
          <w:tcPr>
            <w:tcW w:w="3032"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1,340.87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2,038.40 </w:t>
            </w:r>
          </w:p>
        </w:tc>
      </w:tr>
      <w:tr>
        <w:tblPrEx>
          <w:tblCellMar>
            <w:top w:w="0" w:type="dxa"/>
            <w:left w:w="108" w:type="dxa"/>
            <w:bottom w:w="0" w:type="dxa"/>
            <w:right w:w="108" w:type="dxa"/>
          </w:tblCellMar>
        </w:tblPrEx>
        <w:trPr>
          <w:trHeight w:val="22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453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24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44,337.39 </w:t>
            </w:r>
          </w:p>
        </w:tc>
        <w:tc>
          <w:tcPr>
            <w:tcW w:w="30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36,214.06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8,123.34 </w:t>
            </w:r>
          </w:p>
        </w:tc>
      </w:tr>
      <w:tr>
        <w:tblPrEx>
          <w:tblCellMar>
            <w:top w:w="0" w:type="dxa"/>
            <w:left w:w="108" w:type="dxa"/>
            <w:bottom w:w="0" w:type="dxa"/>
            <w:right w:w="108" w:type="dxa"/>
          </w:tblCellMar>
        </w:tblPrEx>
        <w:trPr>
          <w:trHeight w:val="16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4539"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244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43,192.65 </w:t>
            </w:r>
          </w:p>
        </w:tc>
        <w:tc>
          <w:tcPr>
            <w:tcW w:w="303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28,049.81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15,142.83 </w:t>
            </w:r>
          </w:p>
        </w:tc>
      </w:tr>
      <w:tr>
        <w:tblPrEx>
          <w:tblCellMar>
            <w:top w:w="0" w:type="dxa"/>
            <w:left w:w="108" w:type="dxa"/>
            <w:bottom w:w="0" w:type="dxa"/>
            <w:right w:w="108" w:type="dxa"/>
          </w:tblCellMar>
        </w:tblPrEx>
        <w:trPr>
          <w:trHeight w:val="212"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2050204</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高中教育</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20,449.80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17,286.40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3,163.40 </w:t>
            </w: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618.94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533.28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85.66 </w:t>
            </w: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2050399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其他职业教育支出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315.15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315.15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22"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2059999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其他教育支出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83.20 </w:t>
            </w:r>
          </w:p>
        </w:tc>
        <w:tc>
          <w:tcPr>
            <w:tcW w:w="3032" w:type="dxa"/>
            <w:tcBorders>
              <w:top w:val="nil"/>
              <w:left w:val="nil"/>
              <w:bottom w:val="single" w:color="auto" w:sz="8" w:space="0"/>
              <w:right w:val="single" w:color="auto" w:sz="4"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83.20 </w:t>
            </w: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2,439.03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2,439.03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22"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179.39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179.39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2089999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44.79 </w:t>
            </w:r>
          </w:p>
        </w:tc>
        <w:tc>
          <w:tcPr>
            <w:tcW w:w="3032" w:type="dxa"/>
            <w:tcBorders>
              <w:top w:val="nil"/>
              <w:left w:val="nil"/>
              <w:bottom w:val="single" w:color="auto" w:sz="8"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44.79 </w:t>
            </w: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2100199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其他卫生健康管理事务支出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1.00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1,335.78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1,335.78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386.35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386.35 </w:t>
            </w:r>
          </w:p>
        </w:tc>
        <w:tc>
          <w:tcPr>
            <w:tcW w:w="3000" w:type="dxa"/>
            <w:tcBorders>
              <w:top w:val="nil"/>
              <w:left w:val="nil"/>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274"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2299999</w:t>
            </w:r>
          </w:p>
        </w:tc>
        <w:tc>
          <w:tcPr>
            <w:tcW w:w="4539"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其他支出</w:t>
            </w:r>
          </w:p>
        </w:tc>
        <w:tc>
          <w:tcPr>
            <w:tcW w:w="2448"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0.16 </w:t>
            </w:r>
          </w:p>
        </w:tc>
        <w:tc>
          <w:tcPr>
            <w:tcW w:w="303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0.16 </w:t>
            </w:r>
          </w:p>
        </w:tc>
        <w:tc>
          <w:tcPr>
            <w:tcW w:w="3000" w:type="dxa"/>
            <w:tcBorders>
              <w:top w:val="nil"/>
              <w:left w:val="nil"/>
              <w:bottom w:val="single" w:color="auto" w:sz="8" w:space="0"/>
              <w:right w:val="single" w:color="auto" w:sz="8" w:space="0"/>
            </w:tcBorders>
            <w:shd w:val="clear" w:color="auto" w:fill="auto"/>
            <w:vAlign w:val="center"/>
          </w:tcPr>
          <w:p>
            <w:pPr>
              <w:jc w:val="right"/>
              <w:rPr>
                <w:rFonts w:hint="eastAsia" w:ascii="宋体" w:hAnsi="宋体" w:eastAsia="宋体" w:cs="宋体"/>
                <w:i w:val="0"/>
                <w:iCs w:val="0"/>
                <w:color w:val="000000"/>
                <w:kern w:val="0"/>
                <w:sz w:val="22"/>
                <w:szCs w:val="22"/>
                <w:u w:val="none"/>
                <w:lang w:val="en-US" w:eastAsia="zh-CN" w:bidi="ar"/>
              </w:rPr>
            </w:pPr>
          </w:p>
        </w:tc>
      </w:tr>
      <w:tr>
        <w:tblPrEx>
          <w:tblCellMar>
            <w:top w:w="0" w:type="dxa"/>
            <w:left w:w="108" w:type="dxa"/>
            <w:bottom w:w="0" w:type="dxa"/>
            <w:right w:w="108" w:type="dxa"/>
          </w:tblCellMar>
        </w:tblPrEx>
        <w:trPr>
          <w:trHeight w:val="337"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867"/>
        <w:gridCol w:w="136"/>
        <w:gridCol w:w="240"/>
        <w:gridCol w:w="3242"/>
        <w:gridCol w:w="1395"/>
        <w:gridCol w:w="795"/>
        <w:gridCol w:w="195"/>
        <w:gridCol w:w="1618"/>
        <w:gridCol w:w="92"/>
        <w:gridCol w:w="1322"/>
        <w:gridCol w:w="163"/>
        <w:gridCol w:w="960"/>
        <w:gridCol w:w="600"/>
        <w:gridCol w:w="1615"/>
        <w:gridCol w:w="1115"/>
        <w:gridCol w:w="1005"/>
        <w:gridCol w:w="254"/>
      </w:tblGrid>
      <w:tr>
        <w:tblPrEx>
          <w:tblCellMar>
            <w:top w:w="0" w:type="dxa"/>
            <w:left w:w="108" w:type="dxa"/>
            <w:bottom w:w="0" w:type="dxa"/>
            <w:right w:w="108" w:type="dxa"/>
          </w:tblCellMar>
        </w:tblPrEx>
        <w:trPr>
          <w:trHeight w:val="801" w:hRule="atLeast"/>
        </w:trPr>
        <w:tc>
          <w:tcPr>
            <w:tcW w:w="15614" w:type="dxa"/>
            <w:gridSpan w:val="17"/>
            <w:tcBorders>
              <w:top w:val="nil"/>
              <w:left w:val="nil"/>
              <w:bottom w:val="nil"/>
              <w:right w:val="nil"/>
            </w:tcBorders>
            <w:shd w:val="clear" w:color="auto" w:fill="auto"/>
            <w:noWrap/>
            <w:vAlign w:val="center"/>
          </w:tcPr>
          <w:p>
            <w:pPr>
              <w:widowControl/>
              <w:jc w:val="center"/>
              <w:rPr>
                <w:rFonts w:ascii="华文中宋" w:hAnsi="华文中宋" w:eastAsia="华文中宋" w:cs="宋体"/>
                <w:color w:val="000000"/>
                <w:kern w:val="0"/>
                <w:szCs w:val="32"/>
              </w:rPr>
            </w:pPr>
            <w:bookmarkStart w:id="5" w:name="RANGE!A1:I34"/>
            <w:r>
              <w:rPr>
                <w:rFonts w:hint="eastAsia" w:ascii="华文中宋" w:hAnsi="华文中宋" w:eastAsia="华文中宋" w:cs="宋体"/>
                <w:color w:val="000000"/>
                <w:kern w:val="0"/>
                <w:szCs w:val="32"/>
              </w:rPr>
              <w:t>一般公共预算财政拨款基本支出决算明细表</w:t>
            </w:r>
            <w:bookmarkEnd w:id="5"/>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CellMar>
            <w:top w:w="0" w:type="dxa"/>
            <w:left w:w="108" w:type="dxa"/>
            <w:bottom w:w="0" w:type="dxa"/>
            <w:right w:w="108" w:type="dxa"/>
          </w:tblCellMar>
        </w:tblPrEx>
        <w:trPr>
          <w:trHeight w:val="1157" w:hRule="atLeast"/>
        </w:trPr>
        <w:tc>
          <w:tcPr>
            <w:tcW w:w="8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618"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7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181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14"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23"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330"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259"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72,852.27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14,015.85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30,178.58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2,687.62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7,767.90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737.96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8,098.00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0.00</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712.37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24.83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9,285.59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529.02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332.55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7,426.94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994.53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336.04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715.71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125.94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3,861.06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3.57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353.14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22.92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1,005.07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253.80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3,462.37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54.90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2,086.10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971.32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110.48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2,203.29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14.72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4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396.22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29"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152.53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11.14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885.69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59"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562.31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542.16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22.16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20.85 </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4.27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1,309.97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2.73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59.94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39907</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614.24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1,349.10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39908</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4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189.96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674.22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39909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4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0.00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2.50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39910</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0.00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41.83 </w:t>
            </w:r>
          </w:p>
        </w:tc>
        <w:tc>
          <w:tcPr>
            <w:tcW w:w="112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39999</w:t>
            </w:r>
          </w:p>
        </w:tc>
        <w:tc>
          <w:tcPr>
            <w:tcW w:w="3330"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259"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r>
      <w:tr>
        <w:tblPrEx>
          <w:tblCellMar>
            <w:top w:w="0" w:type="dxa"/>
            <w:left w:w="108" w:type="dxa"/>
            <w:bottom w:w="0" w:type="dxa"/>
            <w:right w:w="108" w:type="dxa"/>
          </w:tblCellMar>
        </w:tblPrEx>
        <w:trPr>
          <w:trHeight w:val="284"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618" w:type="dxa"/>
            <w:gridSpan w:val="3"/>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 xml:space="preserve">135.09 </w:t>
            </w: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11.02 </w:t>
            </w:r>
          </w:p>
        </w:tc>
        <w:tc>
          <w:tcPr>
            <w:tcW w:w="1123"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330"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25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49" w:hRule="exact"/>
        </w:trPr>
        <w:tc>
          <w:tcPr>
            <w:tcW w:w="867" w:type="dxa"/>
            <w:tcBorders>
              <w:top w:val="nil"/>
              <w:left w:val="single" w:color="auto" w:sz="4" w:space="0"/>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3618"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20"/>
              </w:rPr>
            </w:pPr>
          </w:p>
        </w:tc>
        <w:tc>
          <w:tcPr>
            <w:tcW w:w="1395" w:type="dxa"/>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c>
          <w:tcPr>
            <w:tcW w:w="7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1813"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1414" w:type="dxa"/>
            <w:gridSpan w:val="2"/>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1,352.48 </w:t>
            </w:r>
          </w:p>
        </w:tc>
        <w:tc>
          <w:tcPr>
            <w:tcW w:w="1123" w:type="dxa"/>
            <w:gridSpan w:val="2"/>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3330" w:type="dxa"/>
            <w:gridSpan w:val="3"/>
            <w:tcBorders>
              <w:top w:val="nil"/>
              <w:left w:val="nil"/>
              <w:bottom w:val="single" w:color="auto" w:sz="4" w:space="0"/>
              <w:right w:val="single" w:color="auto" w:sz="4" w:space="0"/>
            </w:tcBorders>
            <w:shd w:val="clear" w:color="auto" w:fill="auto"/>
            <w:noWrap/>
            <w:vAlign w:val="center"/>
          </w:tcPr>
          <w:p>
            <w:pPr>
              <w:jc w:val="left"/>
              <w:rPr>
                <w:rFonts w:ascii="宋体" w:hAnsi="宋体" w:eastAsia="宋体" w:cs="宋体"/>
                <w:color w:val="000000"/>
                <w:kern w:val="0"/>
                <w:szCs w:val="18"/>
              </w:rPr>
            </w:pPr>
          </w:p>
        </w:tc>
        <w:tc>
          <w:tcPr>
            <w:tcW w:w="1259" w:type="dxa"/>
            <w:gridSpan w:val="2"/>
            <w:tcBorders>
              <w:top w:val="nil"/>
              <w:left w:val="nil"/>
              <w:bottom w:val="single" w:color="auto" w:sz="4" w:space="0"/>
              <w:right w:val="single" w:color="auto" w:sz="4" w:space="0"/>
            </w:tcBorders>
            <w:shd w:val="clear" w:color="auto" w:fill="auto"/>
            <w:noWrap/>
            <w:vAlign w:val="center"/>
          </w:tcPr>
          <w:p>
            <w:pPr>
              <w:jc w:val="right"/>
              <w:rPr>
                <w:rFonts w:ascii="宋体" w:hAnsi="宋体" w:eastAsia="宋体" w:cs="宋体"/>
                <w:color w:val="000000"/>
                <w:kern w:val="0"/>
                <w:szCs w:val="20"/>
              </w:rPr>
            </w:pPr>
          </w:p>
        </w:tc>
      </w:tr>
      <w:tr>
        <w:tblPrEx>
          <w:tblCellMar>
            <w:top w:w="0" w:type="dxa"/>
            <w:left w:w="108" w:type="dxa"/>
            <w:bottom w:w="0" w:type="dxa"/>
            <w:right w:w="108" w:type="dxa"/>
          </w:tblCellMar>
        </w:tblPrEx>
        <w:trPr>
          <w:trHeight w:val="257" w:hRule="exact"/>
        </w:trPr>
        <w:tc>
          <w:tcPr>
            <w:tcW w:w="4485"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3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 xml:space="preserve">75,055.56 </w:t>
            </w:r>
          </w:p>
        </w:tc>
        <w:tc>
          <w:tcPr>
            <w:tcW w:w="8475" w:type="dxa"/>
            <w:gridSpan w:val="10"/>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1259" w:type="dxa"/>
            <w:gridSpan w:val="2"/>
            <w:tcBorders>
              <w:top w:val="nil"/>
              <w:left w:val="nil"/>
              <w:bottom w:val="single" w:color="auto" w:sz="4" w:space="0"/>
              <w:right w:val="single" w:color="auto" w:sz="4" w:space="0"/>
            </w:tcBorders>
            <w:shd w:val="clear" w:color="auto" w:fill="FFFFFF"/>
            <w:noWrap/>
            <w:vAlign w:val="center"/>
          </w:tcPr>
          <w:p>
            <w:pPr>
              <w:keepNext w:val="0"/>
              <w:keepLines w:val="0"/>
              <w:widowControl/>
              <w:suppressLineNumbers w:val="0"/>
              <w:jc w:val="right"/>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14,728.22 </w:t>
            </w:r>
          </w:p>
        </w:tc>
      </w:tr>
      <w:tr>
        <w:tblPrEx>
          <w:tblCellMar>
            <w:top w:w="0" w:type="dxa"/>
            <w:left w:w="108" w:type="dxa"/>
            <w:bottom w:w="0" w:type="dxa"/>
            <w:right w:w="108" w:type="dxa"/>
          </w:tblCellMar>
        </w:tblPrEx>
        <w:trPr>
          <w:trHeight w:val="284" w:hRule="exact"/>
        </w:trPr>
        <w:tc>
          <w:tcPr>
            <w:tcW w:w="15614" w:type="dxa"/>
            <w:gridSpan w:val="17"/>
            <w:tcBorders>
              <w:top w:val="nil"/>
              <w:left w:val="nil"/>
              <w:bottom w:val="nil"/>
              <w:right w:val="nil"/>
            </w:tcBorders>
            <w:shd w:val="clear" w:color="auto" w:fill="auto"/>
            <w:noWrap/>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5360" w:type="dxa"/>
            <w:gridSpan w:val="1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345" w:hRule="atLeast"/>
        </w:trPr>
        <w:tc>
          <w:tcPr>
            <w:tcW w:w="1003"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4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8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71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48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56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90" w:hRule="atLeast"/>
        </w:trPr>
        <w:tc>
          <w:tcPr>
            <w:tcW w:w="1003" w:type="dxa"/>
            <w:gridSpan w:val="2"/>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24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385"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71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485"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560"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6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59" w:hRule="atLeast"/>
        </w:trPr>
        <w:tc>
          <w:tcPr>
            <w:tcW w:w="44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38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171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46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32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7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156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16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7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38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71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56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44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448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color w:val="000000"/>
                <w:sz w:val="24"/>
                <w:szCs w:val="24"/>
                <w:u w:val="none"/>
                <w:lang w:val="en-US" w:eastAsia="zh-CN"/>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iCs w:val="0"/>
                <w:color w:val="000000"/>
                <w:kern w:val="0"/>
                <w:sz w:val="22"/>
                <w:szCs w:val="22"/>
                <w:u w:val="none"/>
                <w:lang w:val="en-US" w:eastAsia="zh-CN" w:bidi="ar"/>
              </w:rPr>
              <w:t xml:space="preserve">3,209.98 </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iCs w:val="0"/>
                <w:color w:val="000000"/>
                <w:kern w:val="0"/>
                <w:sz w:val="22"/>
                <w:szCs w:val="22"/>
                <w:u w:val="none"/>
                <w:lang w:val="en-US" w:eastAsia="zh-CN" w:bidi="ar"/>
              </w:rPr>
              <w:t xml:space="preserve">3,209.98 </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color w:val="000000"/>
                <w:sz w:val="24"/>
                <w:szCs w:val="24"/>
                <w:u w:val="none"/>
                <w:lang w:val="en-US" w:eastAsia="zh-CN"/>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iCs w:val="0"/>
                <w:color w:val="000000"/>
                <w:kern w:val="0"/>
                <w:sz w:val="22"/>
                <w:szCs w:val="22"/>
                <w:u w:val="none"/>
                <w:lang w:val="en-US" w:eastAsia="zh-CN" w:bidi="ar"/>
              </w:rPr>
              <w:t xml:space="preserve">3,209.98 </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2120899</w:t>
            </w: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2"/>
                <w:sz w:val="24"/>
                <w:szCs w:val="24"/>
                <w:u w:val="none"/>
                <w:lang w:val="en-US" w:eastAsia="zh-CN" w:bidi="ar-SA"/>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2,966.01 </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2,966.01 </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2"/>
                <w:sz w:val="24"/>
                <w:szCs w:val="24"/>
                <w:u w:val="none"/>
                <w:lang w:val="en-US" w:eastAsia="zh-CN" w:bidi="ar-SA"/>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2,966.01 </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2290403</w:t>
            </w: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243.97 </w:t>
            </w: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243.97 </w:t>
            </w: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243.97 </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24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38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7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4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5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16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4" w:type="dxa"/>
          <w:trHeight w:val="725" w:hRule="atLeast"/>
        </w:trPr>
        <w:tc>
          <w:tcPr>
            <w:tcW w:w="15360" w:type="dxa"/>
            <w:gridSpan w:val="1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tc>
      </w:tr>
    </w:tbl>
    <w:p>
      <w:pPr>
        <w:widowControl/>
        <w:jc w:val="both"/>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6"/>
        <w:gridCol w:w="701"/>
        <w:gridCol w:w="2292"/>
        <w:gridCol w:w="3315"/>
        <w:gridCol w:w="3315"/>
        <w:gridCol w:w="41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color w:val="000000"/>
                <w:sz w:val="24"/>
                <w:szCs w:val="24"/>
                <w:u w:val="none"/>
                <w:lang w:val="en-US" w:eastAsia="zh-CN"/>
              </w:rPr>
            </w:pPr>
            <w:r>
              <w:rPr>
                <w:rFonts w:hint="eastAsia" w:ascii="宋体" w:hAnsi="宋体" w:eastAsia="宋体" w:cs="宋体"/>
                <w:b/>
                <w:bCs/>
                <w:i w:val="0"/>
                <w:color w:val="000000"/>
                <w:sz w:val="24"/>
                <w:szCs w:val="24"/>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公务用车</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15.69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3.98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3.98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11.71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13.64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2.50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0.00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2.50 </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 xml:space="preserve">11.14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4"/>
        <w:rPr>
          <w:sz w:val="72"/>
          <w:szCs w:val="72"/>
        </w:rPr>
      </w:pPr>
    </w:p>
    <w:p>
      <w:pPr>
        <w:pStyle w:val="14"/>
        <w:rPr>
          <w:sz w:val="72"/>
          <w:szCs w:val="72"/>
        </w:rPr>
      </w:pPr>
    </w:p>
    <w:p>
      <w:pPr>
        <w:pStyle w:val="14"/>
        <w:rPr>
          <w:sz w:val="72"/>
          <w:szCs w:val="72"/>
        </w:rPr>
      </w:pPr>
    </w:p>
    <w:p>
      <w:pPr>
        <w:pStyle w:val="14"/>
        <w:rPr>
          <w:sz w:val="72"/>
          <w:szCs w:val="72"/>
        </w:rPr>
      </w:pPr>
    </w:p>
    <w:p>
      <w:pPr>
        <w:pStyle w:val="14"/>
        <w:jc w:val="center"/>
        <w:rPr>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w:t>
      </w:r>
      <w:r>
        <w:rPr>
          <w:rFonts w:hint="eastAsia" w:ascii="Times New Roman" w:hAnsi="Times New Roman" w:eastAsia="仿宋_GB2312"/>
          <w:sz w:val="32"/>
          <w:szCs w:val="32"/>
          <w:lang w:eastAsia="zh-CN"/>
        </w:rPr>
        <w:t>入</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140051.48</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18830.57</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15.53</w:t>
      </w:r>
      <w:r>
        <w:rPr>
          <w:rFonts w:hint="eastAsia" w:ascii="Times New Roman" w:hAnsi="Times New Roman" w:eastAsia="仿宋_GB2312"/>
          <w:sz w:val="32"/>
          <w:szCs w:val="32"/>
        </w:rPr>
        <w:t>%，主要是因为</w:t>
      </w:r>
      <w:bookmarkStart w:id="6" w:name="INCOME_PAY_BJBD_MAIN"/>
      <w:r>
        <w:rPr>
          <w:rFonts w:hint="eastAsia" w:ascii="仿宋" w:hAnsi="仿宋" w:eastAsia="仿宋" w:cs="仿宋"/>
          <w:color w:val="000000"/>
          <w:shd w:val="clear" w:color="auto" w:fill="FFFFFF"/>
        </w:rPr>
        <w:t>人员经费增长，</w:t>
      </w:r>
      <w:r>
        <w:rPr>
          <w:rFonts w:hint="eastAsia" w:ascii="仿宋" w:hAnsi="仿宋" w:eastAsia="仿宋" w:cs="仿宋"/>
          <w:color w:val="000000"/>
          <w:shd w:val="clear" w:color="auto" w:fill="FFFFFF"/>
          <w:lang w:eastAsia="zh-CN"/>
        </w:rPr>
        <w:t>免学前一年保育保教费等教育资金</w:t>
      </w:r>
      <w:bookmarkEnd w:id="6"/>
      <w:r>
        <w:rPr>
          <w:rFonts w:hint="eastAsia" w:ascii="仿宋" w:hAnsi="仿宋" w:eastAsia="仿宋" w:cs="仿宋"/>
          <w:color w:val="000000"/>
          <w:shd w:val="clear" w:color="auto" w:fill="FFFFFF"/>
          <w:lang w:eastAsia="zh-CN"/>
        </w:rPr>
        <w:t>增加</w:t>
      </w:r>
      <w:r>
        <w:rPr>
          <w:rFonts w:hint="eastAsia" w:ascii="仿宋" w:hAnsi="仿宋" w:eastAsia="仿宋" w:cs="仿宋"/>
        </w:rPr>
        <w:t>。</w:t>
      </w:r>
      <w:bookmarkStart w:id="7" w:name="END_IS_ZERO_04_2"/>
      <w:bookmarkEnd w:id="7"/>
      <w:bookmarkStart w:id="8" w:name="END_INCOME_PAY_AMT"/>
      <w:bookmarkEnd w:id="8"/>
      <w:bookmarkStart w:id="9" w:name="START_IS_ZERO_04_2"/>
      <w:bookmarkEnd w:id="9"/>
      <w:bookmarkStart w:id="10" w:name="END_IS_ZERO_04_1"/>
      <w:bookmarkEnd w:id="10"/>
      <w:bookmarkStart w:id="11" w:name="DIS_MARK_IS_ZERO_04_2"/>
      <w:bookmarkEnd w:id="11"/>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140051.48</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18848.29</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15.55</w:t>
      </w:r>
      <w:r>
        <w:rPr>
          <w:rFonts w:hint="eastAsia" w:ascii="Times New Roman" w:hAnsi="Times New Roman" w:eastAsia="仿宋_GB2312"/>
          <w:sz w:val="32"/>
          <w:szCs w:val="32"/>
        </w:rPr>
        <w:t>%，主要是因为</w:t>
      </w:r>
      <w:r>
        <w:rPr>
          <w:rFonts w:hint="eastAsia" w:ascii="仿宋" w:hAnsi="仿宋" w:eastAsia="仿宋" w:cs="仿宋"/>
          <w:color w:val="000000"/>
          <w:shd w:val="clear" w:color="auto" w:fill="FFFFFF"/>
        </w:rPr>
        <w:t>人员经费增长，</w:t>
      </w:r>
      <w:r>
        <w:rPr>
          <w:rFonts w:hint="eastAsia" w:ascii="仿宋" w:hAnsi="仿宋" w:eastAsia="仿宋" w:cs="仿宋"/>
          <w:color w:val="000000"/>
          <w:shd w:val="clear" w:color="auto" w:fill="FFFFFF"/>
          <w:lang w:eastAsia="zh-CN"/>
        </w:rPr>
        <w:t>免学前一年保育保教费等教育资金增加</w:t>
      </w:r>
      <w:r>
        <w:rPr>
          <w:rFonts w:hint="eastAsia" w:ascii="仿宋" w:hAnsi="仿宋" w:eastAsia="仿宋" w:cs="仿宋"/>
        </w:rPr>
        <w:t>。</w:t>
      </w:r>
    </w:p>
    <w:p>
      <w:pPr>
        <w:pStyle w:val="2"/>
        <w:tabs>
          <w:tab w:val="left" w:pos="3864"/>
          <w:tab w:val="left" w:pos="6248"/>
          <w:tab w:val="left" w:pos="7386"/>
        </w:tabs>
        <w:overflowPunct w:val="0"/>
        <w:spacing w:before="1" w:line="360" w:lineRule="auto"/>
        <w:ind w:left="420" w:leftChars="200" w:right="420" w:firstLine="659" w:firstLineChars="206"/>
        <w:rPr>
          <w:rFonts w:hint="default" w:ascii="仿宋" w:hAnsi="仿宋" w:eastAsia="仿宋" w:cs="仿宋"/>
          <w:highlight w:val="none"/>
          <w:lang w:val="en-US" w:eastAsia="zh-CN"/>
        </w:rPr>
      </w:pPr>
      <w:r>
        <w:rPr>
          <w:rFonts w:hint="eastAsia" w:ascii="仿宋" w:hAnsi="仿宋" w:eastAsia="仿宋" w:cs="仿宋"/>
          <w:highlight w:val="none"/>
          <w:lang w:val="en-US" w:eastAsia="zh-CN"/>
        </w:rPr>
        <w:t>2025年度年初结转和结余0万元。</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140051.48</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126111.53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90.05</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8182.41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5.84</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5757.54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4.11</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140051.48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99757.52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71.23</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40293.96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28.77</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126111.53</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12832.96</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11.33</w:t>
      </w:r>
      <w:r>
        <w:rPr>
          <w:rFonts w:hint="eastAsia" w:ascii="Times New Roman" w:hAnsi="Times New Roman" w:eastAsia="仿宋_GB2312"/>
          <w:sz w:val="32"/>
          <w:szCs w:val="32"/>
        </w:rPr>
        <w:t>%，主要是因为</w:t>
      </w:r>
      <w:bookmarkStart w:id="12" w:name="INCOME_PAY_CZBK_BJBD_MAIN"/>
      <w:r>
        <w:rPr>
          <w:rFonts w:hint="eastAsia" w:ascii="仿宋" w:hAnsi="仿宋" w:eastAsia="仿宋" w:cs="仿宋"/>
          <w:color w:val="000000"/>
          <w:shd w:val="clear" w:color="auto" w:fill="FFFFFF"/>
        </w:rPr>
        <w:t>人员经费支出增长，保安资金、校车补贴、教育奖励基金等资金支出增多</w:t>
      </w:r>
      <w:bookmarkEnd w:id="12"/>
      <w:r>
        <w:rPr>
          <w:rFonts w:hint="eastAsia" w:ascii="仿宋" w:hAnsi="仿宋" w:eastAsia="仿宋" w:cs="仿宋"/>
        </w:rPr>
        <w:t>。</w:t>
      </w:r>
      <w:bookmarkStart w:id="13" w:name="START_IS_ZERO_00_2"/>
      <w:bookmarkEnd w:id="13"/>
      <w:bookmarkStart w:id="14" w:name="END_IS_ZERO_00_1"/>
      <w:bookmarkEnd w:id="14"/>
      <w:bookmarkStart w:id="15" w:name="DIS_MARK_IS_ZERO_00_2"/>
      <w:bookmarkEnd w:id="15"/>
      <w:bookmarkStart w:id="16" w:name="END_IS_ZERO_00_2"/>
      <w:bookmarkEnd w:id="16"/>
      <w:bookmarkStart w:id="17" w:name="END_INCOME_PAY_CZBK_AMT"/>
      <w:bookmarkEnd w:id="17"/>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122901.55</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87.75</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9622.98</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8.49</w:t>
      </w:r>
      <w:r>
        <w:rPr>
          <w:rFonts w:hint="eastAsia" w:ascii="Times New Roman" w:hAnsi="Times New Roman" w:eastAsia="仿宋_GB2312"/>
          <w:sz w:val="32"/>
          <w:szCs w:val="32"/>
        </w:rPr>
        <w:t>%，主要是因为</w:t>
      </w:r>
      <w:r>
        <w:rPr>
          <w:rFonts w:hint="eastAsia" w:ascii="仿宋" w:hAnsi="仿宋" w:eastAsia="仿宋" w:cs="仿宋"/>
          <w:color w:val="000000"/>
          <w:sz w:val="32"/>
          <w:szCs w:val="32"/>
          <w:shd w:val="clear" w:color="auto" w:fill="FFFFFF"/>
        </w:rPr>
        <w:t>人员经费支出增长，保安资金、校车补贴、教育奖励基金等资金支出增多</w:t>
      </w:r>
      <w:r>
        <w:rPr>
          <w:rFonts w:hint="eastAsia" w:ascii="仿宋" w:hAnsi="仿宋" w:eastAsia="仿宋" w:cs="仿宋"/>
          <w:sz w:val="32"/>
          <w:szCs w:val="32"/>
        </w:rPr>
        <w:t>。</w:t>
      </w:r>
    </w:p>
    <w:p>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2"/>
        <w:tabs>
          <w:tab w:val="left" w:pos="3864"/>
          <w:tab w:val="left" w:pos="6248"/>
          <w:tab w:val="left" w:pos="7386"/>
        </w:tabs>
        <w:overflowPunct w:val="0"/>
        <w:spacing w:before="1" w:line="360" w:lineRule="auto"/>
        <w:ind w:left="420" w:leftChars="200" w:right="420" w:firstLine="659" w:firstLineChars="206"/>
        <w:rPr>
          <w:rFonts w:hint="eastAsia" w:ascii="Times New Roman" w:hAnsi="Times New Roman" w:eastAsia="仿宋"/>
          <w:sz w:val="32"/>
          <w:szCs w:val="32"/>
          <w:lang w:val="en-US" w:eastAsia="zh-CN"/>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140051.48</w:t>
      </w:r>
      <w:r>
        <w:rPr>
          <w:rFonts w:hint="eastAsia" w:ascii="Times New Roman" w:hAnsi="Times New Roman" w:eastAsia="仿宋_GB2312"/>
          <w:sz w:val="32"/>
          <w:szCs w:val="32"/>
        </w:rPr>
        <w:t>万元，主要用于以下方面：</w:t>
      </w:r>
      <w:r>
        <w:rPr>
          <w:rFonts w:hint="eastAsia" w:ascii="仿宋" w:hAnsi="仿宋" w:eastAsia="仿宋" w:cs="仿宋"/>
        </w:rPr>
        <w:t>教育支出（类）</w:t>
      </w:r>
      <w:r>
        <w:rPr>
          <w:rFonts w:hint="eastAsia" w:ascii="仿宋" w:hAnsi="仿宋" w:eastAsia="仿宋" w:cs="仿宋"/>
          <w:lang w:val="en-US" w:eastAsia="zh-CN"/>
        </w:rPr>
        <w:t>131863.77</w:t>
      </w:r>
      <w:r>
        <w:rPr>
          <w:rFonts w:hint="eastAsia" w:ascii="仿宋" w:hAnsi="仿宋" w:eastAsia="仿宋" w:cs="仿宋"/>
        </w:rPr>
        <w:t>万元，占比</w:t>
      </w:r>
      <w:r>
        <w:rPr>
          <w:rFonts w:hint="eastAsia" w:ascii="仿宋" w:hAnsi="仿宋" w:eastAsia="仿宋" w:cs="仿宋"/>
          <w:lang w:val="en-US" w:eastAsia="zh-CN"/>
        </w:rPr>
        <w:t>94.15</w:t>
      </w:r>
      <w:r>
        <w:rPr>
          <w:rFonts w:hint="eastAsia" w:ascii="仿宋" w:hAnsi="仿宋" w:eastAsia="仿宋" w:cs="仿宋"/>
        </w:rPr>
        <w:t>%；社会保障和就业支出（类）</w:t>
      </w:r>
      <w:r>
        <w:rPr>
          <w:rFonts w:hint="eastAsia" w:ascii="仿宋" w:hAnsi="仿宋" w:eastAsia="仿宋" w:cs="仿宋"/>
          <w:lang w:val="en-US" w:eastAsia="zh-CN"/>
        </w:rPr>
        <w:t>2663.20</w:t>
      </w:r>
      <w:r>
        <w:rPr>
          <w:rFonts w:hint="eastAsia" w:ascii="仿宋" w:hAnsi="仿宋" w:eastAsia="仿宋" w:cs="仿宋"/>
        </w:rPr>
        <w:t>万元，占比</w:t>
      </w:r>
      <w:r>
        <w:rPr>
          <w:rFonts w:hint="eastAsia" w:ascii="仿宋" w:hAnsi="仿宋" w:eastAsia="仿宋" w:cs="仿宋"/>
          <w:lang w:val="en-US" w:eastAsia="zh-CN"/>
        </w:rPr>
        <w:t>1.90</w:t>
      </w:r>
      <w:r>
        <w:rPr>
          <w:rFonts w:hint="eastAsia" w:ascii="仿宋" w:hAnsi="仿宋" w:eastAsia="仿宋" w:cs="仿宋"/>
        </w:rPr>
        <w:t>%；卫生健康支出（类）</w:t>
      </w:r>
      <w:r>
        <w:rPr>
          <w:rFonts w:hint="eastAsia" w:ascii="仿宋" w:hAnsi="仿宋" w:eastAsia="仿宋" w:cs="仿宋"/>
          <w:lang w:val="en-US" w:eastAsia="zh-CN"/>
        </w:rPr>
        <w:t>1336.78</w:t>
      </w:r>
      <w:r>
        <w:rPr>
          <w:rFonts w:hint="eastAsia" w:ascii="仿宋" w:hAnsi="仿宋" w:eastAsia="仿宋" w:cs="仿宋"/>
        </w:rPr>
        <w:t>万元，占比0</w:t>
      </w:r>
      <w:r>
        <w:rPr>
          <w:rFonts w:hint="eastAsia" w:ascii="仿宋" w:hAnsi="仿宋" w:eastAsia="仿宋" w:cs="仿宋"/>
          <w:lang w:val="en-US" w:eastAsia="zh-CN"/>
        </w:rPr>
        <w:t>.95</w:t>
      </w:r>
      <w:r>
        <w:rPr>
          <w:rFonts w:hint="eastAsia" w:ascii="仿宋" w:hAnsi="仿宋" w:eastAsia="仿宋" w:cs="仿宋"/>
        </w:rPr>
        <w:t>%；</w:t>
      </w:r>
      <w:r>
        <w:rPr>
          <w:rFonts w:hint="eastAsia" w:ascii="仿宋" w:hAnsi="仿宋" w:eastAsia="仿宋" w:cs="仿宋"/>
          <w:lang w:eastAsia="zh-CN"/>
        </w:rPr>
        <w:t>城乡社区支出（类）</w:t>
      </w:r>
      <w:r>
        <w:rPr>
          <w:rFonts w:hint="eastAsia" w:ascii="仿宋" w:hAnsi="仿宋" w:eastAsia="仿宋" w:cs="仿宋"/>
          <w:lang w:val="en-US" w:eastAsia="zh-CN"/>
        </w:rPr>
        <w:t>2966.01万元，占比2.12</w:t>
      </w:r>
      <w:r>
        <w:rPr>
          <w:rFonts w:hint="eastAsia" w:ascii="仿宋" w:hAnsi="仿宋" w:eastAsia="仿宋" w:cs="仿宋"/>
        </w:rPr>
        <w:t>%；住房保障支出（类）</w:t>
      </w:r>
      <w:r>
        <w:rPr>
          <w:rFonts w:hint="eastAsia" w:ascii="仿宋" w:hAnsi="仿宋" w:eastAsia="仿宋" w:cs="仿宋"/>
          <w:lang w:val="en-US" w:eastAsia="zh-CN"/>
        </w:rPr>
        <w:t>386.35</w:t>
      </w:r>
      <w:r>
        <w:rPr>
          <w:rFonts w:hint="eastAsia" w:ascii="仿宋" w:hAnsi="仿宋" w:eastAsia="仿宋" w:cs="仿宋"/>
        </w:rPr>
        <w:t>万元，占比0.</w:t>
      </w:r>
      <w:r>
        <w:rPr>
          <w:rFonts w:hint="eastAsia" w:ascii="仿宋" w:hAnsi="仿宋" w:eastAsia="仿宋" w:cs="仿宋"/>
          <w:lang w:val="en-US" w:eastAsia="zh-CN"/>
        </w:rPr>
        <w:t>28</w:t>
      </w:r>
      <w:r>
        <w:rPr>
          <w:rFonts w:hint="eastAsia" w:ascii="仿宋" w:hAnsi="仿宋" w:eastAsia="仿宋" w:cs="仿宋"/>
        </w:rPr>
        <w:t>%</w:t>
      </w:r>
      <w:bookmarkStart w:id="18" w:name="START_PAY_ZWFXZC_AMT_1"/>
      <w:bookmarkEnd w:id="18"/>
      <w:bookmarkStart w:id="19" w:name="START_PAY_LYWZCBZC_AMT_1"/>
      <w:bookmarkEnd w:id="19"/>
      <w:bookmarkStart w:id="20" w:name="START_PAY_ZWFXFZC_AMT_1"/>
      <w:bookmarkEnd w:id="20"/>
      <w:bookmarkStart w:id="21" w:name="END_PAY_KYTBGZAPDZC_AMT_1"/>
      <w:bookmarkEnd w:id="21"/>
      <w:bookmarkStart w:id="22" w:name="START_PAY_QTZC_AMT_1"/>
      <w:bookmarkEnd w:id="22"/>
      <w:bookmarkStart w:id="23" w:name="DIS_MARK_PAY_ZHFZJYJGLZC_AMT_1"/>
      <w:bookmarkEnd w:id="23"/>
      <w:bookmarkStart w:id="24" w:name="END_PAY_LYWZCBZC_AMT_1"/>
      <w:bookmarkEnd w:id="24"/>
      <w:bookmarkStart w:id="25" w:name="DIS_MARK_PAY_LYWZCBZC_AMT_1"/>
      <w:bookmarkEnd w:id="25"/>
      <w:bookmarkStart w:id="26" w:name="END_PAY_GYZBJYYSZC_AMT_1"/>
      <w:bookmarkEnd w:id="26"/>
      <w:bookmarkStart w:id="27" w:name="END_PAY_ZYXZCZC_AMT_1"/>
      <w:bookmarkEnd w:id="27"/>
      <w:bookmarkStart w:id="28" w:name="DIS_MARK_PAY_ZWFXZC_AMT_1"/>
      <w:bookmarkEnd w:id="28"/>
      <w:bookmarkStart w:id="29" w:name="END_PAY_AMT_1"/>
      <w:bookmarkEnd w:id="29"/>
      <w:bookmarkStart w:id="30" w:name="END_PAY_ZHFZJYJGLZC_AMT_1"/>
      <w:bookmarkEnd w:id="30"/>
      <w:bookmarkStart w:id="31" w:name="END_PAY_QTZC_AMT_1"/>
      <w:bookmarkEnd w:id="31"/>
      <w:bookmarkStart w:id="32" w:name="START_PAY_ZHFZJYJGLZC_AMT_1"/>
      <w:bookmarkEnd w:id="32"/>
      <w:bookmarkStart w:id="33" w:name="START_PAY_GYZBJYYSZC_AMT_1"/>
      <w:bookmarkEnd w:id="33"/>
      <w:bookmarkStart w:id="34" w:name="DIS_MARK_PAY_YBF_AMT_1"/>
      <w:bookmarkEnd w:id="34"/>
      <w:bookmarkStart w:id="35" w:name="END_PAY_ZWFXFZC_AMT_1"/>
      <w:bookmarkEnd w:id="35"/>
      <w:bookmarkStart w:id="36" w:name="START_PAY_ZYXZCZC_AMT_1"/>
      <w:bookmarkEnd w:id="36"/>
      <w:bookmarkStart w:id="37" w:name="DIS_MARK_PAY_ZWHBZC_AMT_1"/>
      <w:bookmarkEnd w:id="37"/>
      <w:bookmarkStart w:id="38" w:name="START_PAY_ZWHBZC_AMT_1"/>
      <w:bookmarkEnd w:id="38"/>
      <w:bookmarkStart w:id="39" w:name="END_PAY_ZWFXZC_AMT_1"/>
      <w:bookmarkEnd w:id="39"/>
      <w:bookmarkStart w:id="40" w:name="END_PAY_ZWHBZC_AMT_1"/>
      <w:bookmarkEnd w:id="40"/>
      <w:bookmarkStart w:id="41" w:name="DIS_MARK_PAY_KYTBGZAPDZC_AMT_1"/>
      <w:bookmarkEnd w:id="41"/>
      <w:bookmarkStart w:id="42" w:name="DIS_MARK_PAY_ZWFXFZC_AMT_1"/>
      <w:bookmarkEnd w:id="42"/>
      <w:bookmarkStart w:id="43" w:name="DIS_MARK_PAY_ZYXZCZC_AMT_1"/>
      <w:bookmarkEnd w:id="43"/>
      <w:bookmarkStart w:id="44" w:name="DIS_MARK_PAY_QTZC_AMT_1"/>
      <w:bookmarkEnd w:id="44"/>
      <w:bookmarkStart w:id="45" w:name="START_PAY_KYTBGZAPDZC_AMT_1"/>
      <w:bookmarkEnd w:id="45"/>
      <w:bookmarkStart w:id="46" w:name="END_PAY_YBF_AMT_1"/>
      <w:bookmarkEnd w:id="46"/>
      <w:bookmarkStart w:id="47" w:name="START_PAY_YBF_AMT_1"/>
      <w:bookmarkEnd w:id="47"/>
      <w:bookmarkStart w:id="48" w:name="END_PAY_ZFBZZC_AMT_1"/>
      <w:bookmarkEnd w:id="48"/>
      <w:bookmarkStart w:id="49" w:name="DIS_MARK_PAY_GYZBJYYSZC_AMT_1"/>
      <w:bookmarkEnd w:id="49"/>
      <w:r>
        <w:rPr>
          <w:rFonts w:hint="eastAsia" w:ascii="仿宋" w:hAnsi="仿宋" w:eastAsia="仿宋" w:cs="仿宋"/>
        </w:rPr>
        <w:t>；</w:t>
      </w:r>
      <w:r>
        <w:rPr>
          <w:rFonts w:hint="eastAsia" w:ascii="仿宋" w:hAnsi="仿宋" w:eastAsia="仿宋" w:cs="仿宋"/>
          <w:lang w:eastAsia="zh-CN"/>
        </w:rPr>
        <w:t>其他支出（类）</w:t>
      </w:r>
      <w:r>
        <w:rPr>
          <w:rFonts w:hint="eastAsia" w:ascii="仿宋" w:hAnsi="仿宋" w:eastAsia="仿宋" w:cs="仿宋"/>
          <w:lang w:val="en-US" w:eastAsia="zh-CN"/>
        </w:rPr>
        <w:t>809.74万元，占比0.58</w:t>
      </w:r>
      <w:r>
        <w:rPr>
          <w:rFonts w:hint="eastAsia" w:ascii="仿宋" w:hAnsi="仿宋" w:eastAsia="仿宋" w:cs="仿宋"/>
        </w:rPr>
        <w:t>%；</w:t>
      </w:r>
      <w:r>
        <w:rPr>
          <w:rFonts w:hint="eastAsia" w:ascii="仿宋" w:hAnsi="仿宋" w:eastAsia="仿宋" w:cs="仿宋"/>
          <w:lang w:eastAsia="zh-CN"/>
        </w:rPr>
        <w:t>一般公共服务支出（类）</w:t>
      </w:r>
      <w:r>
        <w:rPr>
          <w:rFonts w:hint="eastAsia" w:ascii="仿宋" w:hAnsi="仿宋" w:eastAsia="仿宋" w:cs="仿宋"/>
          <w:lang w:val="en-US" w:eastAsia="zh-CN"/>
        </w:rPr>
        <w:t>25.61万元，占比0.02</w:t>
      </w:r>
      <w:r>
        <w:rPr>
          <w:rFonts w:hint="eastAsia" w:ascii="仿宋" w:hAnsi="仿宋" w:eastAsia="仿宋" w:cs="仿宋"/>
        </w:rPr>
        <w:t>%</w:t>
      </w:r>
      <w:r>
        <w:rPr>
          <w:rFonts w:hint="eastAsia" w:ascii="仿宋" w:hAnsi="仿宋" w:eastAsia="仿宋" w:cs="仿宋"/>
          <w:lang w:eastAsia="zh-CN"/>
        </w:rPr>
        <w:t>。</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pPr>
        <w:pStyle w:val="14"/>
        <w:keepNext w:val="0"/>
        <w:keepLines w:val="0"/>
        <w:pageBreakBefore w:val="0"/>
        <w:widowControl w:val="0"/>
        <w:kinsoku/>
        <w:wordWrap/>
        <w:overflowPunct/>
        <w:topLinePunct w:val="0"/>
        <w:bidi w:val="0"/>
        <w:snapToGrid/>
        <w:spacing w:line="600" w:lineRule="exact"/>
        <w:ind w:firstLine="1120" w:firstLineChars="3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122901.55</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122901.55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rPr>
        <w:t>（项）。</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386.35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386.35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highlight w:val="none"/>
          <w:shd w:val="clear" w:color="auto" w:fill="FFFFFF"/>
        </w:rPr>
      </w:pPr>
      <w:r>
        <w:rPr>
          <w:rFonts w:hint="eastAsia" w:ascii="仿宋" w:hAnsi="仿宋" w:eastAsia="仿宋" w:cs="仿宋"/>
          <w:color w:val="000000"/>
          <w:shd w:val="clear" w:color="auto" w:fill="FFFFFF"/>
          <w:lang w:val="en-US" w:eastAsia="zh-CN"/>
        </w:rPr>
        <w:t>2</w:t>
      </w:r>
      <w:r>
        <w:rPr>
          <w:rFonts w:hint="eastAsia" w:ascii="仿宋" w:hAnsi="仿宋" w:eastAsia="仿宋" w:cs="仿宋"/>
          <w:color w:val="000000"/>
          <w:shd w:val="clear" w:color="auto" w:fill="FFFFFF"/>
        </w:rPr>
        <w:t>、</w:t>
      </w:r>
      <w:r>
        <w:rPr>
          <w:rFonts w:hint="eastAsia" w:ascii="仿宋" w:hAnsi="仿宋" w:eastAsia="仿宋" w:cs="仿宋"/>
          <w:color w:val="000000"/>
          <w:highlight w:val="none"/>
          <w:shd w:val="clear" w:color="auto" w:fill="FFFFFF"/>
        </w:rPr>
        <w:t>教育支出（类）教育管理事务（款）行政运行（项）。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1431.34</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1431.34</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highlight w:val="none"/>
          <w:shd w:val="clear" w:color="auto" w:fill="FFFFFF"/>
        </w:rPr>
      </w:pPr>
      <w:r>
        <w:rPr>
          <w:rFonts w:hint="eastAsia" w:ascii="仿宋" w:hAnsi="仿宋" w:eastAsia="仿宋" w:cs="仿宋"/>
          <w:color w:val="000000"/>
          <w:shd w:val="clear" w:color="auto" w:fill="FFFFFF"/>
          <w:lang w:val="en-US" w:eastAsia="zh-CN"/>
        </w:rPr>
        <w:t>3、</w:t>
      </w:r>
      <w:r>
        <w:rPr>
          <w:rFonts w:hint="eastAsia" w:ascii="仿宋" w:hAnsi="仿宋" w:eastAsia="仿宋" w:cs="仿宋"/>
          <w:color w:val="000000"/>
          <w:highlight w:val="none"/>
          <w:shd w:val="clear" w:color="auto" w:fill="FFFFFF"/>
        </w:rPr>
        <w:t>教育支出（类）教育管理事务（款）</w:t>
      </w:r>
      <w:r>
        <w:rPr>
          <w:rFonts w:hint="eastAsia" w:ascii="仿宋" w:hAnsi="仿宋" w:eastAsia="仿宋" w:cs="仿宋"/>
          <w:color w:val="000000"/>
          <w:highlight w:val="none"/>
          <w:shd w:val="clear" w:color="auto" w:fill="FFFFFF"/>
          <w:lang w:eastAsia="zh-CN"/>
        </w:rPr>
        <w:t>一般行政管理事务</w:t>
      </w:r>
      <w:r>
        <w:rPr>
          <w:rFonts w:hint="eastAsia" w:ascii="仿宋" w:hAnsi="仿宋" w:eastAsia="仿宋" w:cs="仿宋"/>
          <w:color w:val="000000"/>
          <w:highlight w:val="none"/>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lang w:val="en-US" w:eastAsia="zh-CN"/>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4245.43</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4245.43</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4</w:t>
      </w:r>
      <w:r>
        <w:rPr>
          <w:rFonts w:hint="eastAsia" w:ascii="仿宋" w:hAnsi="仿宋" w:eastAsia="仿宋" w:cs="仿宋"/>
          <w:color w:val="000000"/>
          <w:shd w:val="clear" w:color="auto" w:fill="FFFFFF"/>
        </w:rPr>
        <w:t>、教育支出（类）普通教育（款）</w:t>
      </w:r>
      <w:r>
        <w:rPr>
          <w:rFonts w:hint="eastAsia" w:ascii="仿宋" w:hAnsi="仿宋" w:eastAsia="仿宋" w:cs="仿宋"/>
          <w:color w:val="000000"/>
          <w:shd w:val="clear" w:color="auto" w:fill="FFFFFF"/>
          <w:lang w:eastAsia="zh-CN"/>
        </w:rPr>
        <w:t>其他普通</w:t>
      </w:r>
      <w:r>
        <w:rPr>
          <w:rFonts w:hint="eastAsia" w:ascii="仿宋" w:hAnsi="仿宋" w:eastAsia="仿宋" w:cs="仿宋"/>
          <w:color w:val="000000"/>
          <w:shd w:val="clear" w:color="auto" w:fill="FFFFFF"/>
        </w:rPr>
        <w:t>教育</w:t>
      </w:r>
      <w:r>
        <w:rPr>
          <w:rFonts w:hint="eastAsia" w:ascii="仿宋" w:hAnsi="仿宋" w:eastAsia="仿宋" w:cs="仿宋"/>
          <w:color w:val="000000"/>
          <w:shd w:val="clear" w:color="auto" w:fill="FFFFFF"/>
          <w:lang w:eastAsia="zh-CN"/>
        </w:rPr>
        <w:t>支出</w:t>
      </w:r>
      <w:r>
        <w:rPr>
          <w:rFonts w:hint="eastAsia" w:ascii="仿宋" w:hAnsi="仿宋" w:eastAsia="仿宋" w:cs="仿宋"/>
          <w:color w:val="000000"/>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618.94</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618.94</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5</w:t>
      </w:r>
      <w:r>
        <w:rPr>
          <w:rFonts w:hint="eastAsia" w:ascii="仿宋" w:hAnsi="仿宋" w:eastAsia="仿宋" w:cs="仿宋"/>
          <w:color w:val="000000"/>
          <w:shd w:val="clear" w:color="auto" w:fill="FFFFFF"/>
        </w:rPr>
        <w:t>、教育支出（类）普通教育（款）学前教育（项）。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3379.27</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3379.27</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6</w:t>
      </w:r>
      <w:r>
        <w:rPr>
          <w:rFonts w:hint="eastAsia" w:ascii="仿宋" w:hAnsi="仿宋" w:eastAsia="仿宋" w:cs="仿宋"/>
          <w:color w:val="000000"/>
          <w:shd w:val="clear" w:color="auto" w:fill="FFFFFF"/>
        </w:rPr>
        <w:t>、教育支出（类）普通教育（款）小学教育（项）。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44337.39</w:t>
      </w:r>
      <w:r>
        <w:rPr>
          <w:rFonts w:hint="eastAsia" w:ascii="仿宋" w:hAnsi="仿宋" w:eastAsia="仿宋" w:cs="仿宋"/>
          <w:color w:val="000000"/>
          <w:shd w:val="clear" w:color="auto" w:fill="FFFFFF"/>
        </w:rPr>
        <w:t>万元，支出决算为44337.39万元，完成年初预算的100%。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7</w:t>
      </w:r>
      <w:r>
        <w:rPr>
          <w:rFonts w:hint="eastAsia" w:ascii="仿宋" w:hAnsi="仿宋" w:eastAsia="仿宋" w:cs="仿宋"/>
          <w:color w:val="000000"/>
          <w:shd w:val="clear" w:color="auto" w:fill="FFFFFF"/>
        </w:rPr>
        <w:t>、教育支出（类）普通教育（款）初中教育（项）。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43192.65</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43192.65</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8</w:t>
      </w:r>
      <w:r>
        <w:rPr>
          <w:rFonts w:hint="eastAsia" w:ascii="仿宋" w:hAnsi="仿宋" w:eastAsia="仿宋" w:cs="仿宋"/>
          <w:color w:val="000000"/>
          <w:shd w:val="clear" w:color="auto" w:fill="FFFFFF"/>
        </w:rPr>
        <w:t>、教育支出（类）普通教育（款）高中教育（项）。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20449.80</w:t>
      </w:r>
      <w:r>
        <w:rPr>
          <w:rFonts w:hint="eastAsia" w:ascii="仿宋" w:hAnsi="仿宋" w:eastAsia="仿宋" w:cs="仿宋"/>
          <w:color w:val="000000"/>
          <w:shd w:val="clear" w:color="auto" w:fill="FFFFFF"/>
        </w:rPr>
        <w:t>万元，支出决算为20449.80万元，完成年初预算的100%。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9</w:t>
      </w:r>
      <w:r>
        <w:rPr>
          <w:rFonts w:hint="eastAsia" w:ascii="仿宋" w:hAnsi="仿宋" w:eastAsia="仿宋" w:cs="仿宋"/>
          <w:color w:val="000000"/>
          <w:shd w:val="clear" w:color="auto" w:fill="FFFFFF"/>
        </w:rPr>
        <w:t>、教育支出（类）职业教育（款）中等职业教育（项）。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315.15</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315.15</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lang w:val="en-US" w:eastAsia="zh-CN"/>
        </w:rPr>
      </w:pPr>
      <w:r>
        <w:rPr>
          <w:rFonts w:hint="eastAsia" w:ascii="仿宋" w:hAnsi="仿宋" w:eastAsia="仿宋" w:cs="仿宋"/>
          <w:color w:val="000000"/>
          <w:shd w:val="clear" w:color="auto" w:fill="FFFFFF"/>
          <w:lang w:val="en-US" w:eastAsia="zh-CN"/>
        </w:rPr>
        <w:t>10、教育支出（类</w:t>
      </w:r>
      <w:r>
        <w:rPr>
          <w:rFonts w:hint="eastAsia" w:ascii="仿宋" w:hAnsi="仿宋" w:eastAsia="仿宋" w:cs="仿宋"/>
          <w:color w:val="000000"/>
          <w:highlight w:val="none"/>
          <w:shd w:val="clear" w:color="auto" w:fill="FFFFFF"/>
          <w:lang w:val="en-US" w:eastAsia="zh-CN"/>
        </w:rPr>
        <w:t>）其他教育（款）</w:t>
      </w:r>
      <w:r>
        <w:rPr>
          <w:rFonts w:hint="eastAsia" w:ascii="仿宋" w:hAnsi="仿宋" w:eastAsia="仿宋" w:cs="仿宋"/>
          <w:color w:val="000000"/>
          <w:shd w:val="clear" w:color="auto" w:fill="FFFFFF"/>
          <w:lang w:val="en-US" w:eastAsia="zh-CN"/>
        </w:rPr>
        <w:t>其他教育支出（项）。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lang w:val="en-US" w:eastAsia="zh-CN"/>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83.20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83.20</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highlight w:val="none"/>
          <w:shd w:val="clear" w:color="auto" w:fill="FFFFFF"/>
        </w:rPr>
      </w:pPr>
      <w:r>
        <w:rPr>
          <w:rFonts w:hint="eastAsia" w:ascii="仿宋" w:hAnsi="仿宋" w:eastAsia="仿宋" w:cs="仿宋"/>
          <w:color w:val="000000"/>
          <w:shd w:val="clear" w:color="auto" w:fill="FFFFFF"/>
          <w:lang w:val="en-US" w:eastAsia="zh-CN"/>
        </w:rPr>
        <w:t>11</w:t>
      </w:r>
      <w:r>
        <w:rPr>
          <w:rFonts w:hint="eastAsia" w:ascii="仿宋" w:hAnsi="仿宋" w:eastAsia="仿宋" w:cs="仿宋"/>
          <w:color w:val="000000"/>
          <w:shd w:val="clear" w:color="auto" w:fill="FFFFFF"/>
        </w:rPr>
        <w:t>、</w:t>
      </w:r>
      <w:r>
        <w:rPr>
          <w:rFonts w:hint="eastAsia" w:ascii="仿宋" w:hAnsi="仿宋" w:eastAsia="仿宋" w:cs="仿宋"/>
          <w:color w:val="000000"/>
          <w:highlight w:val="none"/>
          <w:shd w:val="clear" w:color="auto" w:fill="FFFFFF"/>
        </w:rPr>
        <w:t>教育支出（类）教育管理事务（款）其他教育管理事务支出（项）。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highlight w:val="none"/>
          <w:shd w:val="clear" w:color="auto" w:fill="FFFFFF"/>
        </w:rPr>
        <w:t>年初预算为</w:t>
      </w:r>
      <w:r>
        <w:rPr>
          <w:rFonts w:hint="eastAsia" w:ascii="仿宋" w:hAnsi="仿宋" w:eastAsia="仿宋" w:cs="仿宋"/>
          <w:color w:val="000000"/>
          <w:highlight w:val="none"/>
          <w:shd w:val="clear" w:color="auto" w:fill="FFFFFF"/>
          <w:lang w:val="en-US" w:eastAsia="zh-CN"/>
        </w:rPr>
        <w:t>436.28</w:t>
      </w:r>
      <w:r>
        <w:rPr>
          <w:rFonts w:hint="eastAsia" w:ascii="仿宋" w:hAnsi="仿宋" w:eastAsia="仿宋" w:cs="仿宋"/>
          <w:color w:val="000000"/>
          <w:highlight w:val="none"/>
          <w:shd w:val="clear" w:color="auto" w:fill="FFFFFF"/>
        </w:rPr>
        <w:t>万元，支出决算为</w:t>
      </w:r>
      <w:r>
        <w:rPr>
          <w:rFonts w:hint="eastAsia" w:ascii="仿宋" w:hAnsi="仿宋" w:eastAsia="仿宋" w:cs="仿宋"/>
          <w:color w:val="000000"/>
          <w:highlight w:val="none"/>
          <w:shd w:val="clear" w:color="auto" w:fill="FFFFFF"/>
          <w:lang w:val="en-US" w:eastAsia="zh-CN"/>
        </w:rPr>
        <w:t>436.28</w:t>
      </w:r>
      <w:r>
        <w:rPr>
          <w:rFonts w:hint="eastAsia" w:ascii="仿宋" w:hAnsi="仿宋" w:eastAsia="仿宋" w:cs="仿宋"/>
          <w:color w:val="000000"/>
          <w:highlight w:val="none"/>
          <w:shd w:val="clear" w:color="auto" w:fill="FFFFFF"/>
        </w:rPr>
        <w:t>万元，完成年初预</w:t>
      </w:r>
      <w:r>
        <w:rPr>
          <w:rFonts w:hint="eastAsia" w:ascii="仿宋" w:hAnsi="仿宋" w:eastAsia="仿宋" w:cs="仿宋"/>
          <w:color w:val="000000"/>
          <w:shd w:val="clear" w:color="auto" w:fill="FFFFFF"/>
        </w:rPr>
        <w:t>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lang w:val="en-US" w:eastAsia="zh-CN"/>
        </w:rPr>
        <w:t>12</w:t>
      </w:r>
      <w:r>
        <w:rPr>
          <w:rFonts w:hint="eastAsia" w:ascii="仿宋" w:hAnsi="仿宋" w:eastAsia="仿宋" w:cs="仿宋"/>
          <w:color w:val="000000"/>
          <w:shd w:val="clear" w:color="auto" w:fill="FFFFFF"/>
        </w:rPr>
        <w:t>、社会保障和就业支出（类）行政事业单位养老支出（款）机关事业单位基本养老保险缴费支出（项）。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2439.03</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2439.03</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3</w:t>
      </w:r>
      <w:r>
        <w:rPr>
          <w:rFonts w:hint="eastAsia" w:ascii="仿宋" w:hAnsi="仿宋" w:eastAsia="仿宋" w:cs="仿宋"/>
          <w:color w:val="000000"/>
          <w:shd w:val="clear" w:color="auto" w:fill="FFFFFF"/>
        </w:rPr>
        <w:t>、社会保障和就业支出（类）抚恤（款）死亡抚恤（项）。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179.39</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179.39</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4</w:t>
      </w:r>
      <w:r>
        <w:rPr>
          <w:rFonts w:hint="eastAsia" w:ascii="仿宋" w:hAnsi="仿宋" w:eastAsia="仿宋" w:cs="仿宋"/>
          <w:color w:val="000000"/>
          <w:shd w:val="clear" w:color="auto" w:fill="FFFFFF"/>
        </w:rPr>
        <w:t>、社会保障和就业支出（类）</w:t>
      </w:r>
      <w:r>
        <w:rPr>
          <w:rFonts w:hint="eastAsia" w:ascii="仿宋" w:hAnsi="仿宋" w:eastAsia="仿宋" w:cs="仿宋"/>
          <w:color w:val="000000"/>
          <w:shd w:val="clear" w:color="auto" w:fill="FFFFFF"/>
          <w:lang w:eastAsia="zh-CN"/>
        </w:rPr>
        <w:t>其他支出</w:t>
      </w:r>
      <w:r>
        <w:rPr>
          <w:rFonts w:hint="eastAsia" w:ascii="仿宋" w:hAnsi="仿宋" w:eastAsia="仿宋" w:cs="仿宋"/>
          <w:color w:val="000000"/>
          <w:shd w:val="clear" w:color="auto" w:fill="FFFFFF"/>
        </w:rPr>
        <w:t>（款）</w:t>
      </w:r>
      <w:r>
        <w:rPr>
          <w:rFonts w:hint="eastAsia" w:ascii="仿宋" w:hAnsi="仿宋" w:eastAsia="仿宋" w:cs="仿宋"/>
          <w:color w:val="000000"/>
          <w:shd w:val="clear" w:color="auto" w:fill="FFFFFF"/>
          <w:lang w:eastAsia="zh-CN"/>
        </w:rPr>
        <w:t>其他</w:t>
      </w:r>
      <w:r>
        <w:rPr>
          <w:rFonts w:hint="eastAsia" w:ascii="仿宋" w:hAnsi="仿宋" w:eastAsia="仿宋" w:cs="仿宋"/>
          <w:color w:val="000000"/>
          <w:shd w:val="clear" w:color="auto" w:fill="FFFFFF"/>
        </w:rPr>
        <w:t>社会保障和就业支出（项）。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44.79</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44.79</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5</w:t>
      </w:r>
      <w:r>
        <w:rPr>
          <w:rFonts w:hint="eastAsia" w:ascii="仿宋" w:hAnsi="仿宋" w:eastAsia="仿宋" w:cs="仿宋"/>
          <w:color w:val="000000"/>
          <w:shd w:val="clear" w:color="auto" w:fill="FFFFFF"/>
        </w:rPr>
        <w:t>、卫生健康支出（类）行政事业单位医疗（款）</w:t>
      </w:r>
      <w:r>
        <w:rPr>
          <w:rFonts w:hint="eastAsia" w:ascii="仿宋" w:hAnsi="仿宋" w:eastAsia="仿宋" w:cs="仿宋"/>
          <w:color w:val="000000"/>
          <w:shd w:val="clear" w:color="auto" w:fill="FFFFFF"/>
          <w:lang w:eastAsia="zh-CN"/>
        </w:rPr>
        <w:t>事业</w:t>
      </w:r>
      <w:r>
        <w:rPr>
          <w:rFonts w:hint="eastAsia" w:ascii="仿宋" w:hAnsi="仿宋" w:eastAsia="仿宋" w:cs="仿宋"/>
          <w:color w:val="000000"/>
          <w:shd w:val="clear" w:color="auto" w:fill="FFFFFF"/>
        </w:rPr>
        <w:t>单位医疗（项）。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1335.78</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1335.78</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6</w:t>
      </w:r>
      <w:r>
        <w:rPr>
          <w:rFonts w:hint="eastAsia" w:ascii="仿宋" w:hAnsi="仿宋" w:eastAsia="仿宋" w:cs="仿宋"/>
          <w:color w:val="000000"/>
          <w:shd w:val="clear" w:color="auto" w:fill="FFFFFF"/>
        </w:rPr>
        <w:t>、卫生健康支出（类</w:t>
      </w:r>
      <w:r>
        <w:rPr>
          <w:rFonts w:hint="eastAsia" w:ascii="仿宋" w:hAnsi="仿宋" w:eastAsia="仿宋" w:cs="仿宋"/>
          <w:color w:val="000000"/>
          <w:highlight w:val="none"/>
          <w:shd w:val="clear" w:color="auto" w:fill="FFFFFF"/>
        </w:rPr>
        <w:t>）</w:t>
      </w:r>
      <w:r>
        <w:rPr>
          <w:rFonts w:hint="eastAsia" w:ascii="仿宋" w:hAnsi="仿宋" w:eastAsia="仿宋" w:cs="仿宋"/>
          <w:color w:val="000000"/>
          <w:shd w:val="clear" w:color="auto" w:fill="FFFFFF"/>
        </w:rPr>
        <w:t>卫生健康</w:t>
      </w:r>
      <w:r>
        <w:rPr>
          <w:rFonts w:hint="eastAsia" w:ascii="仿宋" w:hAnsi="仿宋" w:eastAsia="仿宋" w:cs="仿宋"/>
          <w:color w:val="000000"/>
          <w:shd w:val="clear" w:color="auto" w:fill="FFFFFF"/>
          <w:lang w:eastAsia="zh-CN"/>
        </w:rPr>
        <w:t>管理</w:t>
      </w:r>
      <w:r>
        <w:rPr>
          <w:rFonts w:hint="eastAsia" w:ascii="仿宋" w:hAnsi="仿宋" w:eastAsia="仿宋" w:cs="仿宋"/>
          <w:color w:val="000000"/>
          <w:shd w:val="clear" w:color="auto" w:fill="FFFFFF"/>
        </w:rPr>
        <w:t>支出</w:t>
      </w:r>
      <w:r>
        <w:rPr>
          <w:rFonts w:hint="eastAsia" w:ascii="仿宋" w:hAnsi="仿宋" w:eastAsia="仿宋" w:cs="仿宋"/>
          <w:color w:val="000000"/>
          <w:highlight w:val="none"/>
          <w:shd w:val="clear" w:color="auto" w:fill="FFFFFF"/>
        </w:rPr>
        <w:t>（款）</w:t>
      </w:r>
      <w:r>
        <w:rPr>
          <w:rFonts w:hint="eastAsia" w:ascii="仿宋" w:hAnsi="仿宋" w:eastAsia="仿宋" w:cs="仿宋"/>
          <w:color w:val="000000"/>
          <w:shd w:val="clear" w:color="auto" w:fill="FFFFFF"/>
          <w:lang w:eastAsia="zh-CN"/>
        </w:rPr>
        <w:t>其他卫生健康管理事务支出</w:t>
      </w:r>
      <w:r>
        <w:rPr>
          <w:rFonts w:hint="eastAsia" w:ascii="仿宋" w:hAnsi="仿宋" w:eastAsia="仿宋" w:cs="仿宋"/>
          <w:color w:val="000000"/>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1.00</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1.00</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highlight w:val="none"/>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7</w:t>
      </w:r>
      <w:r>
        <w:rPr>
          <w:rFonts w:hint="eastAsia" w:ascii="仿宋" w:hAnsi="仿宋" w:eastAsia="仿宋" w:cs="仿宋"/>
          <w:color w:val="000000"/>
          <w:shd w:val="clear" w:color="auto" w:fill="FFFFFF"/>
        </w:rPr>
        <w:t>、</w:t>
      </w:r>
      <w:r>
        <w:rPr>
          <w:rFonts w:hint="eastAsia" w:ascii="仿宋" w:hAnsi="仿宋" w:eastAsia="仿宋" w:cs="仿宋"/>
          <w:color w:val="000000"/>
          <w:highlight w:val="none"/>
          <w:shd w:val="clear" w:color="auto" w:fill="FFFFFF"/>
          <w:lang w:eastAsia="zh-CN"/>
        </w:rPr>
        <w:t>一般公共服务支出</w:t>
      </w:r>
      <w:r>
        <w:rPr>
          <w:rFonts w:hint="eastAsia" w:ascii="仿宋" w:hAnsi="仿宋" w:eastAsia="仿宋" w:cs="仿宋"/>
          <w:color w:val="000000"/>
          <w:highlight w:val="none"/>
          <w:shd w:val="clear" w:color="auto" w:fill="FFFFFF"/>
        </w:rPr>
        <w:t>（类）</w:t>
      </w:r>
      <w:r>
        <w:rPr>
          <w:rFonts w:hint="eastAsia" w:ascii="仿宋" w:hAnsi="仿宋" w:eastAsia="仿宋" w:cs="仿宋"/>
          <w:color w:val="000000"/>
          <w:highlight w:val="none"/>
          <w:shd w:val="clear" w:color="auto" w:fill="FFFFFF"/>
          <w:lang w:eastAsia="zh-CN"/>
        </w:rPr>
        <w:t>其他公共服务支出</w:t>
      </w:r>
      <w:r>
        <w:rPr>
          <w:rFonts w:hint="eastAsia" w:ascii="仿宋" w:hAnsi="仿宋" w:eastAsia="仿宋" w:cs="仿宋"/>
          <w:color w:val="000000"/>
          <w:highlight w:val="none"/>
          <w:shd w:val="clear" w:color="auto" w:fill="FFFFFF"/>
        </w:rPr>
        <w:t>（款）</w:t>
      </w:r>
      <w:r>
        <w:rPr>
          <w:rFonts w:hint="eastAsia" w:ascii="仿宋" w:hAnsi="仿宋" w:eastAsia="仿宋" w:cs="仿宋"/>
          <w:color w:val="000000"/>
          <w:highlight w:val="none"/>
          <w:shd w:val="clear" w:color="auto" w:fill="FFFFFF"/>
          <w:lang w:eastAsia="zh-CN"/>
        </w:rPr>
        <w:t>其他一般公共服务支出</w:t>
      </w:r>
      <w:r>
        <w:rPr>
          <w:rFonts w:hint="eastAsia" w:ascii="仿宋" w:hAnsi="仿宋" w:eastAsia="仿宋" w:cs="仿宋"/>
          <w:color w:val="000000"/>
          <w:highlight w:val="none"/>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25.61</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25.61</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highlight w:val="none"/>
          <w:shd w:val="clear" w:color="auto" w:fill="FFFFFF"/>
        </w:rPr>
      </w:pPr>
      <w:r>
        <w:rPr>
          <w:rFonts w:hint="eastAsia" w:ascii="仿宋" w:hAnsi="仿宋" w:eastAsia="仿宋" w:cs="仿宋"/>
          <w:color w:val="000000"/>
          <w:shd w:val="clear" w:color="auto" w:fill="FFFFFF"/>
        </w:rPr>
        <w:t>1</w:t>
      </w:r>
      <w:r>
        <w:rPr>
          <w:rFonts w:hint="eastAsia" w:ascii="仿宋" w:hAnsi="仿宋" w:eastAsia="仿宋" w:cs="仿宋"/>
          <w:color w:val="000000"/>
          <w:shd w:val="clear" w:color="auto" w:fill="FFFFFF"/>
          <w:lang w:val="en-US" w:eastAsia="zh-CN"/>
        </w:rPr>
        <w:t>8</w:t>
      </w:r>
      <w:r>
        <w:rPr>
          <w:rFonts w:hint="eastAsia" w:ascii="仿宋" w:hAnsi="仿宋" w:eastAsia="仿宋" w:cs="仿宋"/>
          <w:color w:val="000000"/>
          <w:shd w:val="clear" w:color="auto" w:fill="FFFFFF"/>
        </w:rPr>
        <w:t>、</w:t>
      </w:r>
      <w:r>
        <w:rPr>
          <w:rFonts w:hint="eastAsia" w:ascii="仿宋" w:hAnsi="仿宋" w:eastAsia="仿宋" w:cs="仿宋"/>
          <w:color w:val="000000"/>
          <w:highlight w:val="none"/>
          <w:shd w:val="clear" w:color="auto" w:fill="FFFFFF"/>
          <w:lang w:eastAsia="zh-CN"/>
        </w:rPr>
        <w:t>其他支出</w:t>
      </w:r>
      <w:r>
        <w:rPr>
          <w:rFonts w:hint="eastAsia" w:ascii="仿宋" w:hAnsi="仿宋" w:eastAsia="仿宋" w:cs="仿宋"/>
          <w:color w:val="000000"/>
          <w:highlight w:val="none"/>
          <w:shd w:val="clear" w:color="auto" w:fill="FFFFFF"/>
        </w:rPr>
        <w:t>（类）</w:t>
      </w:r>
      <w:r>
        <w:rPr>
          <w:rFonts w:hint="eastAsia" w:ascii="仿宋" w:hAnsi="仿宋" w:eastAsia="仿宋" w:cs="仿宋"/>
          <w:color w:val="000000"/>
          <w:highlight w:val="none"/>
          <w:shd w:val="clear" w:color="auto" w:fill="FFFFFF"/>
          <w:lang w:eastAsia="zh-CN"/>
        </w:rPr>
        <w:t>其他支出</w:t>
      </w:r>
      <w:r>
        <w:rPr>
          <w:rFonts w:hint="eastAsia" w:ascii="仿宋" w:hAnsi="仿宋" w:eastAsia="仿宋" w:cs="仿宋"/>
          <w:color w:val="000000"/>
          <w:highlight w:val="none"/>
          <w:shd w:val="clear" w:color="auto" w:fill="FFFFFF"/>
        </w:rPr>
        <w:t>（类）</w:t>
      </w:r>
      <w:r>
        <w:rPr>
          <w:rFonts w:hint="eastAsia" w:ascii="仿宋" w:hAnsi="仿宋" w:eastAsia="仿宋" w:cs="仿宋"/>
          <w:color w:val="000000"/>
          <w:highlight w:val="none"/>
          <w:shd w:val="clear" w:color="auto" w:fill="FFFFFF"/>
          <w:lang w:eastAsia="zh-CN"/>
        </w:rPr>
        <w:t>其他支出</w:t>
      </w:r>
      <w:r>
        <w:rPr>
          <w:rFonts w:hint="eastAsia" w:ascii="仿宋" w:hAnsi="仿宋" w:eastAsia="仿宋" w:cs="仿宋"/>
          <w:color w:val="000000"/>
          <w:highlight w:val="none"/>
          <w:shd w:val="clear" w:color="auto" w:fill="FFFFFF"/>
        </w:rPr>
        <w:t>（项）。</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color w:val="000000"/>
          <w:shd w:val="clear" w:color="auto" w:fill="FFFFFF"/>
        </w:rPr>
      </w:pPr>
      <w:r>
        <w:rPr>
          <w:rFonts w:hint="eastAsia" w:ascii="仿宋" w:hAnsi="仿宋" w:eastAsia="仿宋" w:cs="仿宋"/>
          <w:color w:val="000000"/>
          <w:shd w:val="clear" w:color="auto" w:fill="FFFFFF"/>
        </w:rPr>
        <w:t>年初预算为</w:t>
      </w:r>
      <w:r>
        <w:rPr>
          <w:rFonts w:hint="eastAsia" w:ascii="仿宋" w:hAnsi="仿宋" w:eastAsia="仿宋" w:cs="仿宋"/>
          <w:color w:val="000000"/>
          <w:shd w:val="clear" w:color="auto" w:fill="FFFFFF"/>
          <w:lang w:val="en-US" w:eastAsia="zh-CN"/>
        </w:rPr>
        <w:t>0.16</w:t>
      </w:r>
      <w:r>
        <w:rPr>
          <w:rFonts w:hint="eastAsia" w:ascii="仿宋" w:hAnsi="仿宋" w:eastAsia="仿宋" w:cs="仿宋"/>
          <w:color w:val="000000"/>
          <w:shd w:val="clear" w:color="auto" w:fill="FFFFFF"/>
        </w:rPr>
        <w:t>万元，支出决算为</w:t>
      </w:r>
      <w:r>
        <w:rPr>
          <w:rFonts w:hint="eastAsia" w:ascii="仿宋" w:hAnsi="仿宋" w:eastAsia="仿宋" w:cs="仿宋"/>
          <w:color w:val="000000"/>
          <w:shd w:val="clear" w:color="auto" w:fill="FFFFFF"/>
          <w:lang w:val="en-US" w:eastAsia="zh-CN"/>
        </w:rPr>
        <w:t>0.16</w:t>
      </w:r>
      <w:r>
        <w:rPr>
          <w:rFonts w:hint="eastAsia" w:ascii="仿宋" w:hAnsi="仿宋" w:eastAsia="仿宋" w:cs="仿宋"/>
          <w:color w:val="000000"/>
          <w:shd w:val="clear" w:color="auto" w:fill="FFFFFF"/>
        </w:rPr>
        <w:t>万元，完成年初预算的100%。</w:t>
      </w:r>
    </w:p>
    <w:p>
      <w:pPr>
        <w:pStyle w:val="2"/>
        <w:tabs>
          <w:tab w:val="left" w:pos="3864"/>
          <w:tab w:val="left" w:pos="6248"/>
          <w:tab w:val="left" w:pos="7386"/>
        </w:tabs>
        <w:overflowPunct w:val="0"/>
        <w:spacing w:before="1" w:line="360" w:lineRule="auto"/>
        <w:ind w:right="420"/>
        <w:rPr>
          <w:rFonts w:hint="eastAsia" w:ascii="仿宋" w:hAnsi="仿宋" w:eastAsia="仿宋" w:cs="仿宋"/>
          <w:color w:val="000000"/>
          <w:shd w:val="clear" w:color="auto" w:fill="FFFFFF"/>
        </w:rPr>
      </w:pP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89783.78</w:t>
      </w:r>
      <w:r>
        <w:rPr>
          <w:rFonts w:hint="eastAsia" w:ascii="Times New Roman" w:hAnsi="Times New Roman" w:eastAsia="仿宋_GB2312"/>
          <w:sz w:val="32"/>
          <w:szCs w:val="32"/>
        </w:rPr>
        <w:t>万元，其中：</w:t>
      </w:r>
    </w:p>
    <w:p>
      <w:pPr>
        <w:pStyle w:val="2"/>
        <w:tabs>
          <w:tab w:val="left" w:pos="3864"/>
          <w:tab w:val="left" w:pos="6248"/>
          <w:tab w:val="left" w:pos="7386"/>
        </w:tabs>
        <w:overflowPunct w:val="0"/>
        <w:spacing w:before="1" w:line="360" w:lineRule="auto"/>
        <w:ind w:left="420" w:leftChars="200" w:right="420" w:firstLine="662" w:firstLineChars="206"/>
        <w:rPr>
          <w:rFonts w:hint="eastAsia" w:ascii="仿宋" w:hAnsi="仿宋" w:eastAsia="仿宋" w:cs="仿宋"/>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75055.56</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83.60</w:t>
      </w:r>
      <w:r>
        <w:rPr>
          <w:rFonts w:hint="eastAsia" w:ascii="Times New Roman" w:hAnsi="Times New Roman" w:eastAsia="仿宋_GB2312"/>
          <w:sz w:val="32"/>
          <w:szCs w:val="32"/>
        </w:rPr>
        <w:t>%,主要包括</w:t>
      </w:r>
      <w:r>
        <w:rPr>
          <w:rFonts w:hint="eastAsia" w:ascii="仿宋" w:hAnsi="仿宋" w:eastAsia="仿宋" w:cs="仿宋"/>
          <w:sz w:val="32"/>
          <w:szCs w:val="32"/>
        </w:rPr>
        <w:t>基本工资、津贴补贴、奖金、伙食补助费、机关事业单位基本养老保险缴费、职业年金缴费、职工基本医疗保险缴费、其他社会保障缴费、住房公积金、退休费、抚恤金、生活补助、救济费、奖励金、其他对个人和家庭的补助；</w:t>
      </w: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14728.22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16.40</w:t>
      </w:r>
      <w:r>
        <w:rPr>
          <w:rFonts w:hint="eastAsia" w:ascii="Times New Roman" w:hAnsi="Times New Roman" w:eastAsia="仿宋_GB2312"/>
          <w:sz w:val="32"/>
          <w:szCs w:val="32"/>
        </w:rPr>
        <w:t>%，主要包括</w:t>
      </w:r>
      <w:r>
        <w:rPr>
          <w:rFonts w:hint="eastAsia" w:ascii="仿宋" w:hAnsi="仿宋" w:eastAsia="仿宋" w:cs="仿宋"/>
        </w:rPr>
        <w:t>办公费、印刷费、咨询费、水费、电费、邮电费、物业管理费、差旅费、维修（护）费、会议费、培训费、公务接待费、劳务费、委托业务费、工会经费、福利费、公务用车运行维护费、其他商品和服务支出。</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15.69</w:t>
      </w:r>
      <w:r>
        <w:rPr>
          <w:rFonts w:hint="eastAsia" w:ascii="Times New Roman" w:hAnsi="Times New Roman" w:eastAsia="仿宋_GB2312"/>
          <w:sz w:val="32"/>
          <w:szCs w:val="32"/>
          <w:highlight w:val="none"/>
        </w:rPr>
        <w:t>万</w:t>
      </w:r>
      <w:r>
        <w:rPr>
          <w:rFonts w:hint="eastAsia" w:ascii="Times New Roman" w:hAnsi="Times New Roman" w:eastAsia="仿宋_GB2312"/>
          <w:sz w:val="32"/>
          <w:szCs w:val="32"/>
        </w:rPr>
        <w:t>元，支出决算为</w:t>
      </w:r>
      <w:r>
        <w:rPr>
          <w:rFonts w:hint="eastAsia" w:ascii="Times New Roman" w:hAnsi="Times New Roman" w:eastAsia="仿宋_GB2312"/>
          <w:sz w:val="32"/>
          <w:szCs w:val="32"/>
          <w:lang w:val="en-US" w:eastAsia="zh-CN"/>
        </w:rPr>
        <w:t>13.64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86.93</w:t>
      </w:r>
      <w:r>
        <w:rPr>
          <w:rFonts w:hint="eastAsia" w:ascii="Times New Roman" w:hAnsi="Times New Roman" w:eastAsia="仿宋_GB2312"/>
          <w:sz w:val="32"/>
          <w:szCs w:val="32"/>
        </w:rPr>
        <w:t>%，决算数小于预算数的主要原因是少的主要原因是</w:t>
      </w:r>
      <w:bookmarkStart w:id="50" w:name="THERR_CZBK_GWJDF_FINAL_ACCOUNTS_MARK"/>
      <w:r>
        <w:rPr>
          <w:rFonts w:hint="eastAsia" w:ascii="Times New Roman" w:hAnsi="Times New Roman" w:eastAsia="仿宋_GB2312"/>
          <w:sz w:val="32"/>
          <w:szCs w:val="32"/>
        </w:rPr>
        <w:t>严格管理、厉行节约，逐步压减开支</w:t>
      </w:r>
      <w:bookmarkEnd w:id="50"/>
      <w:r>
        <w:rPr>
          <w:rFonts w:hint="eastAsia" w:ascii="Times New Roman" w:hAnsi="Times New Roman" w:eastAsia="仿宋_GB2312"/>
          <w:sz w:val="32"/>
          <w:szCs w:val="32"/>
        </w:rPr>
        <w:t>。</w:t>
      </w:r>
      <w:bookmarkStart w:id="51" w:name="END_IS_ZERO_02_2"/>
      <w:bookmarkEnd w:id="51"/>
      <w:bookmarkStart w:id="52" w:name="START_IS_ZERO_02_2"/>
      <w:bookmarkEnd w:id="52"/>
      <w:bookmarkStart w:id="53" w:name="END_IS_ZERO_02_1"/>
      <w:bookmarkEnd w:id="53"/>
      <w:bookmarkStart w:id="54" w:name="DIS_MARK_IS_ZERO_02_2"/>
      <w:bookmarkEnd w:id="54"/>
      <w:r>
        <w:rPr>
          <w:rFonts w:hint="eastAsia" w:ascii="Times New Roman" w:hAnsi="Times New Roman" w:eastAsia="仿宋_GB2312"/>
          <w:sz w:val="32"/>
          <w:szCs w:val="32"/>
          <w:lang w:val="en-US" w:eastAsia="zh-CN"/>
        </w:rPr>
        <w:t>2025年三公经费13.64万元，</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91.67</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减少了</w:t>
      </w:r>
      <w:r>
        <w:rPr>
          <w:rFonts w:hint="eastAsia" w:ascii="Times New Roman" w:hAnsi="Times New Roman" w:eastAsia="仿宋_GB2312"/>
          <w:sz w:val="32"/>
          <w:szCs w:val="32"/>
          <w:highlight w:val="none"/>
          <w:lang w:val="en-US" w:eastAsia="zh-CN"/>
        </w:rPr>
        <w:t>87.05</w:t>
      </w:r>
      <w:r>
        <w:rPr>
          <w:rFonts w:hint="eastAsia" w:ascii="Times New Roman" w:hAnsi="Times New Roman" w:eastAsia="仿宋_GB2312"/>
          <w:sz w:val="32"/>
          <w:szCs w:val="32"/>
          <w:highlight w:val="none"/>
        </w:rPr>
        <w:t>%,</w:t>
      </w:r>
      <w:r>
        <w:rPr>
          <w:rFonts w:hint="eastAsia" w:ascii="Times New Roman" w:hAnsi="Times New Roman" w:eastAsia="仿宋_GB2312"/>
          <w:sz w:val="32"/>
          <w:szCs w:val="32"/>
          <w:highlight w:val="none"/>
          <w:lang w:eastAsia="zh-CN"/>
        </w:rPr>
        <w:t>减少的</w:t>
      </w:r>
      <w:r>
        <w:rPr>
          <w:rFonts w:hint="eastAsia" w:ascii="Times New Roman" w:hAnsi="Times New Roman" w:eastAsia="仿宋_GB2312"/>
          <w:sz w:val="32"/>
          <w:szCs w:val="32"/>
          <w:highlight w:val="none"/>
        </w:rPr>
        <w:t>主要原因</w:t>
      </w:r>
      <w:r>
        <w:rPr>
          <w:rFonts w:hint="eastAsia" w:ascii="仿宋" w:hAnsi="仿宋" w:eastAsia="仿宋" w:cs="仿宋"/>
          <w:sz w:val="32"/>
          <w:szCs w:val="32"/>
          <w:highlight w:val="none"/>
        </w:rPr>
        <w:t>严格管理、厉行节约，逐步压减开支</w:t>
      </w:r>
      <w:r>
        <w:rPr>
          <w:rFonts w:hint="eastAsia" w:ascii="Times New Roman" w:hAnsi="Times New Roman" w:eastAsia="仿宋_GB2312"/>
          <w:sz w:val="32"/>
          <w:szCs w:val="32"/>
          <w:highlight w:val="none"/>
        </w:rPr>
        <w:t>，其中：</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仿宋" w:hAnsi="仿宋" w:eastAsia="仿宋" w:cs="仿宋"/>
          <w:highlight w:val="none"/>
        </w:rPr>
        <w:t>因公出国（境）费支出预算为</w:t>
      </w:r>
      <w:bookmarkStart w:id="55" w:name="THERR_CZBK_YGCGJFY_BGT_AMT"/>
      <w:r>
        <w:rPr>
          <w:rFonts w:hint="eastAsia" w:ascii="仿宋" w:hAnsi="仿宋" w:eastAsia="仿宋" w:cs="仿宋"/>
          <w:highlight w:val="none"/>
        </w:rPr>
        <w:t>0.00</w:t>
      </w:r>
      <w:bookmarkEnd w:id="55"/>
      <w:r>
        <w:rPr>
          <w:rFonts w:hint="eastAsia" w:ascii="仿宋" w:hAnsi="仿宋" w:eastAsia="仿宋" w:cs="仿宋"/>
          <w:highlight w:val="none"/>
        </w:rPr>
        <w:t>万元</w:t>
      </w:r>
      <w:r>
        <w:rPr>
          <w:rFonts w:hint="eastAsia" w:ascii="仿宋" w:hAnsi="仿宋" w:eastAsia="仿宋" w:cs="仿宋"/>
        </w:rPr>
        <w:t>，支出决算为</w:t>
      </w:r>
      <w:bookmarkStart w:id="56" w:name="THERR_CZBK_YGCGJFY_FINAL_ACCOUNTS_AMT"/>
      <w:r>
        <w:rPr>
          <w:rFonts w:hint="eastAsia" w:ascii="仿宋" w:hAnsi="仿宋" w:eastAsia="仿宋" w:cs="仿宋"/>
        </w:rPr>
        <w:t>0.00</w:t>
      </w:r>
      <w:bookmarkEnd w:id="56"/>
      <w:r>
        <w:rPr>
          <w:rFonts w:hint="eastAsia" w:ascii="仿宋" w:hAnsi="仿宋" w:eastAsia="仿宋" w:cs="仿宋"/>
        </w:rPr>
        <w:t>万元，</w:t>
      </w:r>
      <w:bookmarkStart w:id="57" w:name="START_THERR_CZBK_YGCGJFY_FINAL_BGT_DB1"/>
      <w:bookmarkEnd w:id="57"/>
      <w:bookmarkStart w:id="58" w:name="END_THERR_CZBK_YGCGJFY_FINAL_BGT_DB"/>
      <w:bookmarkEnd w:id="58"/>
      <w:bookmarkStart w:id="59" w:name="DIS_MARK_THERR_CZBK_YGCGJFY_FINAL_BGT_DB"/>
      <w:bookmarkEnd w:id="59"/>
      <w:bookmarkStart w:id="60" w:name="DIS_MARK_THERR_CZBK_YGCGJFY_BGT_AMT"/>
      <w:bookmarkEnd w:id="60"/>
      <w:bookmarkStart w:id="61" w:name="START_THERR_CZBK_YGCGJFY_BGT_AMT"/>
      <w:bookmarkEnd w:id="61"/>
      <w:bookmarkStart w:id="62" w:name="END_THERR_CZBK_YGCGJFY_BGT_AMT"/>
      <w:bookmarkEnd w:id="62"/>
      <w:bookmarkStart w:id="63" w:name="START_THERR_CZBK_YGCGJFY_FINAL_BGT_DB"/>
      <w:bookmarkEnd w:id="63"/>
      <w:r>
        <w:rPr>
          <w:rFonts w:hint="eastAsia" w:ascii="仿宋" w:hAnsi="仿宋" w:eastAsia="仿宋" w:cs="仿宋"/>
        </w:rPr>
        <w:t>与本年预算数相同，</w:t>
      </w:r>
      <w:bookmarkStart w:id="64" w:name="START_IS_ZERO_01_1"/>
      <w:bookmarkEnd w:id="64"/>
      <w:bookmarkStart w:id="65" w:name="IS_ZERO_01"/>
      <w:bookmarkEnd w:id="65"/>
      <w:bookmarkStart w:id="66" w:name="START_IS_ZERO_01_2"/>
      <w:bookmarkEnd w:id="66"/>
      <w:bookmarkStart w:id="67" w:name="END_IS_ZERO_01_1"/>
      <w:bookmarkEnd w:id="67"/>
      <w:bookmarkStart w:id="68" w:name="END_THERR_CZBK_YGCGJFY_FINAL_BGT_DB1"/>
      <w:bookmarkEnd w:id="68"/>
      <w:bookmarkStart w:id="69" w:name="DIS_MARK_IS_ZERO_01_1"/>
      <w:bookmarkEnd w:id="69"/>
      <w:bookmarkStart w:id="70" w:name="DIS_MARK_IS_ZERO_01_2"/>
      <w:r>
        <w:rPr>
          <w:rFonts w:hint="eastAsia" w:ascii="仿宋" w:hAnsi="仿宋" w:eastAsia="仿宋" w:cs="仿宋"/>
        </w:rPr>
        <w:t>与上年决算数相同。</w:t>
      </w:r>
      <w:bookmarkEnd w:id="70"/>
      <w:bookmarkStart w:id="71" w:name="END_IS_ZERO_01_2"/>
      <w:bookmarkEnd w:id="71"/>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11.71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11.14</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95.13</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，与上年相比增加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仿宋" w:hAnsi="仿宋" w:eastAsia="仿宋" w:cs="仿宋"/>
          <w:sz w:val="32"/>
          <w:szCs w:val="32"/>
        </w:rPr>
        <w:t>与上年决算数相同</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3.98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62.81</w:t>
      </w:r>
      <w:r>
        <w:rPr>
          <w:rFonts w:hint="eastAsia" w:ascii="Times New Roman" w:hAnsi="Times New Roman" w:eastAsia="仿宋_GB2312"/>
          <w:sz w:val="32"/>
          <w:szCs w:val="32"/>
        </w:rPr>
        <w:t>%，决算数小于预算数的主要原因是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1.48</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37.19</w:t>
      </w:r>
      <w:r>
        <w:rPr>
          <w:rFonts w:hint="eastAsia" w:ascii="Times New Roman" w:hAnsi="Times New Roman" w:eastAsia="仿宋_GB2312"/>
          <w:sz w:val="32"/>
          <w:szCs w:val="32"/>
        </w:rPr>
        <w:t>%,减少主要原因是</w:t>
      </w:r>
      <w:r>
        <w:rPr>
          <w:rFonts w:hint="eastAsia" w:ascii="仿宋" w:hAnsi="仿宋" w:eastAsia="仿宋" w:cs="仿宋"/>
          <w:sz w:val="32"/>
          <w:szCs w:val="32"/>
        </w:rPr>
        <w:t>严格管理、厉行节约，逐步压减开支</w:t>
      </w:r>
      <w:r>
        <w:rPr>
          <w:rFonts w:hint="eastAsia" w:ascii="Times New Roman" w:hAnsi="Times New Roman" w:eastAsia="仿宋_GB2312"/>
          <w:sz w:val="32"/>
          <w:szCs w:val="32"/>
        </w:rPr>
        <w:t>。</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11.14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81.73</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18.34</w:t>
      </w:r>
      <w:r>
        <w:rPr>
          <w:rFonts w:hint="eastAsia" w:ascii="Times New Roman" w:hAnsi="Times New Roman" w:eastAsia="仿宋_GB2312"/>
          <w:sz w:val="32"/>
          <w:szCs w:val="32"/>
        </w:rPr>
        <w:t>%。其中：</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2"/>
        <w:tabs>
          <w:tab w:val="left" w:pos="3864"/>
          <w:tab w:val="left" w:pos="6248"/>
          <w:tab w:val="left" w:pos="7386"/>
        </w:tabs>
        <w:overflowPunct w:val="0"/>
        <w:spacing w:before="1" w:line="360" w:lineRule="auto"/>
        <w:ind w:left="420" w:leftChars="200" w:right="420" w:firstLine="659" w:firstLineChars="206"/>
        <w:rPr>
          <w:rFonts w:ascii="Times New Roman" w:hAnsi="Times New Roman" w:eastAsia="仿宋_GB2312"/>
          <w:sz w:val="32"/>
          <w:szCs w:val="32"/>
          <w:highlight w:val="none"/>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11.14</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全年共接待来访团组</w:t>
      </w:r>
      <w:r>
        <w:rPr>
          <w:rFonts w:hint="eastAsia" w:ascii="Times New Roman" w:hAnsi="Times New Roman" w:eastAsia="仿宋_GB2312"/>
          <w:sz w:val="32"/>
          <w:szCs w:val="32"/>
          <w:highlight w:val="none"/>
          <w:lang w:val="en-US" w:eastAsia="zh-CN"/>
        </w:rPr>
        <w:t>91</w:t>
      </w:r>
      <w:r>
        <w:rPr>
          <w:rFonts w:hint="eastAsia" w:ascii="Times New Roman" w:hAnsi="Times New Roman" w:eastAsia="仿宋_GB2312"/>
          <w:sz w:val="32"/>
          <w:szCs w:val="32"/>
          <w:highlight w:val="none"/>
        </w:rPr>
        <w:t>个、来宾</w:t>
      </w:r>
      <w:r>
        <w:rPr>
          <w:rFonts w:hint="eastAsia" w:ascii="Times New Roman" w:hAnsi="Times New Roman" w:eastAsia="仿宋_GB2312"/>
          <w:sz w:val="32"/>
          <w:szCs w:val="32"/>
          <w:highlight w:val="none"/>
          <w:lang w:val="en-US" w:eastAsia="zh-CN"/>
        </w:rPr>
        <w:t>1355</w:t>
      </w:r>
      <w:r>
        <w:rPr>
          <w:rFonts w:hint="eastAsia" w:ascii="Times New Roman" w:hAnsi="Times New Roman" w:eastAsia="仿宋_GB2312"/>
          <w:sz w:val="32"/>
          <w:szCs w:val="32"/>
          <w:highlight w:val="none"/>
        </w:rPr>
        <w:t>人次，主要是</w:t>
      </w:r>
      <w:bookmarkStart w:id="72" w:name="THERR_GWJDF_AMT_ZYYY"/>
      <w:r>
        <w:rPr>
          <w:rFonts w:hint="eastAsia" w:ascii="仿宋" w:hAnsi="仿宋" w:eastAsia="仿宋" w:cs="仿宋"/>
          <w:highlight w:val="none"/>
        </w:rPr>
        <w:t>学校接待上级领导到学校检查工作用餐</w:t>
      </w:r>
      <w:bookmarkEnd w:id="72"/>
      <w:bookmarkStart w:id="73" w:name="END_THERR_GWJDF_AMT"/>
      <w:bookmarkEnd w:id="73"/>
      <w:r>
        <w:rPr>
          <w:rFonts w:hint="eastAsia" w:ascii="Times New Roman" w:hAnsi="Times New Roman" w:eastAsia="仿宋_GB2312"/>
          <w:sz w:val="32"/>
          <w:szCs w:val="32"/>
          <w:highlight w:val="none"/>
        </w:rPr>
        <w:t>接待支出。</w:t>
      </w:r>
    </w:p>
    <w:p>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highlight w:val="none"/>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w:t>
      </w:r>
      <w:r>
        <w:rPr>
          <w:rFonts w:hint="eastAsia" w:ascii="Times New Roman" w:hAnsi="Times New Roman" w:eastAsia="仿宋_GB2312"/>
          <w:sz w:val="32"/>
          <w:szCs w:val="32"/>
          <w:highlight w:val="none"/>
        </w:rPr>
        <w:t>其中：公务用车购置费</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w:t>
      </w:r>
      <w:r>
        <w:rPr>
          <w:rFonts w:hint="eastAsia" w:ascii="Times New Roman" w:hAnsi="Times New Roman" w:eastAsia="仿宋_GB2312"/>
          <w:color w:val="000000" w:themeColor="text1"/>
          <w:sz w:val="32"/>
          <w:szCs w:val="32"/>
          <w:highlight w:val="none"/>
          <w14:textFill>
            <w14:solidFill>
              <w14:schemeClr w14:val="tx1"/>
            </w14:solidFill>
          </w14:textFill>
        </w:rPr>
        <w:t>。</w:t>
      </w:r>
      <w:r>
        <w:rPr>
          <w:rFonts w:hint="eastAsia" w:ascii="Times New Roman" w:hAnsi="Times New Roman" w:eastAsia="仿宋_GB2312"/>
          <w:sz w:val="32"/>
          <w:szCs w:val="32"/>
          <w:highlight w:val="none"/>
        </w:rPr>
        <w:t>公务用车运行维护</w:t>
      </w:r>
      <w:r>
        <w:rPr>
          <w:rFonts w:hint="eastAsia" w:ascii="Times New Roman" w:hAnsi="Times New Roman" w:eastAsia="仿宋_GB2312"/>
          <w:sz w:val="32"/>
          <w:szCs w:val="32"/>
          <w:highlight w:val="none"/>
          <w:lang w:eastAsia="zh-CN"/>
        </w:rPr>
        <w:t>费</w:t>
      </w:r>
      <w:r>
        <w:rPr>
          <w:rFonts w:hint="eastAsia" w:ascii="Times New Roman" w:hAnsi="Times New Roman" w:eastAsia="仿宋_GB2312"/>
          <w:sz w:val="32"/>
          <w:szCs w:val="32"/>
          <w:highlight w:val="none"/>
          <w:lang w:val="en-US" w:eastAsia="zh-CN"/>
        </w:rPr>
        <w:t>2.5</w:t>
      </w:r>
      <w:r>
        <w:rPr>
          <w:rFonts w:hint="eastAsia" w:ascii="Times New Roman" w:hAnsi="Times New Roman" w:eastAsia="仿宋_GB2312"/>
          <w:sz w:val="32"/>
          <w:szCs w:val="32"/>
          <w:highlight w:val="none"/>
        </w:rPr>
        <w:t>万元，主要是</w:t>
      </w:r>
      <w:r>
        <w:rPr>
          <w:rFonts w:hint="eastAsia" w:ascii="Times New Roman" w:hAnsi="Times New Roman" w:eastAsia="仿宋_GB2312"/>
          <w:sz w:val="32"/>
          <w:szCs w:val="32"/>
          <w:highlight w:val="none"/>
          <w:lang w:eastAsia="zh-CN"/>
        </w:rPr>
        <w:t>用于学校各种检查用车</w:t>
      </w:r>
      <w:r>
        <w:rPr>
          <w:rFonts w:hint="eastAsia" w:ascii="Times New Roman" w:hAnsi="Times New Roman" w:eastAsia="仿宋_GB2312"/>
          <w:sz w:val="32"/>
          <w:szCs w:val="32"/>
          <w:highlight w:val="none"/>
        </w:rPr>
        <w:t>支出，截止</w:t>
      </w:r>
      <w:r>
        <w:rPr>
          <w:rFonts w:hint="eastAsia" w:ascii="Times New Roman" w:hAnsi="Times New Roman" w:eastAsia="仿宋_GB2312"/>
          <w:sz w:val="32"/>
          <w:szCs w:val="32"/>
          <w:highlight w:val="none"/>
          <w:lang w:eastAsia="zh-CN"/>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年12月31日，我单位开支财政拨款的公务用车保有量为</w:t>
      </w:r>
      <w:r>
        <w:rPr>
          <w:rFonts w:hint="eastAsia" w:ascii="Times New Roman" w:hAnsi="Times New Roman" w:eastAsia="仿宋_GB2312"/>
          <w:sz w:val="32"/>
          <w:szCs w:val="32"/>
          <w:highlight w:val="none"/>
          <w:lang w:val="en-US" w:eastAsia="zh-CN"/>
        </w:rPr>
        <w:t>1</w:t>
      </w:r>
      <w:r>
        <w:rPr>
          <w:rFonts w:hint="eastAsia" w:ascii="Times New Roman" w:hAnsi="Times New Roman" w:eastAsia="仿宋_GB2312"/>
          <w:sz w:val="32"/>
          <w:szCs w:val="32"/>
          <w:highlight w:val="none"/>
        </w:rPr>
        <w:t>辆。</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3209.98</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3209.98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3209.98</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其中：其他国有土地使用权出让收入安排的支出为</w:t>
      </w:r>
      <w:r>
        <w:rPr>
          <w:rFonts w:hint="eastAsia" w:ascii="Times New Roman" w:hAnsi="Times New Roman" w:eastAsia="仿宋_GB2312"/>
          <w:sz w:val="32"/>
          <w:szCs w:val="32"/>
          <w:lang w:val="en-US" w:eastAsia="zh-CN"/>
        </w:rPr>
        <w:t>2966.01万元；其他政府性基金债务收入安排的支出为243.97万元。</w:t>
      </w:r>
    </w:p>
    <w:p>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eastAsia="zh-CN"/>
        </w:rPr>
        <w:t>教育局</w:t>
      </w:r>
      <w:r>
        <w:rPr>
          <w:rFonts w:hint="eastAsia" w:ascii="Times New Roman" w:hAnsi="Times New Roman" w:eastAsia="仿宋_GB2312"/>
          <w:sz w:val="32"/>
          <w:szCs w:val="32"/>
          <w:highlight w:val="none"/>
        </w:rPr>
        <w:t>本</w:t>
      </w:r>
      <w:r>
        <w:rPr>
          <w:rFonts w:hint="eastAsia" w:ascii="Times New Roman" w:hAnsi="Times New Roman" w:eastAsia="仿宋_GB2312"/>
          <w:sz w:val="32"/>
          <w:szCs w:val="32"/>
          <w:highlight w:val="none"/>
          <w:lang w:eastAsia="zh-CN"/>
        </w:rPr>
        <w:t>级202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年度机关运行经费支出</w:t>
      </w:r>
      <w:r>
        <w:rPr>
          <w:rFonts w:hint="eastAsia" w:ascii="Times New Roman" w:hAnsi="Times New Roman" w:eastAsia="仿宋_GB2312"/>
          <w:sz w:val="32"/>
          <w:szCs w:val="32"/>
          <w:highlight w:val="none"/>
          <w:lang w:val="en-US" w:eastAsia="zh-CN"/>
        </w:rPr>
        <w:t>129.7</w:t>
      </w:r>
      <w:r>
        <w:rPr>
          <w:rFonts w:hint="eastAsia" w:ascii="Times New Roman" w:hAnsi="Times New Roman" w:eastAsia="仿宋_GB2312"/>
          <w:sz w:val="32"/>
          <w:szCs w:val="32"/>
          <w:highlight w:val="none"/>
        </w:rPr>
        <w:t>万元。</w:t>
      </w:r>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十、一般性支出情况说明</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hint="eastAsia" w:ascii="Times New Roman" w:hAnsi="Times New Roman" w:eastAsia="仿宋_GB2312"/>
          <w:sz w:val="32"/>
          <w:szCs w:val="32"/>
          <w:highlight w:val="none"/>
          <w:lang w:eastAsia="zh-CN"/>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年本部门开支会议费</w:t>
      </w:r>
      <w:r>
        <w:rPr>
          <w:rFonts w:hint="eastAsia" w:ascii="Times New Roman" w:hAnsi="Times New Roman" w:eastAsia="仿宋_GB2312"/>
          <w:sz w:val="32"/>
          <w:szCs w:val="32"/>
          <w:highlight w:val="none"/>
          <w:lang w:val="en-US" w:eastAsia="zh-CN"/>
        </w:rPr>
        <w:t>14.72</w:t>
      </w:r>
      <w:r>
        <w:rPr>
          <w:rFonts w:hint="eastAsia" w:ascii="Times New Roman" w:hAnsi="Times New Roman" w:eastAsia="仿宋_GB2312"/>
          <w:sz w:val="32"/>
          <w:szCs w:val="32"/>
          <w:highlight w:val="none"/>
        </w:rPr>
        <w:t>万元，用于</w:t>
      </w:r>
      <w:bookmarkStart w:id="74" w:name="MEET_FUNDS_COUNT"/>
      <w:r>
        <w:rPr>
          <w:rFonts w:hint="eastAsia" w:ascii="仿宋" w:hAnsi="仿宋" w:eastAsia="仿宋" w:cs="仿宋"/>
          <w:color w:val="000000"/>
          <w:highlight w:val="none"/>
          <w:shd w:val="clear" w:color="auto" w:fill="FFFFFF"/>
        </w:rPr>
        <w:t>教育系统各级各类</w:t>
      </w:r>
      <w:bookmarkEnd w:id="74"/>
      <w:r>
        <w:rPr>
          <w:rFonts w:hint="eastAsia" w:ascii="仿宋" w:hAnsi="仿宋" w:eastAsia="仿宋" w:cs="仿宋"/>
          <w:color w:val="000000"/>
          <w:highlight w:val="none"/>
          <w:shd w:val="clear" w:color="auto" w:fill="FFFFFF"/>
          <w:lang w:eastAsia="zh-CN"/>
        </w:rPr>
        <w:t>会议</w:t>
      </w:r>
      <w:r>
        <w:rPr>
          <w:rFonts w:hint="eastAsia" w:ascii="Times New Roman" w:hAnsi="Times New Roman" w:eastAsia="仿宋_GB2312"/>
          <w:sz w:val="32"/>
          <w:szCs w:val="32"/>
          <w:highlight w:val="none"/>
        </w:rPr>
        <w:t>，人数</w:t>
      </w:r>
      <w:r>
        <w:rPr>
          <w:rFonts w:hint="eastAsia" w:ascii="Times New Roman" w:hAnsi="Times New Roman" w:eastAsia="仿宋_GB2312"/>
          <w:sz w:val="32"/>
          <w:szCs w:val="32"/>
          <w:highlight w:val="none"/>
          <w:lang w:val="en-US" w:eastAsia="zh-CN"/>
        </w:rPr>
        <w:t>3215</w:t>
      </w:r>
      <w:r>
        <w:rPr>
          <w:rFonts w:hint="eastAsia" w:ascii="Times New Roman" w:hAnsi="Times New Roman" w:eastAsia="仿宋_GB2312"/>
          <w:sz w:val="32"/>
          <w:szCs w:val="32"/>
          <w:highlight w:val="none"/>
        </w:rPr>
        <w:t>人，</w:t>
      </w:r>
      <w:r>
        <w:rPr>
          <w:rFonts w:hint="eastAsia" w:ascii="Times New Roman" w:hAnsi="Times New Roman" w:eastAsia="仿宋_GB2312"/>
          <w:sz w:val="32"/>
          <w:szCs w:val="32"/>
        </w:rPr>
        <w:t>内容为</w:t>
      </w:r>
      <w:r>
        <w:rPr>
          <w:rFonts w:hint="eastAsia" w:ascii="仿宋" w:hAnsi="仿宋" w:eastAsia="仿宋" w:cs="仿宋"/>
          <w:color w:val="000000"/>
          <w:shd w:val="clear" w:color="auto" w:fill="FFFFFF"/>
        </w:rPr>
        <w:t>教育工作会议、安全工作会议、开学工作会议、考试工作会议、各类表彰会议等</w:t>
      </w:r>
      <w:r>
        <w:rPr>
          <w:rFonts w:hint="eastAsia" w:ascii="Times New Roman" w:hAnsi="Times New Roman" w:eastAsia="仿宋_GB2312"/>
          <w:sz w:val="32"/>
          <w:szCs w:val="32"/>
        </w:rPr>
        <w:t>；</w:t>
      </w:r>
      <w:r>
        <w:rPr>
          <w:rFonts w:hint="eastAsia" w:ascii="Times New Roman" w:hAnsi="Times New Roman" w:eastAsia="仿宋_GB2312"/>
          <w:sz w:val="32"/>
          <w:szCs w:val="32"/>
          <w:highlight w:val="none"/>
        </w:rPr>
        <w:t>开支培训费</w:t>
      </w:r>
      <w:r>
        <w:rPr>
          <w:rFonts w:hint="eastAsia" w:ascii="Times New Roman" w:hAnsi="Times New Roman" w:eastAsia="仿宋_GB2312"/>
          <w:sz w:val="32"/>
          <w:szCs w:val="32"/>
          <w:highlight w:val="none"/>
          <w:lang w:val="en-US" w:eastAsia="zh-CN"/>
        </w:rPr>
        <w:t>1250.6</w:t>
      </w:r>
      <w:r>
        <w:rPr>
          <w:rFonts w:hint="eastAsia" w:ascii="Times New Roman" w:hAnsi="Times New Roman" w:eastAsia="仿宋_GB2312"/>
          <w:sz w:val="32"/>
          <w:szCs w:val="32"/>
          <w:highlight w:val="none"/>
        </w:rPr>
        <w:t>万元，用于开展</w:t>
      </w:r>
      <w:r>
        <w:rPr>
          <w:rFonts w:hint="eastAsia" w:ascii="仿宋" w:hAnsi="仿宋" w:eastAsia="仿宋" w:cs="仿宋"/>
          <w:color w:val="000000"/>
          <w:highlight w:val="none"/>
          <w:shd w:val="clear" w:color="auto" w:fill="FFFFFF"/>
        </w:rPr>
        <w:t>教师各类</w:t>
      </w:r>
      <w:r>
        <w:rPr>
          <w:rFonts w:hint="eastAsia" w:ascii="Times New Roman" w:hAnsi="Times New Roman" w:eastAsia="仿宋_GB2312"/>
          <w:sz w:val="32"/>
          <w:szCs w:val="32"/>
          <w:highlight w:val="none"/>
        </w:rPr>
        <w:t>培训，人数</w:t>
      </w:r>
      <w:r>
        <w:rPr>
          <w:rFonts w:hint="eastAsia" w:ascii="Times New Roman" w:hAnsi="Times New Roman" w:eastAsia="仿宋_GB2312"/>
          <w:sz w:val="32"/>
          <w:szCs w:val="32"/>
          <w:highlight w:val="none"/>
          <w:lang w:val="en-US" w:eastAsia="zh-CN"/>
        </w:rPr>
        <w:t>33150</w:t>
      </w:r>
      <w:r>
        <w:rPr>
          <w:rFonts w:hint="eastAsia" w:ascii="Times New Roman" w:hAnsi="Times New Roman" w:eastAsia="仿宋_GB2312"/>
          <w:sz w:val="32"/>
          <w:szCs w:val="32"/>
          <w:highlight w:val="none"/>
        </w:rPr>
        <w:t>人</w:t>
      </w:r>
      <w:r>
        <w:rPr>
          <w:rFonts w:hint="eastAsia" w:ascii="Times New Roman" w:hAnsi="Times New Roman" w:eastAsia="仿宋_GB2312"/>
          <w:sz w:val="32"/>
          <w:szCs w:val="32"/>
          <w:highlight w:val="none"/>
          <w:lang w:eastAsia="zh-CN"/>
        </w:rPr>
        <w:t>次</w:t>
      </w:r>
      <w:r>
        <w:rPr>
          <w:rFonts w:hint="eastAsia" w:ascii="Times New Roman" w:hAnsi="Times New Roman" w:eastAsia="仿宋_GB2312"/>
          <w:sz w:val="32"/>
          <w:szCs w:val="32"/>
          <w:highlight w:val="none"/>
        </w:rPr>
        <w:t>，内容</w:t>
      </w:r>
      <w:r>
        <w:rPr>
          <w:rFonts w:hint="eastAsia" w:ascii="Times New Roman" w:hAnsi="Times New Roman" w:eastAsia="仿宋_GB2312"/>
          <w:sz w:val="32"/>
          <w:szCs w:val="32"/>
        </w:rPr>
        <w:t>为</w:t>
      </w:r>
      <w:bookmarkStart w:id="75" w:name="TRAIN_FUNDS_PXNR"/>
      <w:r>
        <w:rPr>
          <w:rFonts w:hint="eastAsia" w:ascii="仿宋" w:hAnsi="仿宋" w:eastAsia="仿宋" w:cs="仿宋"/>
          <w:color w:val="000000"/>
          <w:shd w:val="clear" w:color="auto" w:fill="FFFFFF"/>
        </w:rPr>
        <w:t>校本培训、学科培训、班主任培训、教师能力提高培训、国培项目等培训工作</w:t>
      </w:r>
      <w:bookmarkEnd w:id="75"/>
      <w:bookmarkStart w:id="76" w:name="END_TRAIN_FUNDS_AMT"/>
      <w:bookmarkEnd w:id="76"/>
      <w:r>
        <w:rPr>
          <w:rFonts w:hint="eastAsia" w:ascii="仿宋" w:hAnsi="仿宋" w:eastAsia="仿宋" w:cs="仿宋"/>
        </w:rPr>
        <w:t>；</w:t>
      </w:r>
      <w:bookmarkStart w:id="77" w:name="START_NO"/>
      <w:bookmarkEnd w:id="77"/>
      <w:bookmarkStart w:id="78" w:name="END_YES"/>
      <w:bookmarkEnd w:id="78"/>
      <w:bookmarkStart w:id="79" w:name="YES_NO"/>
      <w:bookmarkEnd w:id="79"/>
      <w:bookmarkStart w:id="80" w:name="DIS_MARK_YES"/>
      <w:bookmarkEnd w:id="80"/>
      <w:bookmarkStart w:id="81" w:name="START_YES"/>
      <w:bookmarkEnd w:id="81"/>
      <w:bookmarkStart w:id="82" w:name="DIS_MARK_NO"/>
      <w:r>
        <w:rPr>
          <w:rFonts w:hint="eastAsia" w:ascii="仿宋" w:hAnsi="仿宋" w:eastAsia="仿宋" w:cs="仿宋_GB2312"/>
          <w:color w:val="000000"/>
          <w:shd w:val="clear" w:color="auto" w:fill="FFFFFF"/>
        </w:rPr>
        <w:t>未举办节庆、晚会、论坛、赛事活动</w:t>
      </w:r>
      <w:r>
        <w:rPr>
          <w:rFonts w:hint="eastAsia" w:ascii="仿宋" w:hAnsi="仿宋" w:eastAsia="仿宋" w:cs="仿宋"/>
        </w:rPr>
        <w:t>。</w:t>
      </w:r>
      <w:bookmarkEnd w:id="82"/>
      <w:bookmarkStart w:id="83" w:name="END_NO"/>
      <w:bookmarkEnd w:id="83"/>
    </w:p>
    <w:p>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highlight w:val="none"/>
        </w:rPr>
      </w:pPr>
      <w:r>
        <w:rPr>
          <w:rFonts w:hint="eastAsia" w:ascii="黑体" w:hAnsi="黑体" w:eastAsia="黑体" w:cs="黑体"/>
          <w:b w:val="0"/>
          <w:bCs/>
          <w:sz w:val="32"/>
          <w:szCs w:val="32"/>
          <w:highlight w:val="none"/>
        </w:rPr>
        <w:t>十一、关于政府采购支出说明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highlight w:val="none"/>
        </w:rPr>
        <w:t>本部门</w:t>
      </w:r>
      <w:r>
        <w:rPr>
          <w:rFonts w:hint="eastAsia" w:ascii="Times New Roman" w:hAnsi="Times New Roman" w:eastAsia="仿宋_GB2312"/>
          <w:sz w:val="32"/>
          <w:szCs w:val="32"/>
          <w:highlight w:val="none"/>
          <w:lang w:eastAsia="zh-CN"/>
        </w:rPr>
        <w:t>202</w:t>
      </w: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年度政府采购支出总额</w:t>
      </w:r>
      <w:r>
        <w:rPr>
          <w:rFonts w:hint="eastAsia" w:ascii="Times New Roman" w:hAnsi="Times New Roman" w:eastAsia="仿宋_GB2312"/>
          <w:sz w:val="32"/>
          <w:szCs w:val="32"/>
          <w:highlight w:val="none"/>
          <w:lang w:val="en-US" w:eastAsia="zh-CN"/>
        </w:rPr>
        <w:t>3411</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rPr>
        <w:t>，其中：政府采购货物支出</w:t>
      </w:r>
      <w:r>
        <w:rPr>
          <w:rFonts w:hint="eastAsia" w:ascii="Times New Roman" w:hAnsi="Times New Roman" w:eastAsia="仿宋_GB2312"/>
          <w:sz w:val="32"/>
          <w:szCs w:val="32"/>
          <w:lang w:val="en-US" w:eastAsia="zh-CN"/>
        </w:rPr>
        <w:t>2142</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342</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927</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2918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85.5</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2147</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73.6</w:t>
      </w:r>
      <w:r>
        <w:rPr>
          <w:rFonts w:hint="eastAsia" w:ascii="Times New Roman" w:hAnsi="Times New Roman" w:eastAsia="仿宋_GB2312"/>
          <w:color w:val="auto"/>
          <w:sz w:val="32"/>
          <w:szCs w:val="32"/>
        </w:rPr>
        <w:t>%。</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十二、关于国有资产占用情况说明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教育系统</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w:t>
      </w:r>
      <w:r>
        <w:rPr>
          <w:rFonts w:hint="eastAsia" w:ascii="仿宋" w:hAnsi="仿宋" w:eastAsia="仿宋" w:cs="仿宋"/>
          <w:sz w:val="32"/>
          <w:szCs w:val="32"/>
        </w:rPr>
        <w:t>按照规定配备的公务</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辆，其他用车主要是</w:t>
      </w:r>
      <w:bookmarkStart w:id="84" w:name="GYZC_TOTAL_QTCL_YT"/>
      <w:r>
        <w:rPr>
          <w:rFonts w:hint="eastAsia" w:ascii="仿宋" w:hAnsi="仿宋" w:eastAsia="仿宋" w:cs="仿宋"/>
          <w:sz w:val="32"/>
          <w:szCs w:val="32"/>
        </w:rPr>
        <w:t>用于下学校检查用车</w:t>
      </w:r>
      <w:bookmarkEnd w:id="84"/>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2"/>
        <w:tabs>
          <w:tab w:val="left" w:pos="3864"/>
          <w:tab w:val="left" w:pos="6248"/>
          <w:tab w:val="left" w:pos="7386"/>
        </w:tabs>
        <w:overflowPunct w:val="0"/>
        <w:spacing w:before="1" w:line="360" w:lineRule="auto"/>
        <w:ind w:left="420" w:leftChars="200" w:right="420" w:firstLine="659" w:firstLineChars="206"/>
        <w:rPr>
          <w:rFonts w:hint="eastAsia" w:ascii="仿宋" w:hAnsi="仿宋" w:eastAsia="仿宋" w:cs="仿宋"/>
        </w:rPr>
      </w:pPr>
      <w:r>
        <w:rPr>
          <w:rFonts w:ascii="仿宋" w:hAnsi="仿宋" w:eastAsia="仿宋" w:cs="仿宋"/>
        </w:rPr>
        <w:t>本部门预算绩效管理开展情况、绩效目标和绩效评价报告等见附件。</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根据年初工作规划及财政预算计划，认真履职、强化管理，较好地完成了年度工作目标。通过加强预算收支管理、不断建立健全内部管理制度、理清内部管理流程，部门整体支出管理情况得到有效提升，自评结果良好。</w:t>
      </w:r>
    </w:p>
    <w:p>
      <w:pPr>
        <w:ind w:firstLine="960" w:firstLineChars="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目标管理。内部财务管理制度健全，制定工作目标与项目质量要求标准；专项资金专款专用，支出报销审批手续完备，资金拨付审批程序完整；全面完成了年初工作计划，重大事项或项目的重大调整均经过集体研究，并实行常态化财务检查和工作督查，确保各项工作有力有序有效推进。</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优化支出结构。严控三公经费支出，压缩一般性支出，坚决抵制铺张浪费行为，降低单位运行成本，合理调度财政资金，保证单位机构正常的工作运转，实现财政资金利益最大化。</w:t>
      </w:r>
    </w:p>
    <w:p>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预算绩效管理重要性认识有待进一步提高。预算绩效管理工作具有政策性强、专业性强、涉及面广，操作难度大等特点，经验不足。预算编制不够明确和细化，预算编制的合理性需要提高，预算执行力度还要进一步加强。部分预算资金支付进度稍缓，预算执行率降低，绩效目标设置有待进一步优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预算编制还不够精准，因预算编制时间与下一年度重点工作安排时间存在差异等原因，导致预决算数据存在差异。</w:t>
      </w:r>
    </w:p>
    <w:p>
      <w:pPr>
        <w:pStyle w:val="14"/>
        <w:jc w:val="center"/>
        <w:rPr>
          <w:sz w:val="72"/>
          <w:szCs w:val="72"/>
        </w:rPr>
      </w:pPr>
    </w:p>
    <w:p>
      <w:pPr>
        <w:pStyle w:val="14"/>
        <w:jc w:val="center"/>
        <w:rPr>
          <w:sz w:val="72"/>
          <w:szCs w:val="72"/>
        </w:rPr>
      </w:pPr>
    </w:p>
    <w:p>
      <w:pPr>
        <w:pStyle w:val="14"/>
        <w:jc w:val="both"/>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tabs>
          <w:tab w:val="left" w:pos="360"/>
        </w:tabs>
        <w:spacing w:line="360" w:lineRule="auto"/>
        <w:ind w:left="420" w:leftChars="200" w:firstLine="675" w:firstLineChars="211"/>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1．财政拨款收入：指单位本年度从同级财政部门取得的各类财政拨款。</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2．上级补助收入：指事业单位从主管部门和上级单位取得的非财政补助收入。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8．项目支出：指在为完成特定的工作任务和事业发展目标所发生的支出。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9．基本支出：指为保障机构正常运转、完成日常工作任务而发生的支出，包括人员经费和公用经费。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10．年末结转和结余资金：指本年度或以前年度预算安排、因客观条件发生变化无法按原计划实施，需要延迟到以后年度按有关规定继续使用的资金。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11．结余分配：指事业单位按规定对非财政拨款结余资金提取的专用基金、缴纳的所得税和转入非财政拨款结余等。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12．年初结转和结余：指单位上年结转本年使用的基本支出结转、项目支出结转和结余和经营结余。</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13．使用非财政拨款结余：指事业单位使用非财政拨款结余（原事业基金）弥补当年收支差额的数额。</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14．其他收入：指单位取得的除上述“财政拨款收入”、“事业收入”、“经营收入”等以外的各项收入。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15．事业收入：指事业单位开展专业业务活动及其辅助活动取得的收入，事业单位收到的财政专户实际核拨的教育收费等资金在此反映。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16．经营收入：指事业单位在专业业务活动及其辅助活动之外开展非独立核算经营活动取得的收入。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17．附属单位上缴收入：指事业单位附属独立核算单位按照有关规定上缴的收入。</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18．一般公共服务支出（类）政府办公厅（室）及相关机构事务（款）其他政府办公厅（室）及相关机构事务支出（项）：反映除上述项目以外的其他政府办公厅（室）及相关机构事 务支出。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19．教育支出（类）教育管理事务（款）行政运行（项）：反映行政单位（包括实行公务员管理的事业单位）的基本支出。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20．教育支出（类）普通教育（款）学前教育（项）：反映各部门举办的学前教育支出。政府各部门对社会组织等举办的幼儿园的资助，如捐赠、补贴等，也在本科目中反映。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21．教育支出（类）普通教育（款）小学教育（项）：反映各部门举办的小学教育支出。政府各部门对社会组织等举办的小学的资助，如捐赠、补贴等，也在本科目中反映。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22．教育支出（类）普通教育（款）初中教育（项）：反映各部门举办的初中教育支出。政府各部门对社会组织等举办的初中的资助，如捐赠、补贴等，也在本科目中反映。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23．教育支出（类）普通教育（款）高中教育（项）：反映各部门举办的普通高中教育支出。政府各部门对社会组织等举办的普通高中的资助，如捐赠、补贴等，也在本科目中反映。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24．教育支出（类）职业教育（款）中等职业教育（项）：反映各部门（不含人力资源社会保障部门）举办的中等职业教育支出。政府各部门对社会组织等举办的中等职业学校的资助，如捐赠、补贴等，也在本科目中反映。</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25．教育支出（类）进修及培训（款）干部教育（项）：反映各级党校、行政学院、社会主义学院、国家会计学院的支出。包括机构运转、招聘师资、举办各类培训班的支出等。</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26．社会保障和就业支出（类）行政事业单位养老支出（款）机关事业单位基本养老保险缴费支出（项）：反映机关事业单位实施养老保险制度由单位缴纳的基本养老保险费支出。</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27．社会保障和就业支出（类）抚恤（款）死亡抚恤（项）：反映按规定用于烈士和牺牲、病故人员家属的一次性和定期 抚恤金、丧葬补助费以及烈士褒扬金。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28．卫生健康支出（类）行政事业单位医疗（款）行政单位医疗（项）：反映财政部门安排的行政单位（包括实行公务员管理的事业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29．住房保障支出（类）住房改革支出（款）住房公积金（项）：反映行政事业单位按人力资源和社会保障部、财政部规定的 基本工资和津贴补贴以及规定比例为职工缴纳的住房公积金。</w:t>
      </w:r>
    </w:p>
    <w:p>
      <w:pPr>
        <w:tabs>
          <w:tab w:val="left" w:pos="360"/>
        </w:tabs>
        <w:spacing w:line="360" w:lineRule="auto"/>
        <w:ind w:left="420" w:leftChars="200" w:firstLine="358" w:firstLineChars="112"/>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ab/>
      </w:r>
      <w:r>
        <w:rPr>
          <w:rFonts w:hint="eastAsia" w:ascii="仿宋" w:hAnsi="仿宋" w:eastAsia="仿宋" w:cs="仿宋"/>
          <w:color w:val="000000"/>
          <w:sz w:val="32"/>
          <w:szCs w:val="32"/>
          <w:shd w:val="clear" w:color="auto" w:fill="FFFFFF"/>
        </w:rPr>
        <w:t>30．城乡社区支出（类）国有土地使用权出让收入安排的支出（款）征地和拆迁补偿支出（项）：反映新疆生产建设兵团和地方政府在征地和收购土地过程中 支付的土地补偿费、安置补助费、地上附着和青苗补偿费、拆 迁补偿费支出。</w:t>
      </w:r>
    </w:p>
    <w:p>
      <w:pPr>
        <w:pStyle w:val="3"/>
        <w:sectPr>
          <w:pgSz w:w="11906" w:h="16838"/>
          <w:pgMar w:top="1440" w:right="746" w:bottom="1440" w:left="720" w:header="851" w:footer="992" w:gutter="0"/>
          <w:pgNumType w:fmt="numberInDash"/>
          <w:cols w:space="720" w:num="1"/>
          <w:docGrid w:type="lines" w:linePitch="319" w:charSpace="0"/>
        </w:sect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p>
    <w:p>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4"/>
        <w:jc w:val="center"/>
        <w:rPr>
          <w:rFonts w:hint="eastAsia" w:ascii="方正小标宋_GBK" w:hAnsi="方正小标宋_GBK" w:eastAsia="方正小标宋_GBK" w:cs="方正小标宋_GBK"/>
          <w:sz w:val="70"/>
          <w:szCs w:val="70"/>
        </w:rPr>
      </w:pPr>
    </w:p>
    <w:p>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jc w:val="center"/>
        <w:rPr>
          <w:rFonts w:hint="eastAsia" w:ascii="仿宋_GB2312" w:hAnsi="仿宋_GB2312" w:eastAsia="仿宋_GB2312" w:cs="仿宋_GB2312"/>
          <w:b/>
          <w:bCs/>
          <w:sz w:val="44"/>
          <w:szCs w:val="44"/>
        </w:rPr>
      </w:pP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lang w:eastAsia="zh-CN"/>
        </w:rPr>
        <w:t>202</w:t>
      </w:r>
      <w:r>
        <w:rPr>
          <w:rFonts w:hint="eastAsia" w:ascii="仿宋_GB2312" w:hAnsi="仿宋_GB2312" w:eastAsia="仿宋_GB2312" w:cs="仿宋_GB2312"/>
          <w:b/>
          <w:bCs/>
          <w:sz w:val="44"/>
          <w:szCs w:val="44"/>
          <w:lang w:val="en-US" w:eastAsia="zh-CN"/>
        </w:rPr>
        <w:t>5</w:t>
      </w:r>
      <w:r>
        <w:rPr>
          <w:rFonts w:hint="eastAsia" w:ascii="仿宋_GB2312" w:hAnsi="仿宋_GB2312" w:eastAsia="仿宋_GB2312" w:cs="仿宋_GB2312"/>
          <w:b/>
          <w:bCs/>
          <w:sz w:val="44"/>
          <w:szCs w:val="44"/>
        </w:rPr>
        <w:t>年度道县教育</w:t>
      </w:r>
      <w:r>
        <w:rPr>
          <w:rFonts w:hint="eastAsia" w:ascii="仿宋_GB2312" w:hAnsi="仿宋_GB2312" w:eastAsia="仿宋_GB2312" w:cs="仿宋_GB2312"/>
          <w:b/>
          <w:bCs/>
          <w:sz w:val="44"/>
          <w:szCs w:val="44"/>
          <w:lang w:eastAsia="zh-CN"/>
        </w:rPr>
        <w:t>系统</w:t>
      </w:r>
      <w:r>
        <w:rPr>
          <w:rFonts w:hint="eastAsia" w:ascii="仿宋_GB2312" w:hAnsi="仿宋_GB2312" w:eastAsia="仿宋_GB2312" w:cs="仿宋_GB2312"/>
          <w:b/>
          <w:bCs/>
          <w:sz w:val="44"/>
          <w:szCs w:val="44"/>
        </w:rPr>
        <w:t>部门整体支出绩效</w:t>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自评报告</w:t>
      </w:r>
    </w:p>
    <w:p>
      <w:pPr>
        <w:pStyle w:val="2"/>
        <w:rPr>
          <w:rFonts w:hint="eastAsia"/>
        </w:rPr>
      </w:pP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highlight w:val="none"/>
        </w:rPr>
        <w:t>《道县人民政府办公室关于全面实施预算绩效管理的实施意见》（道政办发〔2021〕11号）和《关于做好202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年度部门整体（专项）支出绩效自评并挂网公示的通知》（道财绩〔202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号）等文件精神，遵循“科学性、规范性、客观性和公正性”的原则，按照公认的绩效评价方法，我局积极组织，对202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年度本</w:t>
      </w:r>
      <w:r>
        <w:rPr>
          <w:rFonts w:hint="eastAsia" w:ascii="仿宋_GB2312" w:hAnsi="仿宋_GB2312" w:eastAsia="仿宋_GB2312" w:cs="仿宋_GB2312"/>
          <w:sz w:val="32"/>
          <w:szCs w:val="32"/>
          <w:highlight w:val="none"/>
          <w:lang w:eastAsia="zh-CN"/>
        </w:rPr>
        <w:t>系统</w:t>
      </w:r>
      <w:r>
        <w:rPr>
          <w:rFonts w:hint="eastAsia" w:ascii="仿宋_GB2312" w:hAnsi="仿宋_GB2312" w:eastAsia="仿宋_GB2312" w:cs="仿宋_GB2312"/>
          <w:sz w:val="32"/>
          <w:szCs w:val="32"/>
          <w:highlight w:val="none"/>
        </w:rPr>
        <w:t>整体支出绩效进行了绩效自评，现将绩效评价报告如下：</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一、基本情况</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（一）部门基本情况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1、职责职能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（1）贯彻落实国家、省、市关于教育工作的法律、法规和政策，拟订全县教育改革和发展战略规划，并组织实施。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（2）负责各级各类教育的统筹规划和协调管理，组织实施各级各类学校设置标准，指导各级各类学校教育教学改革，负责教育基本信息的统计、分析和发布。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推进义务教育均衡发展和促进教育公平，负责义务教育、高中教育、幼儿教育和特殊教育的管理、指导与协调。落实基础教育教学基本要求，制定全县中小学和职业学校招生计划，组织招生考试和录取工作，全面实施素质教育。</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（4）指导以就业为导向的职业教育的发展与改革，执行教学指导文件和教学评估标准。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（5）负责组织大中专招生考试、成人高校招生考试、高等教育自学考试和自学考试学籍管理工作；负责大中专院校毕业生就业指导、服务和管理工作。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统筹管理本部门教育经费；参与拟订全县教育经费筹措、教育拨款、教育基建投资办法与措施；负责统计和监测全县教育经费的投入和使用情况；指导、管理全县资助经济困难学生工作；负责组织实施教育系统内部审计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（7）统筹指导少数民族教育工作。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（8）负责全县中、小学校的思想政治工作、德育工作、体育卫生与艺术教育以及国防教育工作，指导和协调教育系统的稳定工作。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依据《教师法》规定，在职责范围内，主管全县教师工作；贯彻实施各级各类教师资格标准，配合有关部门组织实施各级各类学校编制标准；负责普通中小学（含职业学校）、中等专业学校、幼儿园教师招聘录用、资格认定、培养培训、专业技术职务评聘、调动交流、工资福利、考核奖惩和新教师的转正定级工作；按照干部管理权限和程序，考核、呈报、任免全县各级各类学校的领导干部；；指导有关教育学会、基金会、关工委、退（教）协、团委、妇联等社会组织的工作；负责教育系统人才队伍建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（10）负责组织全县教育督导工作。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（11）统筹管理全县语言文字工作，拟定全县语言文字规划并组织实施，负责指导推广普通话和规范字及普通话师资培训工作。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（13）负责建立和完善全县教育系统学校安全工作监督管理体系，对全县各级各类学校法制安全管理工作实施监督管理；综合协调、指导、督促校（园）建立和完善安全工作责任管理制度。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（14）承办县人民政府交办的其他事项。</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2、机构情况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教育局设内设机构及直属事业单位包括：县委教育工作领导小组秘书组秘书股、综合股、人事股、行政审批股、计划财务股、基础教育股、职业教育和成人教育股、教育督导股、政策法规与学校安全管理股、体育卫生与艺术教育股、党建办公室、审计股、县委教育工委纪检（监察）办公室、道县教师发展中心、道县教育联合工会、道县教育科学研究中心、道县招生考试中心、道县电化教学站、道县民办教育事务中心、道县学生资助中心、道县教育事务协调服务中心、学校基础建设服务中心。</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全县有</w:t>
      </w:r>
      <w:r>
        <w:rPr>
          <w:rFonts w:hint="eastAsia" w:ascii="仿宋_GB2312" w:hAnsi="仿宋_GB2312" w:eastAsia="仿宋_GB2312" w:cs="仿宋_GB2312"/>
          <w:sz w:val="32"/>
          <w:szCs w:val="32"/>
          <w:highlight w:val="none"/>
          <w:lang w:eastAsia="zh-CN"/>
        </w:rPr>
        <w:t>公民办</w:t>
      </w:r>
      <w:r>
        <w:rPr>
          <w:rFonts w:hint="eastAsia" w:ascii="仿宋_GB2312" w:hAnsi="仿宋_GB2312" w:eastAsia="仿宋_GB2312" w:cs="仿宋_GB2312"/>
          <w:sz w:val="32"/>
          <w:szCs w:val="32"/>
          <w:highlight w:val="none"/>
        </w:rPr>
        <w:t>各级各类学校和幼儿园及教育局共有</w:t>
      </w:r>
      <w:r>
        <w:rPr>
          <w:rFonts w:hint="eastAsia" w:ascii="仿宋_GB2312" w:hAnsi="仿宋_GB2312" w:eastAsia="仿宋_GB2312" w:cs="仿宋_GB2312"/>
          <w:sz w:val="32"/>
          <w:szCs w:val="32"/>
          <w:highlight w:val="none"/>
          <w:lang w:val="en-US" w:eastAsia="zh-CN"/>
        </w:rPr>
        <w:t>243</w:t>
      </w:r>
      <w:r>
        <w:rPr>
          <w:rFonts w:hint="eastAsia" w:ascii="仿宋_GB2312" w:hAnsi="仿宋_GB2312" w:eastAsia="仿宋_GB2312" w:cs="仿宋_GB2312"/>
          <w:sz w:val="32"/>
          <w:szCs w:val="32"/>
          <w:highlight w:val="none"/>
        </w:rPr>
        <w:t>个机构,其中:幼儿园</w:t>
      </w:r>
      <w:r>
        <w:rPr>
          <w:rFonts w:hint="eastAsia" w:ascii="仿宋_GB2312" w:hAnsi="仿宋_GB2312" w:eastAsia="仿宋_GB2312" w:cs="仿宋_GB2312"/>
          <w:sz w:val="32"/>
          <w:szCs w:val="32"/>
          <w:highlight w:val="none"/>
          <w:lang w:val="en-US" w:eastAsia="zh-CN"/>
        </w:rPr>
        <w:t>155</w:t>
      </w:r>
      <w:r>
        <w:rPr>
          <w:rFonts w:hint="eastAsia" w:ascii="仿宋_GB2312" w:hAnsi="仿宋_GB2312" w:eastAsia="仿宋_GB2312" w:cs="仿宋_GB2312"/>
          <w:sz w:val="32"/>
          <w:szCs w:val="32"/>
          <w:highlight w:val="none"/>
        </w:rPr>
        <w:t>个，高中</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个，小学4</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个，初中3</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个</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中等职业学校、教师进修学校、特殊教育学校、教育局各1个。全县在校学生1</w:t>
      </w:r>
      <w:r>
        <w:rPr>
          <w:rFonts w:hint="eastAsia" w:ascii="仿宋_GB2312" w:hAnsi="仿宋_GB2312" w:eastAsia="仿宋_GB2312" w:cs="仿宋_GB2312"/>
          <w:sz w:val="32"/>
          <w:szCs w:val="32"/>
          <w:highlight w:val="none"/>
          <w:lang w:val="en-US" w:eastAsia="zh-CN"/>
        </w:rPr>
        <w:t>12073</w:t>
      </w:r>
      <w:r>
        <w:rPr>
          <w:rFonts w:hint="eastAsia" w:ascii="仿宋_GB2312" w:hAnsi="仿宋_GB2312" w:eastAsia="仿宋_GB2312" w:cs="仿宋_GB2312"/>
          <w:sz w:val="32"/>
          <w:szCs w:val="32"/>
          <w:highlight w:val="none"/>
        </w:rPr>
        <w:t>人，全县教育系统编制数</w:t>
      </w:r>
      <w:r>
        <w:rPr>
          <w:rFonts w:hint="eastAsia" w:ascii="仿宋_GB2312" w:hAnsi="仿宋_GB2312" w:eastAsia="仿宋_GB2312" w:cs="仿宋_GB2312"/>
          <w:sz w:val="32"/>
          <w:szCs w:val="32"/>
          <w:highlight w:val="none"/>
          <w:lang w:val="en-US" w:eastAsia="zh-CN"/>
        </w:rPr>
        <w:t>6408</w:t>
      </w:r>
      <w:r>
        <w:rPr>
          <w:rFonts w:hint="eastAsia" w:ascii="仿宋_GB2312" w:hAnsi="仿宋_GB2312" w:eastAsia="仿宋_GB2312" w:cs="仿宋_GB2312"/>
          <w:sz w:val="32"/>
          <w:szCs w:val="32"/>
          <w:highlight w:val="none"/>
        </w:rPr>
        <w:t>人，实有在职人员</w:t>
      </w:r>
      <w:r>
        <w:rPr>
          <w:rFonts w:hint="eastAsia" w:ascii="仿宋_GB2312" w:hAnsi="仿宋_GB2312" w:eastAsia="仿宋_GB2312" w:cs="仿宋_GB2312"/>
          <w:sz w:val="32"/>
          <w:szCs w:val="32"/>
          <w:highlight w:val="none"/>
          <w:lang w:val="en-US" w:eastAsia="zh-CN"/>
        </w:rPr>
        <w:t>8444</w:t>
      </w:r>
      <w:r>
        <w:rPr>
          <w:rFonts w:hint="eastAsia" w:ascii="仿宋_GB2312" w:hAnsi="仿宋_GB2312" w:eastAsia="仿宋_GB2312" w:cs="仿宋_GB2312"/>
          <w:sz w:val="32"/>
          <w:szCs w:val="32"/>
          <w:highlight w:val="none"/>
        </w:rPr>
        <w:t>人，退休人员</w:t>
      </w:r>
      <w:r>
        <w:rPr>
          <w:rFonts w:hint="eastAsia" w:ascii="仿宋_GB2312" w:hAnsi="仿宋_GB2312" w:eastAsia="仿宋_GB2312" w:cs="仿宋_GB2312"/>
          <w:sz w:val="32"/>
          <w:szCs w:val="32"/>
          <w:highlight w:val="none"/>
          <w:lang w:val="en-US" w:eastAsia="zh-CN"/>
        </w:rPr>
        <w:t>1972</w:t>
      </w:r>
      <w:r>
        <w:rPr>
          <w:rFonts w:hint="eastAsia" w:ascii="仿宋_GB2312" w:hAnsi="仿宋_GB2312" w:eastAsia="仿宋_GB2312" w:cs="仿宋_GB2312"/>
          <w:sz w:val="32"/>
          <w:szCs w:val="32"/>
          <w:highlight w:val="none"/>
        </w:rPr>
        <w:t>人。</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本部门年度整体支出数据涉及范围：</w:t>
      </w:r>
      <w:r>
        <w:rPr>
          <w:rFonts w:hint="eastAsia" w:ascii="仿宋" w:hAnsi="仿宋" w:eastAsia="仿宋" w:cs="仿宋"/>
          <w:color w:val="000000"/>
          <w:sz w:val="32"/>
          <w:szCs w:val="32"/>
          <w:shd w:val="clear" w:color="auto" w:fill="FFFFFF"/>
        </w:rPr>
        <w:t>全县</w:t>
      </w:r>
      <w:r>
        <w:rPr>
          <w:rFonts w:hint="eastAsia" w:ascii="仿宋" w:hAnsi="仿宋" w:eastAsia="仿宋" w:cs="仿宋"/>
          <w:color w:val="000000"/>
          <w:sz w:val="32"/>
          <w:szCs w:val="32"/>
          <w:shd w:val="clear" w:color="auto" w:fill="FFFFFF"/>
          <w:lang w:eastAsia="zh-CN"/>
        </w:rPr>
        <w:t>教育系统</w:t>
      </w:r>
      <w:r>
        <w:rPr>
          <w:rFonts w:hint="eastAsia" w:ascii="仿宋" w:hAnsi="仿宋" w:eastAsia="仿宋" w:cs="仿宋"/>
          <w:color w:val="000000"/>
          <w:sz w:val="32"/>
          <w:szCs w:val="32"/>
          <w:shd w:val="clear" w:color="auto" w:fill="FFFFFF"/>
        </w:rPr>
        <w:t>独立编制机构数</w:t>
      </w:r>
      <w:r>
        <w:rPr>
          <w:rFonts w:hint="eastAsia" w:ascii="仿宋" w:hAnsi="仿宋" w:eastAsia="仿宋" w:cs="仿宋"/>
          <w:color w:val="000000"/>
          <w:sz w:val="32"/>
          <w:szCs w:val="32"/>
          <w:shd w:val="clear" w:color="auto" w:fill="FFFFFF"/>
          <w:lang w:val="en-US" w:eastAsia="zh-CN"/>
        </w:rPr>
        <w:t>84个</w:t>
      </w:r>
      <w:r>
        <w:rPr>
          <w:rFonts w:hint="eastAsia" w:ascii="仿宋" w:hAnsi="仿宋" w:eastAsia="仿宋" w:cs="仿宋"/>
          <w:color w:val="000000"/>
          <w:sz w:val="32"/>
          <w:szCs w:val="32"/>
          <w:shd w:val="clear" w:color="auto" w:fill="FFFFFF"/>
        </w:rPr>
        <w:t>机构</w:t>
      </w:r>
      <w:r>
        <w:rPr>
          <w:rFonts w:hint="eastAsia" w:ascii="仿宋" w:hAnsi="仿宋" w:eastAsia="仿宋" w:cs="仿宋"/>
          <w:color w:val="000000"/>
          <w:sz w:val="32"/>
          <w:szCs w:val="32"/>
          <w:shd w:val="clear" w:color="auto" w:fill="FFFFFF"/>
          <w:lang w:eastAsia="zh-CN"/>
        </w:rPr>
        <w:t>（不含工贸学校及民办学校）。</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（二）部门年度整体支出绩效目标</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保障本单位和学校人员工资及经费正常运转；确保各项经费及时拨付到位；落实好教师各种津补贴，做好教师培训工作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进一步规范财务管理，严格执行财务制度；改善和优化学校的办学条件，加快学校信息化建设，优化教育布局；强化质量攻坚主观能动性，提升教育质量。                                                                                            </w:t>
      </w:r>
    </w:p>
    <w:p>
      <w:pPr>
        <w:ind w:firstLine="640"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二、一般公共预算支出情况</w:t>
      </w:r>
    </w:p>
    <w:p>
      <w:pPr>
        <w:ind w:firstLine="640"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（一）基本支出情况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年一般公共预算基本支出</w:t>
      </w:r>
      <w:r>
        <w:rPr>
          <w:rFonts w:hint="eastAsia" w:ascii="仿宋_GB2312" w:hAnsi="仿宋_GB2312" w:eastAsia="仿宋_GB2312" w:cs="仿宋_GB2312"/>
          <w:sz w:val="32"/>
          <w:szCs w:val="32"/>
          <w:highlight w:val="none"/>
          <w:lang w:val="en-US" w:eastAsia="zh-CN"/>
        </w:rPr>
        <w:t>89783.78</w:t>
      </w:r>
      <w:r>
        <w:rPr>
          <w:rFonts w:hint="eastAsia" w:ascii="仿宋_GB2312" w:hAnsi="仿宋_GB2312" w:eastAsia="仿宋_GB2312" w:cs="仿宋_GB2312"/>
          <w:sz w:val="32"/>
          <w:szCs w:val="32"/>
        </w:rPr>
        <w:t>万元，其中：</w:t>
      </w:r>
      <w:r>
        <w:rPr>
          <w:rFonts w:hint="eastAsia" w:ascii="仿宋_GB2312" w:hAnsi="仿宋_GB2312" w:eastAsia="仿宋_GB2312" w:cs="仿宋_GB2312"/>
          <w:b/>
          <w:bCs/>
          <w:sz w:val="32"/>
          <w:szCs w:val="32"/>
        </w:rPr>
        <w:t>工资福利支出</w:t>
      </w:r>
      <w:r>
        <w:rPr>
          <w:rFonts w:hint="eastAsia" w:ascii="仿宋_GB2312" w:hAnsi="仿宋_GB2312" w:eastAsia="仿宋_GB2312" w:cs="仿宋_GB2312"/>
          <w:sz w:val="32"/>
          <w:szCs w:val="32"/>
          <w:lang w:val="en-US" w:eastAsia="zh-CN"/>
        </w:rPr>
        <w:t>72852.27</w:t>
      </w:r>
      <w:r>
        <w:rPr>
          <w:rFonts w:hint="eastAsia" w:ascii="仿宋_GB2312" w:hAnsi="仿宋_GB2312" w:eastAsia="仿宋_GB2312" w:cs="仿宋_GB2312"/>
          <w:sz w:val="32"/>
          <w:szCs w:val="32"/>
        </w:rPr>
        <w:t>万元，主要包括：基本工资</w:t>
      </w:r>
      <w:r>
        <w:rPr>
          <w:rFonts w:hint="eastAsia" w:ascii="仿宋_GB2312" w:hAnsi="仿宋_GB2312" w:eastAsia="仿宋_GB2312" w:cs="仿宋_GB2312"/>
          <w:sz w:val="32"/>
          <w:szCs w:val="32"/>
          <w:lang w:val="en-US" w:eastAsia="zh-CN"/>
        </w:rPr>
        <w:t>30178.58万元</w:t>
      </w:r>
      <w:r>
        <w:rPr>
          <w:rFonts w:hint="eastAsia" w:ascii="仿宋_GB2312" w:hAnsi="仿宋_GB2312" w:eastAsia="仿宋_GB2312" w:cs="仿宋_GB2312"/>
          <w:sz w:val="32"/>
          <w:szCs w:val="32"/>
        </w:rPr>
        <w:t>、津贴补贴</w:t>
      </w:r>
      <w:r>
        <w:rPr>
          <w:rFonts w:hint="eastAsia" w:ascii="仿宋_GB2312" w:hAnsi="仿宋_GB2312" w:eastAsia="仿宋_GB2312" w:cs="仿宋_GB2312"/>
          <w:sz w:val="32"/>
          <w:szCs w:val="32"/>
          <w:lang w:val="en-US" w:eastAsia="zh-CN"/>
        </w:rPr>
        <w:t>7767.9万元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奖金</w:t>
      </w:r>
      <w:r>
        <w:rPr>
          <w:rFonts w:hint="eastAsia" w:ascii="仿宋_GB2312" w:hAnsi="仿宋_GB2312" w:eastAsia="仿宋_GB2312" w:cs="仿宋_GB2312"/>
          <w:sz w:val="32"/>
          <w:szCs w:val="32"/>
          <w:lang w:val="en-US" w:eastAsia="zh-CN"/>
        </w:rPr>
        <w:t>8098万元、伙食补助费24.83万元、</w:t>
      </w:r>
      <w:r>
        <w:rPr>
          <w:rFonts w:hint="eastAsia" w:ascii="仿宋_GB2312" w:hAnsi="仿宋_GB2312" w:eastAsia="仿宋_GB2312" w:cs="仿宋_GB2312"/>
          <w:sz w:val="32"/>
          <w:szCs w:val="32"/>
        </w:rPr>
        <w:t>绩效工资</w:t>
      </w:r>
      <w:r>
        <w:rPr>
          <w:rFonts w:hint="eastAsia" w:ascii="仿宋_GB2312" w:hAnsi="仿宋_GB2312" w:eastAsia="仿宋_GB2312" w:cs="仿宋_GB2312"/>
          <w:sz w:val="32"/>
          <w:szCs w:val="32"/>
          <w:lang w:val="en-US" w:eastAsia="zh-CN"/>
        </w:rPr>
        <w:t>9285.59万元</w:t>
      </w:r>
      <w:r>
        <w:rPr>
          <w:rFonts w:hint="eastAsia" w:ascii="仿宋_GB2312" w:hAnsi="仿宋_GB2312" w:eastAsia="仿宋_GB2312" w:cs="仿宋_GB2312"/>
          <w:sz w:val="32"/>
          <w:szCs w:val="32"/>
        </w:rPr>
        <w:t>、机关事业单位基本养老保险缴费</w:t>
      </w:r>
      <w:r>
        <w:rPr>
          <w:rFonts w:hint="eastAsia" w:ascii="仿宋_GB2312" w:hAnsi="仿宋_GB2312" w:eastAsia="仿宋_GB2312" w:cs="仿宋_GB2312"/>
          <w:sz w:val="32"/>
          <w:szCs w:val="32"/>
          <w:lang w:val="en-US" w:eastAsia="zh-CN"/>
        </w:rPr>
        <w:t>7426.94万元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职业年金缴费</w:t>
      </w:r>
      <w:r>
        <w:rPr>
          <w:rFonts w:hint="eastAsia" w:ascii="仿宋_GB2312" w:hAnsi="仿宋_GB2312" w:eastAsia="仿宋_GB2312" w:cs="仿宋_GB2312"/>
          <w:sz w:val="32"/>
          <w:szCs w:val="32"/>
          <w:lang w:val="en-US" w:eastAsia="zh-CN"/>
        </w:rPr>
        <w:t>715.71万元、</w:t>
      </w:r>
      <w:r>
        <w:rPr>
          <w:rFonts w:hint="eastAsia" w:ascii="仿宋_GB2312" w:hAnsi="仿宋_GB2312" w:eastAsia="仿宋_GB2312" w:cs="仿宋_GB2312"/>
          <w:sz w:val="32"/>
          <w:szCs w:val="32"/>
        </w:rPr>
        <w:t>职工基本医疗保险缴费</w:t>
      </w:r>
      <w:r>
        <w:rPr>
          <w:rFonts w:hint="eastAsia" w:ascii="仿宋_GB2312" w:hAnsi="仿宋_GB2312" w:eastAsia="仿宋_GB2312" w:cs="仿宋_GB2312"/>
          <w:sz w:val="32"/>
          <w:szCs w:val="32"/>
          <w:lang w:val="en-US" w:eastAsia="zh-CN"/>
        </w:rPr>
        <w:t>3861.06万元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公务员医疗补助缴费</w:t>
      </w:r>
      <w:r>
        <w:rPr>
          <w:rFonts w:hint="eastAsia" w:ascii="仿宋_GB2312" w:hAnsi="仿宋_GB2312" w:eastAsia="仿宋_GB2312" w:cs="仿宋_GB2312"/>
          <w:sz w:val="32"/>
          <w:szCs w:val="32"/>
          <w:lang w:val="en-US" w:eastAsia="zh-CN"/>
        </w:rPr>
        <w:t>0万元、</w:t>
      </w:r>
      <w:r>
        <w:rPr>
          <w:rFonts w:hint="eastAsia" w:ascii="仿宋_GB2312" w:hAnsi="仿宋_GB2312" w:eastAsia="仿宋_GB2312" w:cs="仿宋_GB2312"/>
          <w:sz w:val="32"/>
          <w:szCs w:val="32"/>
        </w:rPr>
        <w:t>其他社会保障缴费</w:t>
      </w:r>
      <w:r>
        <w:rPr>
          <w:rFonts w:hint="eastAsia" w:ascii="仿宋_GB2312" w:hAnsi="仿宋_GB2312" w:eastAsia="仿宋_GB2312" w:cs="仿宋_GB2312"/>
          <w:sz w:val="32"/>
          <w:szCs w:val="32"/>
          <w:lang w:val="en-US" w:eastAsia="zh-CN"/>
        </w:rPr>
        <w:t>1005.07万元</w:t>
      </w:r>
      <w:r>
        <w:rPr>
          <w:rFonts w:hint="eastAsia" w:ascii="仿宋_GB2312" w:hAnsi="仿宋_GB2312" w:eastAsia="仿宋_GB2312" w:cs="仿宋_GB2312"/>
          <w:sz w:val="32"/>
          <w:szCs w:val="32"/>
        </w:rPr>
        <w:t>、住房公积金</w:t>
      </w:r>
      <w:r>
        <w:rPr>
          <w:rFonts w:hint="eastAsia" w:ascii="仿宋_GB2312" w:hAnsi="仿宋_GB2312" w:eastAsia="仿宋_GB2312" w:cs="仿宋_GB2312"/>
          <w:sz w:val="32"/>
          <w:szCs w:val="32"/>
          <w:lang w:val="en-US" w:eastAsia="zh-CN"/>
        </w:rPr>
        <w:t>3462.37万元、医疗费54.9万元、其他工资福利支出971.32万元、</w:t>
      </w:r>
      <w:r>
        <w:rPr>
          <w:rFonts w:hint="eastAsia" w:ascii="仿宋_GB2312" w:hAnsi="仿宋_GB2312" w:eastAsia="仿宋_GB2312" w:cs="仿宋_GB2312"/>
          <w:b/>
          <w:bCs/>
          <w:sz w:val="32"/>
          <w:szCs w:val="32"/>
          <w:lang w:val="en-US" w:eastAsia="zh-CN"/>
        </w:rPr>
        <w:t>对个人和家庭的补助支出</w:t>
      </w:r>
      <w:r>
        <w:rPr>
          <w:rFonts w:hint="eastAsia" w:ascii="仿宋_GB2312" w:hAnsi="仿宋_GB2312" w:eastAsia="仿宋_GB2312" w:cs="仿宋_GB2312"/>
          <w:sz w:val="32"/>
          <w:szCs w:val="32"/>
          <w:lang w:val="en-US" w:eastAsia="zh-CN"/>
        </w:rPr>
        <w:t>2203.29万元，主要包含退休费152.53万元、抚恤金562.31万元、生活补助542.16万元、救济费4.27万元、医疗费补助2.73万元、助学金614.24万元、奖励金189.96万元，其他对个人和家庭的补助135.09万元</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商品和服务支出</w:t>
      </w:r>
      <w:r>
        <w:rPr>
          <w:rFonts w:hint="eastAsia" w:ascii="仿宋_GB2312" w:hAnsi="仿宋_GB2312" w:eastAsia="仿宋_GB2312" w:cs="仿宋_GB2312"/>
          <w:sz w:val="32"/>
          <w:szCs w:val="32"/>
          <w:lang w:val="en-US" w:eastAsia="zh-CN"/>
        </w:rPr>
        <w:t>14015.85</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2687.62万元</w:t>
      </w:r>
      <w:r>
        <w:rPr>
          <w:rFonts w:hint="eastAsia" w:ascii="仿宋_GB2312" w:hAnsi="仿宋_GB2312" w:eastAsia="仿宋_GB2312" w:cs="仿宋_GB2312"/>
          <w:sz w:val="32"/>
          <w:szCs w:val="32"/>
        </w:rPr>
        <w:t>、印刷费</w:t>
      </w:r>
      <w:r>
        <w:rPr>
          <w:rFonts w:hint="eastAsia" w:ascii="仿宋_GB2312" w:hAnsi="仿宋_GB2312" w:eastAsia="仿宋_GB2312" w:cs="仿宋_GB2312"/>
          <w:sz w:val="32"/>
          <w:szCs w:val="32"/>
          <w:lang w:val="en-US" w:eastAsia="zh-CN"/>
        </w:rPr>
        <w:t>737.96万元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手续费2.7万元、</w:t>
      </w:r>
      <w:r>
        <w:rPr>
          <w:rFonts w:hint="eastAsia" w:ascii="仿宋_GB2312" w:hAnsi="仿宋_GB2312" w:eastAsia="仿宋_GB2312" w:cs="仿宋_GB2312"/>
          <w:sz w:val="32"/>
          <w:szCs w:val="32"/>
        </w:rPr>
        <w:t>水费</w:t>
      </w:r>
      <w:r>
        <w:rPr>
          <w:rFonts w:hint="eastAsia" w:ascii="仿宋_GB2312" w:hAnsi="仿宋_GB2312" w:eastAsia="仿宋_GB2312" w:cs="仿宋_GB2312"/>
          <w:sz w:val="32"/>
          <w:szCs w:val="32"/>
          <w:lang w:val="en-US" w:eastAsia="zh-CN"/>
        </w:rPr>
        <w:t>529.02万元</w:t>
      </w:r>
      <w:r>
        <w:rPr>
          <w:rFonts w:hint="eastAsia" w:ascii="仿宋_GB2312" w:hAnsi="仿宋_GB2312" w:eastAsia="仿宋_GB2312" w:cs="仿宋_GB2312"/>
          <w:sz w:val="32"/>
          <w:szCs w:val="32"/>
        </w:rPr>
        <w:t>、电费</w:t>
      </w:r>
      <w:r>
        <w:rPr>
          <w:rFonts w:hint="eastAsia" w:ascii="仿宋_GB2312" w:hAnsi="仿宋_GB2312" w:eastAsia="仿宋_GB2312" w:cs="仿宋_GB2312"/>
          <w:sz w:val="32"/>
          <w:szCs w:val="32"/>
          <w:lang w:val="en-US" w:eastAsia="zh-CN"/>
        </w:rPr>
        <w:t>994.53万元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邮电费</w:t>
      </w:r>
      <w:r>
        <w:rPr>
          <w:rFonts w:hint="eastAsia" w:ascii="仿宋_GB2312" w:hAnsi="仿宋_GB2312" w:eastAsia="仿宋_GB2312" w:cs="仿宋_GB2312"/>
          <w:sz w:val="32"/>
          <w:szCs w:val="32"/>
          <w:lang w:val="en-US" w:eastAsia="zh-CN"/>
        </w:rPr>
        <w:t>125.94万元、取暖费3.57万元、物业管理费353.14万元、</w:t>
      </w:r>
      <w:r>
        <w:rPr>
          <w:rFonts w:hint="eastAsia" w:ascii="仿宋_GB2312" w:hAnsi="仿宋_GB2312" w:eastAsia="仿宋_GB2312" w:cs="仿宋_GB2312"/>
          <w:sz w:val="32"/>
          <w:szCs w:val="32"/>
        </w:rPr>
        <w:t>差旅费</w:t>
      </w:r>
      <w:r>
        <w:rPr>
          <w:rFonts w:hint="eastAsia" w:ascii="仿宋_GB2312" w:hAnsi="仿宋_GB2312" w:eastAsia="仿宋_GB2312" w:cs="仿宋_GB2312"/>
          <w:sz w:val="32"/>
          <w:szCs w:val="32"/>
          <w:lang w:val="en-US" w:eastAsia="zh-CN"/>
        </w:rPr>
        <w:t>253.8万元、维护费2086.1万元、租赁费110.48万元、会议费14.72万元、</w:t>
      </w:r>
      <w:r>
        <w:rPr>
          <w:rFonts w:hint="eastAsia" w:ascii="仿宋_GB2312" w:hAnsi="仿宋_GB2312" w:eastAsia="仿宋_GB2312" w:cs="仿宋_GB2312"/>
          <w:sz w:val="32"/>
          <w:szCs w:val="32"/>
        </w:rPr>
        <w:t>培训费</w:t>
      </w:r>
      <w:r>
        <w:rPr>
          <w:rFonts w:hint="eastAsia" w:ascii="仿宋_GB2312" w:hAnsi="仿宋_GB2312" w:eastAsia="仿宋_GB2312" w:cs="仿宋_GB2312"/>
          <w:sz w:val="32"/>
          <w:szCs w:val="32"/>
          <w:lang w:val="en-US" w:eastAsia="zh-CN"/>
        </w:rPr>
        <w:t>396.22万元</w:t>
      </w:r>
      <w:r>
        <w:rPr>
          <w:rFonts w:hint="eastAsia" w:ascii="仿宋_GB2312" w:hAnsi="仿宋_GB2312" w:eastAsia="仿宋_GB2312" w:cs="仿宋_GB2312"/>
          <w:sz w:val="32"/>
          <w:szCs w:val="32"/>
        </w:rPr>
        <w:t>、公务接待费</w:t>
      </w:r>
      <w:r>
        <w:rPr>
          <w:rFonts w:hint="eastAsia" w:ascii="仿宋_GB2312" w:hAnsi="仿宋_GB2312" w:eastAsia="仿宋_GB2312" w:cs="仿宋_GB2312"/>
          <w:sz w:val="32"/>
          <w:szCs w:val="32"/>
          <w:lang w:val="en-US" w:eastAsia="zh-CN"/>
        </w:rPr>
        <w:t>11.14万元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专用材料费</w:t>
      </w:r>
      <w:r>
        <w:rPr>
          <w:rFonts w:hint="eastAsia" w:ascii="仿宋_GB2312" w:hAnsi="仿宋_GB2312" w:eastAsia="仿宋_GB2312" w:cs="仿宋_GB2312"/>
          <w:sz w:val="32"/>
          <w:szCs w:val="32"/>
          <w:lang w:val="en-US" w:eastAsia="zh-CN"/>
        </w:rPr>
        <w:t>885.69万元、专用燃料费22.16万元、劳务费1309.97万元、委托业务59.94万元</w:t>
      </w:r>
      <w:r>
        <w:rPr>
          <w:rFonts w:hint="eastAsia" w:ascii="仿宋_GB2312" w:hAnsi="仿宋_GB2312" w:eastAsia="仿宋_GB2312" w:cs="仿宋_GB2312"/>
          <w:sz w:val="32"/>
          <w:szCs w:val="32"/>
        </w:rPr>
        <w:t>、工会经费</w:t>
      </w:r>
      <w:r>
        <w:rPr>
          <w:rFonts w:hint="eastAsia" w:ascii="仿宋_GB2312" w:hAnsi="仿宋_GB2312" w:eastAsia="仿宋_GB2312" w:cs="仿宋_GB2312"/>
          <w:sz w:val="32"/>
          <w:szCs w:val="32"/>
          <w:lang w:val="en-US" w:eastAsia="zh-CN"/>
        </w:rPr>
        <w:t>1349.1万元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福利费</w:t>
      </w:r>
      <w:r>
        <w:rPr>
          <w:rFonts w:hint="eastAsia" w:ascii="仿宋_GB2312" w:hAnsi="仿宋_GB2312" w:eastAsia="仿宋_GB2312" w:cs="仿宋_GB2312"/>
          <w:sz w:val="32"/>
          <w:szCs w:val="32"/>
          <w:lang w:val="en-US" w:eastAsia="zh-CN"/>
        </w:rPr>
        <w:t>674.22万元、</w:t>
      </w:r>
      <w:r>
        <w:rPr>
          <w:rFonts w:hint="eastAsia" w:ascii="仿宋_GB2312" w:hAnsi="仿宋_GB2312" w:eastAsia="仿宋_GB2312" w:cs="仿宋_GB2312"/>
          <w:sz w:val="32"/>
          <w:szCs w:val="32"/>
          <w:lang w:eastAsia="zh-CN"/>
        </w:rPr>
        <w:t>公车运行维护费</w:t>
      </w:r>
      <w:r>
        <w:rPr>
          <w:rFonts w:hint="eastAsia" w:ascii="仿宋_GB2312" w:hAnsi="仿宋_GB2312" w:eastAsia="仿宋_GB2312" w:cs="仿宋_GB2312"/>
          <w:sz w:val="32"/>
          <w:szCs w:val="32"/>
          <w:lang w:val="en-US" w:eastAsia="zh-CN"/>
        </w:rPr>
        <w:t>2.5万元、</w:t>
      </w:r>
      <w:r>
        <w:rPr>
          <w:rFonts w:hint="eastAsia" w:ascii="仿宋_GB2312" w:hAnsi="仿宋_GB2312" w:eastAsia="仿宋_GB2312" w:cs="仿宋_GB2312"/>
          <w:sz w:val="32"/>
          <w:szCs w:val="32"/>
        </w:rPr>
        <w:t>其他交通费用</w:t>
      </w:r>
      <w:r>
        <w:rPr>
          <w:rFonts w:hint="eastAsia" w:ascii="仿宋_GB2312" w:hAnsi="仿宋_GB2312" w:eastAsia="仿宋_GB2312" w:cs="仿宋_GB2312"/>
          <w:sz w:val="32"/>
          <w:szCs w:val="32"/>
          <w:lang w:val="en-US" w:eastAsia="zh-CN"/>
        </w:rPr>
        <w:t>41.83万元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税金及附件费用</w:t>
      </w:r>
      <w:r>
        <w:rPr>
          <w:rFonts w:hint="eastAsia" w:ascii="仿宋_GB2312" w:hAnsi="仿宋_GB2312" w:eastAsia="仿宋_GB2312" w:cs="仿宋_GB2312"/>
          <w:sz w:val="32"/>
          <w:szCs w:val="32"/>
          <w:lang w:val="en-US" w:eastAsia="zh-CN"/>
        </w:rPr>
        <w:t>11.02万元、</w:t>
      </w:r>
      <w:r>
        <w:rPr>
          <w:rFonts w:hint="eastAsia" w:ascii="仿宋_GB2312" w:hAnsi="仿宋_GB2312" w:eastAsia="仿宋_GB2312" w:cs="仿宋_GB2312"/>
          <w:sz w:val="32"/>
          <w:szCs w:val="32"/>
        </w:rPr>
        <w:t>其他商品和服务支出</w:t>
      </w:r>
      <w:r>
        <w:rPr>
          <w:rFonts w:hint="eastAsia" w:ascii="仿宋_GB2312" w:hAnsi="仿宋_GB2312" w:eastAsia="仿宋_GB2312" w:cs="仿宋_GB2312"/>
          <w:sz w:val="32"/>
          <w:szCs w:val="32"/>
          <w:lang w:val="en-US" w:eastAsia="zh-CN"/>
        </w:rPr>
        <w:t>1352.48万元。</w:t>
      </w:r>
      <w:r>
        <w:rPr>
          <w:rFonts w:hint="eastAsia" w:ascii="仿宋_GB2312" w:hAnsi="仿宋_GB2312" w:eastAsia="仿宋_GB2312" w:cs="仿宋_GB2312"/>
          <w:b/>
          <w:bCs/>
          <w:sz w:val="32"/>
          <w:szCs w:val="32"/>
          <w:lang w:val="en-US" w:eastAsia="zh-CN"/>
        </w:rPr>
        <w:t>资本性支出712.37，</w:t>
      </w:r>
      <w:r>
        <w:rPr>
          <w:rFonts w:hint="eastAsia" w:ascii="仿宋_GB2312" w:hAnsi="仿宋_GB2312" w:eastAsia="仿宋_GB2312" w:cs="仿宋_GB2312"/>
          <w:b w:val="0"/>
          <w:bCs w:val="0"/>
          <w:sz w:val="32"/>
          <w:szCs w:val="32"/>
          <w:lang w:val="en-US" w:eastAsia="zh-CN"/>
        </w:rPr>
        <w:t>主要包括：办公设备购置332.55万元、专用设备购置336.04万元、信息网络及软件购置更新22.92万元、其他资本性支出20.85万元</w:t>
      </w:r>
      <w:r>
        <w:rPr>
          <w:rFonts w:hint="eastAsia" w:ascii="仿宋_GB2312" w:hAnsi="仿宋_GB2312" w:eastAsia="仿宋_GB2312" w:cs="仿宋_GB2312"/>
          <w:sz w:val="32"/>
          <w:szCs w:val="32"/>
          <w:lang w:val="en-US" w:eastAsia="zh-CN"/>
        </w:rPr>
        <w:t>。工资福利支出占基本支出的81.14%，</w:t>
      </w:r>
      <w:r>
        <w:rPr>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2"/>
          <w:lang w:val="en-US" w:eastAsia="zh-CN"/>
        </w:rPr>
        <w:t>占基本支出的2.45%，</w:t>
      </w:r>
      <w:r>
        <w:rPr>
          <w:rFonts w:hint="eastAsia" w:ascii="仿宋_GB2312" w:hAnsi="仿宋_GB2312" w:eastAsia="仿宋_GB2312" w:cs="仿宋_GB2312"/>
          <w:sz w:val="32"/>
          <w:szCs w:val="32"/>
        </w:rPr>
        <w:t>商品和服务支出</w:t>
      </w:r>
      <w:r>
        <w:rPr>
          <w:rFonts w:hint="eastAsia" w:ascii="仿宋_GB2312" w:hAnsi="仿宋_GB2312" w:eastAsia="仿宋_GB2312" w:cs="仿宋_GB2312"/>
          <w:sz w:val="32"/>
          <w:szCs w:val="32"/>
          <w:lang w:val="en-US" w:eastAsia="zh-CN"/>
        </w:rPr>
        <w:t>占基本支出的15.61%，</w:t>
      </w:r>
      <w:r>
        <w:rPr>
          <w:rFonts w:hint="eastAsia" w:ascii="仿宋_GB2312" w:hAnsi="仿宋_GB2312" w:eastAsia="仿宋_GB2312" w:cs="仿宋_GB2312"/>
          <w:b w:val="0"/>
          <w:bCs w:val="0"/>
          <w:sz w:val="32"/>
          <w:szCs w:val="32"/>
          <w:lang w:val="en-US" w:eastAsia="zh-CN"/>
        </w:rPr>
        <w:t>资本性支出基本</w:t>
      </w:r>
      <w:r>
        <w:rPr>
          <w:rFonts w:hint="eastAsia" w:ascii="仿宋_GB2312" w:hAnsi="仿宋_GB2312" w:eastAsia="仿宋_GB2312" w:cs="仿宋_GB2312"/>
          <w:sz w:val="32"/>
          <w:szCs w:val="32"/>
          <w:lang w:val="en-US" w:eastAsia="zh-CN"/>
        </w:rPr>
        <w:t>支出的0.79%。</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人员经费</w:t>
      </w:r>
      <w:r>
        <w:rPr>
          <w:rFonts w:hint="eastAsia" w:ascii="仿宋_GB2312" w:hAnsi="仿宋_GB2312" w:eastAsia="仿宋_GB2312" w:cs="仿宋_GB2312"/>
          <w:sz w:val="32"/>
          <w:szCs w:val="32"/>
        </w:rPr>
        <w:t>主要是按照县财政统发工资表及县委县政府文件的相关规定执行，公用经费按照厉行节约的原则规范资金使用流程，尤其是“三公”经费严格控制在预算指标内。</w:t>
      </w:r>
    </w:p>
    <w:p>
      <w:pPr>
        <w:ind w:firstLine="640"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（二）项目支出情况</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本年度项目支出</w:t>
      </w:r>
      <w:r>
        <w:rPr>
          <w:rFonts w:hint="eastAsia" w:ascii="仿宋_GB2312" w:hAnsi="仿宋_GB2312" w:eastAsia="仿宋_GB2312" w:cs="仿宋_GB2312"/>
          <w:sz w:val="32"/>
          <w:szCs w:val="32"/>
          <w:lang w:eastAsia="zh-CN"/>
        </w:rPr>
        <w:t>共计</w:t>
      </w:r>
      <w:r>
        <w:rPr>
          <w:rFonts w:hint="eastAsia" w:ascii="仿宋_GB2312" w:hAnsi="仿宋_GB2312" w:eastAsia="仿宋_GB2312" w:cs="仿宋_GB2312"/>
          <w:sz w:val="32"/>
          <w:szCs w:val="32"/>
          <w:lang w:val="en-US" w:eastAsia="zh-CN"/>
        </w:rPr>
        <w:t>33117.77万元，具体如下：</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教育局本级其他</w:t>
      </w:r>
      <w:r>
        <w:rPr>
          <w:rFonts w:hint="eastAsia" w:ascii="仿宋_GB2312" w:hAnsi="仿宋_GB2312" w:eastAsia="仿宋_GB2312" w:cs="仿宋_GB2312"/>
          <w:sz w:val="32"/>
          <w:szCs w:val="32"/>
        </w:rPr>
        <w:t>一般</w:t>
      </w:r>
      <w:r>
        <w:rPr>
          <w:rFonts w:hint="eastAsia" w:ascii="仿宋_GB2312" w:hAnsi="仿宋_GB2312" w:eastAsia="仿宋_GB2312" w:cs="仿宋_GB2312"/>
          <w:sz w:val="32"/>
          <w:szCs w:val="32"/>
          <w:lang w:eastAsia="zh-CN"/>
        </w:rPr>
        <w:t>行政管理事务</w:t>
      </w:r>
      <w:r>
        <w:rPr>
          <w:rFonts w:hint="eastAsia" w:ascii="仿宋_GB2312" w:hAnsi="仿宋_GB2312" w:eastAsia="仿宋_GB2312" w:cs="仿宋_GB2312"/>
          <w:sz w:val="32"/>
          <w:szCs w:val="32"/>
          <w:highlight w:val="none"/>
        </w:rPr>
        <w:t>支出</w:t>
      </w:r>
      <w:r>
        <w:rPr>
          <w:rFonts w:hint="eastAsia" w:ascii="仿宋_GB2312" w:hAnsi="仿宋_GB2312" w:eastAsia="仿宋_GB2312" w:cs="仿宋_GB2312"/>
          <w:sz w:val="32"/>
          <w:szCs w:val="32"/>
          <w:highlight w:val="none"/>
          <w:lang w:val="en-US" w:eastAsia="zh-CN"/>
        </w:rPr>
        <w:t>4245.43万元；其他教育管理事务支出190.72万元</w:t>
      </w:r>
      <w:r>
        <w:rPr>
          <w:rFonts w:hint="eastAsia" w:ascii="仿宋_GB2312" w:hAnsi="仿宋_GB2312" w:eastAsia="仿宋_GB2312" w:cs="仿宋_GB2312"/>
          <w:sz w:val="32"/>
          <w:szCs w:val="32"/>
          <w:lang w:val="en-US" w:eastAsia="zh-CN"/>
        </w:rPr>
        <w:t>；学前教育项目支出2038.4万元；小学教育项目支出8123.34万元；初中教育项目支出15142.83万元；高中教育项目支出3163.4万元；其他普通教育支出85.66万元；其他教育支出83.2万元；其他社会保障和就业支出44.79万元。</w:t>
      </w:r>
      <w:r>
        <w:rPr>
          <w:rFonts w:hint="eastAsia" w:ascii="仿宋_GB2312" w:hAnsi="仿宋_GB2312" w:eastAsia="仿宋_GB2312" w:cs="仿宋_GB2312"/>
          <w:sz w:val="32"/>
          <w:szCs w:val="32"/>
        </w:rPr>
        <w:t xml:space="preserve">   </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三、政府性基金预算支出情况</w:t>
      </w:r>
    </w:p>
    <w:p>
      <w:pPr>
        <w:ind w:firstLine="640" w:firstLineChars="200"/>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年度政府性基金预算财政拨款支出</w:t>
      </w:r>
      <w:r>
        <w:rPr>
          <w:rFonts w:hint="eastAsia" w:ascii="Times New Roman" w:hAnsi="Times New Roman" w:eastAsia="仿宋_GB2312"/>
          <w:sz w:val="32"/>
          <w:szCs w:val="32"/>
          <w:lang w:val="en-US" w:eastAsia="zh-CN"/>
        </w:rPr>
        <w:t>3209.98</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3209.98</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其中：其他国有土地使用权出让收入安排的支出为</w:t>
      </w:r>
      <w:r>
        <w:rPr>
          <w:rFonts w:hint="eastAsia" w:ascii="Times New Roman" w:hAnsi="Times New Roman" w:eastAsia="仿宋_GB2312"/>
          <w:sz w:val="32"/>
          <w:szCs w:val="32"/>
          <w:lang w:val="en-US" w:eastAsia="zh-CN"/>
        </w:rPr>
        <w:t>2966.01万元；其他政府性基金债务收入安排的支出为243.97万元。</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四、国有资本经营预算支出情况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年无国有资本经营预算支出。</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五、社会保险基金预算支出情况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年无社会保险基金预算支出。</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六、部门整体支出绩效情况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局根据年初工作规划及财政预算计划，认真履职、强化管理，较好地完成了年度工作目标。通过加强预算收支管理、不断建立健全内部管理制度、理清内部管理流程，部门整体支出管理情况得到有效提升，自评结果良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强化目标管理。内部财务管理制度健全，制定工作目标与项目质量要求标准；专项资金专款专用，支出报销审批手续完备，资金拨付审批程序完整；全面完成了年初工作计划，重大事项或项目的重大调整均经过集体研究，并实行常态化财务检查和工作督查，确保各项工作有力有序有效推进。</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优化支出结构。严控三公经费支出，压缩一般性支出，坚决抵制铺张浪费行为，降低单位运行成本，合理调度财政资金，保证单位机构正常的工作运转，实现财政资金利益最大化。</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七、存在的问题及原因分析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预算绩效管理重要性认识有待进一步提高。预算绩效管理工作具有政策性强、专业性强、涉及面广，操作难度大等特点，经验不足。预算编制不够明确和细化，预算编制的合理性需要提高，预算执行力度还要进一步加强。部分预算资金支付进度稍缓，预算执行率降低，绩效目标设置有待进一步优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预算编制还不够精准，因预算编制时间与下一年度重点工作安排时间存在差异等原因，导致预决算数据存在差异。</w:t>
      </w:r>
    </w:p>
    <w:p>
      <w:pPr>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八、下一步改进措施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 进一步深入学习贯彻落实《中华人民共和国预算法》，加强预算管理，建立健全全面规范、公开透明的预算制度。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2、细化预算编制工作，认真做好预算的编制。进一步加强单位和学校的预算管理意识，严格按照预算编制的相关制度和要求进行预算编制。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3、加强财务管理，严格财务审核。健全单位财务管理制度体系，规范单位财务行为。在费用报账支付时，按照预算规定的费用项目和用途进行资金使用审核、列报支付、财务核算，杜绝超支现象的发生。</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4、加强资金使用与监管，合理安排资金支付进度，提高资金使用效益。进一步规范绩效目标编制，在编制项目资金绩效目标时，要求指向明确、细化量化、合理可行、相应匹配。</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九、绩效自评结果拟应用和公开情况</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绩效自评，进一步掌握了资金使用情况和取得的效果，发现了工作中存在的问题和不足，为今后加强资金使用管理、完善资金绩效管理、提高资金使用效益工作提供重要的参考依据。按规定时间将此次绩效自评报告在本单位门户网站上予以公布，向社会公开，广泛接受群众监督。</w:t>
      </w:r>
    </w:p>
    <w:p>
      <w:pPr>
        <w:pStyle w:val="2"/>
        <w:rPr>
          <w:rFonts w:hint="eastAsia"/>
        </w:rPr>
      </w:pPr>
    </w:p>
    <w:p>
      <w:pPr>
        <w:ind w:firstLine="5760" w:firstLineChars="1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道县教育局</w:t>
      </w:r>
    </w:p>
    <w:p>
      <w:pPr>
        <w:ind w:firstLine="5440" w:firstLineChars="1700"/>
        <w:rPr>
          <w:rFonts w:hint="eastAsia"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日</w:t>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90BF4"/>
    <w:rsid w:val="00FB462F"/>
    <w:rsid w:val="00FE16FA"/>
    <w:rsid w:val="00FE328A"/>
    <w:rsid w:val="00FE6269"/>
    <w:rsid w:val="00FF5CD6"/>
    <w:rsid w:val="01837443"/>
    <w:rsid w:val="01BF64F7"/>
    <w:rsid w:val="03200295"/>
    <w:rsid w:val="032A2EC2"/>
    <w:rsid w:val="03C2134C"/>
    <w:rsid w:val="04742B37"/>
    <w:rsid w:val="05405718"/>
    <w:rsid w:val="056E1282"/>
    <w:rsid w:val="056F2CF7"/>
    <w:rsid w:val="05BE3D95"/>
    <w:rsid w:val="05C80770"/>
    <w:rsid w:val="05D27519"/>
    <w:rsid w:val="06CB676A"/>
    <w:rsid w:val="075A7AEE"/>
    <w:rsid w:val="093E4DFA"/>
    <w:rsid w:val="0C654F6B"/>
    <w:rsid w:val="0C801DA5"/>
    <w:rsid w:val="0C8E4893"/>
    <w:rsid w:val="0CFD7BEA"/>
    <w:rsid w:val="0D98311E"/>
    <w:rsid w:val="0E4868F2"/>
    <w:rsid w:val="0E745939"/>
    <w:rsid w:val="0EBE6103"/>
    <w:rsid w:val="0EEC54CF"/>
    <w:rsid w:val="10AE3B58"/>
    <w:rsid w:val="11C955BB"/>
    <w:rsid w:val="127F2C27"/>
    <w:rsid w:val="128A74D9"/>
    <w:rsid w:val="12D5089A"/>
    <w:rsid w:val="12EB3CF0"/>
    <w:rsid w:val="12FE1C75"/>
    <w:rsid w:val="13B103A3"/>
    <w:rsid w:val="13E946D3"/>
    <w:rsid w:val="148F25A0"/>
    <w:rsid w:val="14F94403"/>
    <w:rsid w:val="15546F7E"/>
    <w:rsid w:val="16117F11"/>
    <w:rsid w:val="1651604E"/>
    <w:rsid w:val="16B25250"/>
    <w:rsid w:val="16F01060"/>
    <w:rsid w:val="181F6915"/>
    <w:rsid w:val="19AA4F1E"/>
    <w:rsid w:val="19B65058"/>
    <w:rsid w:val="1A102318"/>
    <w:rsid w:val="1A7F2B79"/>
    <w:rsid w:val="1AB646AB"/>
    <w:rsid w:val="1B9C55AA"/>
    <w:rsid w:val="1C422BD3"/>
    <w:rsid w:val="1CBF5FD1"/>
    <w:rsid w:val="1D327ADD"/>
    <w:rsid w:val="1D73025B"/>
    <w:rsid w:val="1D97DEFF"/>
    <w:rsid w:val="1DDF7545"/>
    <w:rsid w:val="1DF307ED"/>
    <w:rsid w:val="1DFF72E5"/>
    <w:rsid w:val="1E776D73"/>
    <w:rsid w:val="1EFC6F07"/>
    <w:rsid w:val="1F216573"/>
    <w:rsid w:val="1F4E5D32"/>
    <w:rsid w:val="1FE56E60"/>
    <w:rsid w:val="2009009E"/>
    <w:rsid w:val="20346964"/>
    <w:rsid w:val="20987265"/>
    <w:rsid w:val="20F052F3"/>
    <w:rsid w:val="21D342CD"/>
    <w:rsid w:val="22496494"/>
    <w:rsid w:val="229E0D7F"/>
    <w:rsid w:val="22C8137D"/>
    <w:rsid w:val="23871813"/>
    <w:rsid w:val="2419247E"/>
    <w:rsid w:val="248E1EF1"/>
    <w:rsid w:val="24A837FB"/>
    <w:rsid w:val="24F74F10"/>
    <w:rsid w:val="252A78C1"/>
    <w:rsid w:val="25DA0320"/>
    <w:rsid w:val="26D0683C"/>
    <w:rsid w:val="275E0A13"/>
    <w:rsid w:val="278C73F8"/>
    <w:rsid w:val="27A21806"/>
    <w:rsid w:val="2810627B"/>
    <w:rsid w:val="28AF339E"/>
    <w:rsid w:val="291E0523"/>
    <w:rsid w:val="2936225C"/>
    <w:rsid w:val="295761E2"/>
    <w:rsid w:val="2A32324E"/>
    <w:rsid w:val="2A352282"/>
    <w:rsid w:val="2A4D18A8"/>
    <w:rsid w:val="2C4C271D"/>
    <w:rsid w:val="2C5E1786"/>
    <w:rsid w:val="2D6973B1"/>
    <w:rsid w:val="2E6B420B"/>
    <w:rsid w:val="2F295043"/>
    <w:rsid w:val="2F296B5A"/>
    <w:rsid w:val="2F3A14F8"/>
    <w:rsid w:val="2FD82BC6"/>
    <w:rsid w:val="2FDF85B8"/>
    <w:rsid w:val="2FFFEE04"/>
    <w:rsid w:val="31F44517"/>
    <w:rsid w:val="31F90EE4"/>
    <w:rsid w:val="321626E0"/>
    <w:rsid w:val="32E60304"/>
    <w:rsid w:val="34DF85B0"/>
    <w:rsid w:val="35171564"/>
    <w:rsid w:val="360076E1"/>
    <w:rsid w:val="36B97ADD"/>
    <w:rsid w:val="3776777C"/>
    <w:rsid w:val="37AC3038"/>
    <w:rsid w:val="37B119AA"/>
    <w:rsid w:val="37BA0AFA"/>
    <w:rsid w:val="37F94635"/>
    <w:rsid w:val="385115CF"/>
    <w:rsid w:val="386B671F"/>
    <w:rsid w:val="39243950"/>
    <w:rsid w:val="3B8F36BC"/>
    <w:rsid w:val="3BFD046C"/>
    <w:rsid w:val="3C2D2B00"/>
    <w:rsid w:val="3C7B6ECA"/>
    <w:rsid w:val="3DDB658B"/>
    <w:rsid w:val="40220557"/>
    <w:rsid w:val="405306A7"/>
    <w:rsid w:val="421A7D7F"/>
    <w:rsid w:val="42EA1D9F"/>
    <w:rsid w:val="42ED2FE9"/>
    <w:rsid w:val="43421992"/>
    <w:rsid w:val="4366371E"/>
    <w:rsid w:val="43E8743A"/>
    <w:rsid w:val="443D1D4E"/>
    <w:rsid w:val="44EC7AC9"/>
    <w:rsid w:val="457C0654"/>
    <w:rsid w:val="45AC718B"/>
    <w:rsid w:val="45DC10F2"/>
    <w:rsid w:val="46764442"/>
    <w:rsid w:val="46D428A3"/>
    <w:rsid w:val="47C17F0C"/>
    <w:rsid w:val="484A4A39"/>
    <w:rsid w:val="48A71E8C"/>
    <w:rsid w:val="491FF225"/>
    <w:rsid w:val="498176A7"/>
    <w:rsid w:val="4AD554BC"/>
    <w:rsid w:val="4B61433A"/>
    <w:rsid w:val="4C4B338E"/>
    <w:rsid w:val="4C9646F1"/>
    <w:rsid w:val="4D815145"/>
    <w:rsid w:val="4D8A359A"/>
    <w:rsid w:val="4F6E54B1"/>
    <w:rsid w:val="4F951821"/>
    <w:rsid w:val="4FFD214C"/>
    <w:rsid w:val="50AC3D18"/>
    <w:rsid w:val="50E56CA8"/>
    <w:rsid w:val="51330E09"/>
    <w:rsid w:val="518335CA"/>
    <w:rsid w:val="51AC1F94"/>
    <w:rsid w:val="51B51D64"/>
    <w:rsid w:val="51D9748C"/>
    <w:rsid w:val="52481203"/>
    <w:rsid w:val="52530420"/>
    <w:rsid w:val="5253273C"/>
    <w:rsid w:val="526026CE"/>
    <w:rsid w:val="540B7771"/>
    <w:rsid w:val="54475EC3"/>
    <w:rsid w:val="54C47921"/>
    <w:rsid w:val="54E8497B"/>
    <w:rsid w:val="558477DD"/>
    <w:rsid w:val="55CB39DB"/>
    <w:rsid w:val="5777D4F5"/>
    <w:rsid w:val="59835FFD"/>
    <w:rsid w:val="59AF6A2F"/>
    <w:rsid w:val="59C4289D"/>
    <w:rsid w:val="59DD8326"/>
    <w:rsid w:val="5A8624F5"/>
    <w:rsid w:val="5B4134F3"/>
    <w:rsid w:val="5BBF0F6C"/>
    <w:rsid w:val="5C8F5BD3"/>
    <w:rsid w:val="5CA95D7B"/>
    <w:rsid w:val="5CC901CB"/>
    <w:rsid w:val="5CDD60A5"/>
    <w:rsid w:val="5CEE2982"/>
    <w:rsid w:val="5DD76183"/>
    <w:rsid w:val="5DEF592A"/>
    <w:rsid w:val="5DF272AD"/>
    <w:rsid w:val="5EAA74B3"/>
    <w:rsid w:val="5ECF3FF8"/>
    <w:rsid w:val="5FC6BB1E"/>
    <w:rsid w:val="5FF720F1"/>
    <w:rsid w:val="5FFE5395"/>
    <w:rsid w:val="60A26796"/>
    <w:rsid w:val="613F280A"/>
    <w:rsid w:val="61B210E9"/>
    <w:rsid w:val="62173786"/>
    <w:rsid w:val="62477485"/>
    <w:rsid w:val="63AD786C"/>
    <w:rsid w:val="640146EE"/>
    <w:rsid w:val="64326656"/>
    <w:rsid w:val="649410BE"/>
    <w:rsid w:val="65663E12"/>
    <w:rsid w:val="657B7B0E"/>
    <w:rsid w:val="668179D1"/>
    <w:rsid w:val="66897B53"/>
    <w:rsid w:val="668B6A84"/>
    <w:rsid w:val="66D7513B"/>
    <w:rsid w:val="67D821B5"/>
    <w:rsid w:val="67FF5C0B"/>
    <w:rsid w:val="68064081"/>
    <w:rsid w:val="681739D4"/>
    <w:rsid w:val="6B0D3978"/>
    <w:rsid w:val="6B7A7622"/>
    <w:rsid w:val="6BA26EBD"/>
    <w:rsid w:val="6CF7668E"/>
    <w:rsid w:val="6DDD5884"/>
    <w:rsid w:val="6DFF1C9E"/>
    <w:rsid w:val="6EFC0924"/>
    <w:rsid w:val="6F7E1A3C"/>
    <w:rsid w:val="6FA03259"/>
    <w:rsid w:val="6FB74722"/>
    <w:rsid w:val="6FBD3C1C"/>
    <w:rsid w:val="6FEF8B7E"/>
    <w:rsid w:val="6FF82F30"/>
    <w:rsid w:val="70B7060E"/>
    <w:rsid w:val="710B6BAC"/>
    <w:rsid w:val="715913B7"/>
    <w:rsid w:val="71A6591B"/>
    <w:rsid w:val="71B42DA0"/>
    <w:rsid w:val="71C5446D"/>
    <w:rsid w:val="71F15DA2"/>
    <w:rsid w:val="72480802"/>
    <w:rsid w:val="730613D9"/>
    <w:rsid w:val="73544E2B"/>
    <w:rsid w:val="737D59BA"/>
    <w:rsid w:val="73BC23E0"/>
    <w:rsid w:val="73BE5570"/>
    <w:rsid w:val="7431692A"/>
    <w:rsid w:val="74E038B2"/>
    <w:rsid w:val="75194F97"/>
    <w:rsid w:val="75355FA6"/>
    <w:rsid w:val="755A31F9"/>
    <w:rsid w:val="75924796"/>
    <w:rsid w:val="768D3BBF"/>
    <w:rsid w:val="76EE28B0"/>
    <w:rsid w:val="77C37683"/>
    <w:rsid w:val="77D72A16"/>
    <w:rsid w:val="78236589"/>
    <w:rsid w:val="79AC25AE"/>
    <w:rsid w:val="79AE4D15"/>
    <w:rsid w:val="79D33FDF"/>
    <w:rsid w:val="79FF515B"/>
    <w:rsid w:val="7AC027B5"/>
    <w:rsid w:val="7D057903"/>
    <w:rsid w:val="7D4166FB"/>
    <w:rsid w:val="7D965A4F"/>
    <w:rsid w:val="7DBA4CD5"/>
    <w:rsid w:val="7DEB0AF7"/>
    <w:rsid w:val="7E6478FC"/>
    <w:rsid w:val="7E9E1962"/>
    <w:rsid w:val="7E9F11B4"/>
    <w:rsid w:val="7EB97C47"/>
    <w:rsid w:val="7F37EC1E"/>
    <w:rsid w:val="7F742C45"/>
    <w:rsid w:val="7F7DCD9D"/>
    <w:rsid w:val="7F970A6F"/>
    <w:rsid w:val="7FBD3D6D"/>
    <w:rsid w:val="7FC1FFF3"/>
    <w:rsid w:val="7FC69637"/>
    <w:rsid w:val="7FDF8620"/>
    <w:rsid w:val="7FE7434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3">
    <w:name w:val="Normal Indent"/>
    <w:basedOn w:val="1"/>
    <w:qFormat/>
    <w:uiPriority w:val="0"/>
    <w:pPr>
      <w:ind w:firstLine="420"/>
    </w:pPr>
    <w:rPr>
      <w:szCs w:val="20"/>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14396</Words>
  <Characters>18103</Characters>
  <Lines>63</Lines>
  <Paragraphs>18</Paragraphs>
  <TotalTime>2</TotalTime>
  <ScaleCrop>false</ScaleCrop>
  <LinksUpToDate>false</LinksUpToDate>
  <CharactersWithSpaces>19229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水蜜桃</cp:lastModifiedBy>
  <cp:lastPrinted>2024-08-08T10:20:00Z</cp:lastPrinted>
  <dcterms:modified xsi:type="dcterms:W3CDTF">2026-09-11T01:57:49Z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331BAA95825D4551B47471B2C75F7DEE_13</vt:lpwstr>
  </property>
  <property fmtid="{D5CDD505-2E9C-101B-9397-08002B2CF9AE}" pid="4" name="KSOTemplateDocerSaveRecord">
    <vt:lpwstr>eyJoZGlkIjoiZTI3MDU1NmU4YWY1MDllMzI0NTI4M2QyYzEyZjFhMDQiLCJ1c2VySWQiOiIyNDI3NDA3ODUifQ==</vt:lpwstr>
  </property>
</Properties>
</file>