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w:pict>
          <v:shape id="_x0000_s1026" o:spid="_x0000_s1026" o:spt="202" type="#_x0000_t202" style="position:absolute;left:0pt;margin-left:-18.6pt;margin-top:-23.4pt;height:40.75pt;width:119.95pt;z-index:251659264;mso-width-relative:page;mso-height-relative:page;"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path/>
            <v:fill focussize="0,0"/>
            <v:stroke on="f" weight="0.5pt" joinstyle="miter"/>
            <v:imagedata o:title=""/>
            <o:lock v:ext="edit"/>
            <v:textbox>
              <w:txbxContent>
                <w:p>
                  <w:pPr>
                    <w:rPr>
                      <w:rFonts w:ascii="楷体" w:hAnsi="楷体" w:eastAsia="楷体" w:cs="楷体"/>
                      <w:sz w:val="30"/>
                      <w:szCs w:val="30"/>
                    </w:rPr>
                  </w:pPr>
                  <w:r>
                    <w:rPr>
                      <w:rFonts w:hint="eastAsia" w:ascii="楷体" w:hAnsi="楷体" w:eastAsia="楷体" w:cs="楷体"/>
                      <w:sz w:val="30"/>
                      <w:szCs w:val="30"/>
                    </w:rPr>
                    <w:t>附件1：</w:t>
                  </w:r>
                </w:p>
              </w:txbxContent>
            </v:textbox>
          </v:shape>
        </w:pict>
      </w:r>
    </w:p>
    <w:p>
      <w:pPr>
        <w:pStyle w:val="14"/>
        <w:jc w:val="center"/>
        <w:rPr>
          <w:rFonts w:ascii="方正小标宋_GBK" w:hAnsi="方正小标宋_GBK" w:eastAsia="方正小标宋_GBK" w:cs="方正小标宋_GBK"/>
          <w:sz w:val="56"/>
          <w:szCs w:val="56"/>
        </w:rPr>
      </w:pPr>
      <w:r>
        <w:rPr>
          <w:rFonts w:hint="eastAsia" w:ascii="方正小标宋_GBK" w:hAnsi="方正小标宋_GBK" w:eastAsia="方正小标宋_GBK" w:cs="方正小标宋_GBK"/>
          <w:sz w:val="56"/>
          <w:szCs w:val="56"/>
        </w:rPr>
        <w:t>2025年度</w:t>
      </w:r>
    </w:p>
    <w:p>
      <w:pPr>
        <w:pStyle w:val="14"/>
        <w:jc w:val="center"/>
        <w:rPr>
          <w:rFonts w:ascii="方正小标宋_GBK" w:hAnsi="方正小标宋_GBK" w:eastAsia="方正小标宋_GBK" w:cs="方正小标宋_GBK"/>
          <w:sz w:val="48"/>
          <w:szCs w:val="48"/>
        </w:rPr>
      </w:pPr>
      <w:r>
        <w:rPr>
          <w:rFonts w:hint="eastAsia" w:ascii="方正小标宋_GBK" w:hAnsi="方正小标宋_GBK" w:eastAsia="方正小标宋_GBK" w:cs="方正小标宋_GBK"/>
          <w:sz w:val="48"/>
          <w:szCs w:val="48"/>
        </w:rPr>
        <w:t>道县农机事务中心部门决算</w: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Ansi="黑体"/>
          <w:bCs/>
          <w:sz w:val="28"/>
          <w:szCs w:val="28"/>
        </w:rPr>
      </w:pPr>
      <w:r>
        <w:rPr>
          <w:rFonts w:hint="eastAsia" w:hAnsi="黑体"/>
          <w:bCs/>
          <w:sz w:val="28"/>
          <w:szCs w:val="28"/>
        </w:rPr>
        <w:t>第一部分 道县农机事务单位概况</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Ansi="黑体"/>
          <w:bCs/>
          <w:sz w:val="28"/>
          <w:szCs w:val="28"/>
        </w:rPr>
      </w:pPr>
      <w:r>
        <w:rPr>
          <w:rFonts w:hint="eastAsia" w:hAnsi="黑体"/>
          <w:bCs/>
          <w:sz w:val="28"/>
          <w:szCs w:val="28"/>
        </w:rPr>
        <w:t>第二部分 部门决算表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Ansi="黑体"/>
          <w:bCs/>
          <w:sz w:val="28"/>
          <w:szCs w:val="28"/>
        </w:rPr>
      </w:pPr>
      <w:r>
        <w:rPr>
          <w:rFonts w:hint="eastAsia" w:hAnsi="黑体"/>
          <w:bCs/>
          <w:sz w:val="28"/>
          <w:szCs w:val="28"/>
        </w:rPr>
        <w:t>第三部分 部门决算情况说明</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年度预算绩效情况的说明</w:t>
      </w:r>
    </w:p>
    <w:p>
      <w:pPr>
        <w:pStyle w:val="14"/>
        <w:spacing w:line="500" w:lineRule="exact"/>
        <w:rPr>
          <w:rFonts w:hAnsi="黑体"/>
          <w:bCs/>
          <w:sz w:val="28"/>
          <w:szCs w:val="28"/>
        </w:rPr>
      </w:pPr>
      <w:r>
        <w:rPr>
          <w:rFonts w:hint="eastAsia" w:hAnsi="黑体"/>
          <w:bCs/>
          <w:sz w:val="28"/>
          <w:szCs w:val="28"/>
        </w:rPr>
        <w:t>第四部分 名词解释</w:t>
      </w:r>
    </w:p>
    <w:p>
      <w:pPr>
        <w:pStyle w:val="14"/>
        <w:spacing w:line="500" w:lineRule="exact"/>
        <w:rPr>
          <w:rFonts w:hAnsi="黑体"/>
          <w:bCs/>
          <w:sz w:val="28"/>
          <w:szCs w:val="28"/>
        </w:rPr>
      </w:pPr>
      <w:r>
        <w:rPr>
          <w:rFonts w:hint="eastAsia" w:hAnsi="黑体"/>
          <w:bCs/>
          <w:sz w:val="28"/>
          <w:szCs w:val="28"/>
        </w:rPr>
        <w:t>第五部分 附件</w:t>
      </w:r>
    </w:p>
    <w:p>
      <w:pPr>
        <w:pStyle w:val="14"/>
        <w:spacing w:line="500" w:lineRule="exact"/>
        <w:rPr>
          <w:rFonts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ascii="方正小标宋_GBK" w:hAnsi="方正小标宋_GBK" w:eastAsia="方正小标宋_GBK" w:cs="方正小标宋_GBK"/>
          <w:sz w:val="84"/>
          <w:szCs w:val="84"/>
        </w:rPr>
      </w:pP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农机事务中心部门概况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5"/>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pPr>
        <w:pStyle w:val="15"/>
        <w:ind w:firstLine="640"/>
        <w:jc w:val="left"/>
        <w:rPr>
          <w:rFonts w:ascii="仿宋" w:hAnsi="仿宋" w:eastAsia="仿宋" w:cs="仿宋"/>
          <w:sz w:val="32"/>
          <w:szCs w:val="32"/>
        </w:rPr>
      </w:pPr>
      <w:r>
        <w:rPr>
          <w:rFonts w:hint="eastAsia" w:ascii="仿宋" w:hAnsi="仿宋" w:eastAsia="仿宋" w:cs="仿宋"/>
          <w:sz w:val="32"/>
          <w:szCs w:val="32"/>
        </w:rPr>
        <w:t>根据道政办发（2020）50号文件规定，本单位的主要工作职责是：</w:t>
      </w:r>
    </w:p>
    <w:p>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仿宋_GB2312" w:hAnsi="仿宋" w:eastAsia="仿宋_GB2312"/>
          <w:sz w:val="32"/>
          <w:szCs w:val="32"/>
        </w:rPr>
        <w:t>承担农业机械化补贴政策实施相关事务性工作。</w:t>
      </w:r>
    </w:p>
    <w:p>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（二）</w:t>
      </w:r>
      <w:r>
        <w:rPr>
          <w:rFonts w:hint="eastAsia" w:ascii="仿宋_GB2312" w:hAnsi="仿宋" w:eastAsia="仿宋_GB2312"/>
          <w:sz w:val="32"/>
          <w:szCs w:val="32"/>
        </w:rPr>
        <w:t>承担农业机械化从业人员教育培训和职业技能开发。</w:t>
      </w:r>
    </w:p>
    <w:p>
      <w:pPr>
        <w:spacing w:line="520" w:lineRule="exact"/>
        <w:ind w:firstLine="640"/>
        <w:rPr>
          <w:rFonts w:ascii="仿宋_GB2312" w:hAnsi="仿宋" w:eastAsia="仿宋_GB2312"/>
          <w:sz w:val="32"/>
          <w:szCs w:val="32"/>
        </w:rPr>
      </w:pPr>
      <w:r>
        <w:rPr>
          <w:rFonts w:hint="eastAsia" w:ascii="Times New Roman" w:hAnsi="Times New Roman" w:eastAsia="仿宋_GB2312" w:cs="仿宋_GB2312"/>
          <w:sz w:val="32"/>
          <w:szCs w:val="32"/>
        </w:rPr>
        <w:t xml:space="preserve"> （三）</w:t>
      </w:r>
      <w:r>
        <w:rPr>
          <w:rFonts w:hint="eastAsia" w:ascii="仿宋_GB2312" w:hAnsi="仿宋" w:eastAsia="仿宋_GB2312"/>
          <w:sz w:val="32"/>
          <w:szCs w:val="32"/>
        </w:rPr>
        <w:t>承担农业机械化新机具、新技术引进和示范推广。</w:t>
      </w:r>
    </w:p>
    <w:p>
      <w:pPr>
        <w:jc w:val="left"/>
        <w:rPr>
          <w:rFonts w:ascii="Times New Roman" w:hAnsi="Times New Roman" w:eastAsia="仿宋_GB2312" w:cs="仿宋_GB2312"/>
          <w:sz w:val="32"/>
          <w:szCs w:val="32"/>
        </w:rPr>
      </w:pPr>
    </w:p>
    <w:p>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widowControl/>
        <w:spacing w:line="600" w:lineRule="exact"/>
        <w:rPr>
          <w:rFonts w:ascii="仿宋_GB2312" w:hAnsi="仿宋" w:eastAsia="仿宋_GB2312"/>
          <w:sz w:val="32"/>
          <w:szCs w:val="32"/>
        </w:rPr>
      </w:pPr>
      <w:r>
        <w:rPr>
          <w:rFonts w:hint="eastAsia" w:ascii="Times New Roman" w:hAnsi="Times New Roman" w:eastAsia="仿宋_GB2312" w:cs="仿宋_GB2312"/>
          <w:bCs/>
          <w:kern w:val="0"/>
          <w:sz w:val="32"/>
          <w:szCs w:val="32"/>
        </w:rPr>
        <w:t>（一）内设机构设置。道县农机事务中心单位内设机构包括：</w:t>
      </w:r>
      <w:r>
        <w:rPr>
          <w:rFonts w:hint="eastAsia" w:ascii="仿宋_GB2312" w:hAnsi="仿宋" w:eastAsia="仿宋_GB2312"/>
          <w:sz w:val="32"/>
          <w:szCs w:val="32"/>
        </w:rPr>
        <w:t>综合室、农机推广服务室、产业发展室3个职能股室。</w:t>
      </w:r>
    </w:p>
    <w:p>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（二）决算单位构成。道县农机事务中心单位2025年部门决算汇总公开单位构成包括：单位本级以及农机安全监理站。</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4"/>
        <w:jc w:val="center"/>
        <w:rPr>
          <w:rFonts w:ascii="方正小标宋_GBK" w:hAnsi="方正小标宋_GBK" w:eastAsia="方正小标宋_GBK" w:cs="方正小标宋_GBK"/>
          <w:sz w:val="84"/>
          <w:szCs w:val="84"/>
        </w:rPr>
      </w:pP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449"/>
        <w:gridCol w:w="133"/>
        <w:gridCol w:w="318"/>
        <w:gridCol w:w="3634"/>
        <w:gridCol w:w="2581"/>
        <w:gridCol w:w="1295"/>
        <w:gridCol w:w="1295"/>
        <w:gridCol w:w="1295"/>
        <w:gridCol w:w="1295"/>
        <w:gridCol w:w="1296"/>
        <w:gridCol w:w="1837"/>
      </w:tblGrid>
      <w:tr>
        <w:tblPrEx>
          <w:tblCellMar>
            <w:top w:w="0" w:type="dxa"/>
            <w:left w:w="0" w:type="dxa"/>
            <w:bottom w:w="0" w:type="dxa"/>
            <w:right w:w="0" w:type="dxa"/>
          </w:tblCellMar>
        </w:tblPrEx>
        <w:trPr>
          <w:trHeight w:val="435" w:hRule="atLeast"/>
        </w:trPr>
        <w:tc>
          <w:tcPr>
            <w:tcW w:w="15428" w:type="dxa"/>
            <w:gridSpan w:val="11"/>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4756" w:type="dxa"/>
              <w:jc w:val="center"/>
              <w:tblLayout w:type="fixed"/>
              <w:tblCellMar>
                <w:top w:w="0" w:type="dxa"/>
                <w:left w:w="108" w:type="dxa"/>
                <w:bottom w:w="0" w:type="dxa"/>
                <w:right w:w="108" w:type="dxa"/>
              </w:tblCellMar>
            </w:tblPr>
            <w:tblGrid>
              <w:gridCol w:w="4239"/>
              <w:gridCol w:w="566"/>
              <w:gridCol w:w="2108"/>
              <w:gridCol w:w="4035"/>
              <w:gridCol w:w="1076"/>
              <w:gridCol w:w="522"/>
              <w:gridCol w:w="2091"/>
              <w:gridCol w:w="119"/>
            </w:tblGrid>
            <w:tr>
              <w:tblPrEx>
                <w:tblCellMar>
                  <w:top w:w="0" w:type="dxa"/>
                  <w:left w:w="108" w:type="dxa"/>
                  <w:bottom w:w="0" w:type="dxa"/>
                  <w:right w:w="108" w:type="dxa"/>
                </w:tblCellMar>
              </w:tblPrEx>
              <w:trPr>
                <w:trHeight w:val="267" w:hRule="atLeast"/>
                <w:jc w:val="center"/>
              </w:trPr>
              <w:tc>
                <w:tcPr>
                  <w:tcW w:w="4239" w:type="dxa"/>
                  <w:tcBorders>
                    <w:top w:val="nil"/>
                    <w:left w:val="nil"/>
                    <w:bottom w:val="nil"/>
                    <w:right w:val="nil"/>
                  </w:tcBorders>
                  <w:shd w:val="clear" w:color="auto" w:fill="auto"/>
                  <w:noWrap/>
                  <w:vAlign w:val="center"/>
                </w:tcPr>
                <w:p>
                  <w:pPr>
                    <w:jc w:val="left"/>
                    <w:rPr>
                      <w:rFonts w:ascii="黑体" w:hAnsi="宋体" w:eastAsia="黑体" w:cs="黑体"/>
                      <w:color w:val="000000"/>
                      <w:sz w:val="24"/>
                      <w:szCs w:val="24"/>
                    </w:rPr>
                  </w:pPr>
                </w:p>
              </w:tc>
              <w:tc>
                <w:tcPr>
                  <w:tcW w:w="566"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2108"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4035"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598"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2210" w:type="dxa"/>
                  <w:gridSpan w:val="2"/>
                  <w:tcBorders>
                    <w:top w:val="nil"/>
                    <w:left w:val="nil"/>
                    <w:bottom w:val="nil"/>
                    <w:right w:val="nil"/>
                  </w:tcBorders>
                  <w:shd w:val="clear" w:color="auto" w:fill="auto"/>
                  <w:noWrap/>
                  <w:vAlign w:val="center"/>
                </w:tcPr>
                <w:p>
                  <w:pPr>
                    <w:jc w:val="right"/>
                    <w:rPr>
                      <w:rFonts w:ascii="黑体" w:hAnsi="宋体" w:eastAsia="黑体" w:cs="黑体"/>
                      <w:color w:val="000000"/>
                      <w:sz w:val="24"/>
                      <w:szCs w:val="24"/>
                    </w:rPr>
                  </w:pPr>
                </w:p>
              </w:tc>
            </w:tr>
            <w:tr>
              <w:tblPrEx>
                <w:tblCellMar>
                  <w:top w:w="0" w:type="dxa"/>
                  <w:left w:w="108" w:type="dxa"/>
                  <w:bottom w:w="0" w:type="dxa"/>
                  <w:right w:w="108" w:type="dxa"/>
                </w:tblCellMar>
              </w:tblPrEx>
              <w:trPr>
                <w:trHeight w:val="533" w:hRule="atLeast"/>
                <w:jc w:val="center"/>
              </w:trPr>
              <w:tc>
                <w:tcPr>
                  <w:tcW w:w="14756" w:type="dxa"/>
                  <w:gridSpan w:val="8"/>
                  <w:tcBorders>
                    <w:top w:val="nil"/>
                    <w:left w:val="nil"/>
                    <w:bottom w:val="nil"/>
                    <w:right w:val="nil"/>
                  </w:tcBorders>
                  <w:shd w:val="clear" w:color="auto" w:fill="auto"/>
                  <w:noWrap/>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trHeight w:val="267" w:hRule="atLeast"/>
                <w:jc w:val="center"/>
              </w:trPr>
              <w:tc>
                <w:tcPr>
                  <w:tcW w:w="4239"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566"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108"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4035"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598" w:type="dxa"/>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210"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267" w:hRule="atLeast"/>
                <w:jc w:val="center"/>
              </w:trPr>
              <w:tc>
                <w:tcPr>
                  <w:tcW w:w="4239" w:type="dxa"/>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部门：道县农机事务中心</w:t>
                  </w:r>
                </w:p>
              </w:tc>
              <w:tc>
                <w:tcPr>
                  <w:tcW w:w="566"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108"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4035" w:type="dxa"/>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1598" w:type="dxa"/>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2210"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119" w:type="dxa"/>
                <w:trHeight w:val="391" w:hRule="atLeast"/>
                <w:jc w:val="center"/>
              </w:trPr>
              <w:tc>
                <w:tcPr>
                  <w:tcW w:w="691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772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tblPrEx>
                <w:tblCellMar>
                  <w:top w:w="0" w:type="dxa"/>
                  <w:left w:w="108" w:type="dxa"/>
                  <w:bottom w:w="0" w:type="dxa"/>
                  <w:right w:w="108" w:type="dxa"/>
                </w:tblCellMar>
              </w:tblPrEx>
              <w:trPr>
                <w:gridAfter w:val="1"/>
                <w:wAfter w:w="119" w:type="dxa"/>
                <w:trHeight w:val="545"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2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2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1681.47</w:t>
                  </w: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374</w:t>
                  </w: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八、社会保障和就业支出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88.70</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九、卫生</w:t>
                  </w:r>
                  <w:r>
                    <w:rPr>
                      <w:rFonts w:hint="eastAsia" w:ascii="宋体" w:hAnsi="宋体" w:eastAsia="宋体" w:cs="宋体"/>
                      <w:color w:val="000000"/>
                      <w:kern w:val="0"/>
                      <w:sz w:val="22"/>
                    </w:rPr>
                    <w:t>健康</w:t>
                  </w:r>
                  <w:r>
                    <w:rPr>
                      <w:rFonts w:hint="eastAsia" w:ascii="宋体" w:hAnsi="宋体" w:eastAsia="宋体" w:cs="宋体"/>
                      <w:color w:val="000000"/>
                      <w:sz w:val="22"/>
                    </w:rPr>
                    <w:t>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 xml:space="preserve"> 16.71</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23</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jc w:val="right"/>
                    <w:rPr>
                      <w:rFonts w:ascii="宋体" w:hAnsi="宋体" w:eastAsia="宋体" w:cs="宋体"/>
                      <w:bCs/>
                      <w:color w:val="000000"/>
                      <w:sz w:val="22"/>
                    </w:rPr>
                  </w:pPr>
                  <w:r>
                    <w:rPr>
                      <w:rFonts w:hint="eastAsia" w:ascii="宋体" w:hAnsi="宋体" w:eastAsia="宋体" w:cs="宋体"/>
                      <w:bCs/>
                      <w:color w:val="000000"/>
                      <w:sz w:val="22"/>
                    </w:rPr>
                    <w:t>1576.06</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10" w:firstLineChars="100"/>
                    <w:jc w:val="right"/>
                    <w:rPr>
                      <w:rFonts w:ascii="宋体" w:hAnsi="宋体" w:eastAsia="宋体" w:cs="宋体"/>
                      <w:bCs/>
                      <w:color w:val="000000"/>
                      <w:szCs w:val="21"/>
                    </w:rPr>
                  </w:pPr>
                  <w:r>
                    <w:rPr>
                      <w:rFonts w:hint="eastAsia" w:ascii="宋体" w:hAnsi="宋体" w:eastAsia="宋体" w:cs="宋体"/>
                      <w:bCs/>
                      <w:color w:val="000000"/>
                      <w:szCs w:val="21"/>
                    </w:rPr>
                    <w:t>374</w:t>
                  </w: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2055.47</w:t>
                  </w: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545"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4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27</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gridAfter w:val="1"/>
                <w:wAfter w:w="119" w:type="dxa"/>
                <w:trHeight w:val="391" w:hRule="atLeast"/>
                <w:jc w:val="center"/>
              </w:trPr>
              <w:tc>
                <w:tcPr>
                  <w:tcW w:w="423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21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2055.47</w:t>
                  </w:r>
                </w:p>
              </w:tc>
              <w:tc>
                <w:tcPr>
                  <w:tcW w:w="4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10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28</w:t>
                  </w:r>
                </w:p>
              </w:tc>
              <w:tc>
                <w:tcPr>
                  <w:tcW w:w="261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bCs/>
                      <w:color w:val="000000"/>
                      <w:szCs w:val="21"/>
                    </w:rPr>
                  </w:pPr>
                  <w:r>
                    <w:rPr>
                      <w:rFonts w:hint="eastAsia" w:ascii="宋体" w:hAnsi="宋体" w:eastAsia="宋体" w:cs="宋体"/>
                      <w:color w:val="000000"/>
                      <w:sz w:val="22"/>
                    </w:rPr>
                    <w:t>2055.47</w:t>
                  </w:r>
                </w:p>
              </w:tc>
            </w:tr>
            <w:tr>
              <w:tblPrEx>
                <w:tblCellMar>
                  <w:top w:w="0" w:type="dxa"/>
                  <w:left w:w="108" w:type="dxa"/>
                  <w:bottom w:w="0" w:type="dxa"/>
                  <w:right w:w="108" w:type="dxa"/>
                </w:tblCellMar>
              </w:tblPrEx>
              <w:trPr>
                <w:trHeight w:val="875" w:hRule="atLeast"/>
                <w:jc w:val="center"/>
              </w:trPr>
              <w:tc>
                <w:tcPr>
                  <w:tcW w:w="14756" w:type="dxa"/>
                  <w:gridSpan w:val="8"/>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pPr>
              <w:jc w:val="center"/>
              <w:rPr>
                <w:rFonts w:ascii="华文中宋" w:hAnsi="华文中宋" w:eastAsia="华文中宋"/>
                <w:color w:val="000000"/>
                <w:sz w:val="32"/>
                <w:szCs w:val="32"/>
              </w:rPr>
            </w:pPr>
          </w:p>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449"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95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8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58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95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ind w:right="420"/>
              <w:rPr>
                <w:rFonts w:ascii="宋体" w:hAnsi="宋体" w:eastAsia="宋体" w:cs="宋体"/>
                <w:sz w:val="24"/>
                <w:szCs w:val="24"/>
              </w:rPr>
            </w:pPr>
            <w:r>
              <w:rPr>
                <w:rFonts w:hint="eastAsia"/>
              </w:rPr>
              <w:t>道县农机事务中心</w:t>
            </w:r>
          </w:p>
        </w:tc>
        <w:tc>
          <w:tcPr>
            <w:tcW w:w="258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4534" w:type="dxa"/>
            <w:gridSpan w:val="4"/>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258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2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2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29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18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900" w:type="dxa"/>
            <w:gridSpan w:val="3"/>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63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258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900"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634"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8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37"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4534"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258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2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29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83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4534" w:type="dxa"/>
            <w:gridSpan w:val="4"/>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2055.47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2055.47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　2080505</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机关事业单位基本养老保险缴费支出</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30.87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30.87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　2080801</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死亡抚恤</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57.83</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57.83</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　2101102</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事业单位医疗</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16.71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16.71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　2130104</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事业运行</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417.06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417.06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　2130122</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农业生产发展</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1144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1144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2130199</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其他农业农村支出</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15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15　</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450" w:hRule="atLeast"/>
        </w:trPr>
        <w:tc>
          <w:tcPr>
            <w:tcW w:w="90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2159802</w:t>
            </w:r>
          </w:p>
        </w:tc>
        <w:tc>
          <w:tcPr>
            <w:tcW w:w="3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pPr>
            <w:r>
              <w:rPr>
                <w:rFonts w:hint="eastAsia"/>
              </w:rPr>
              <w:t>制造业</w:t>
            </w:r>
          </w:p>
        </w:tc>
        <w:tc>
          <w:tcPr>
            <w:tcW w:w="258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374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2"/>
              </w:rPr>
            </w:pPr>
            <w:r>
              <w:rPr>
                <w:rFonts w:hint="eastAsia" w:ascii="宋体" w:hAnsi="宋体" w:eastAsia="宋体" w:cs="宋体"/>
                <w:sz w:val="22"/>
              </w:rPr>
              <w:t>374</w:t>
            </w: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29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c>
          <w:tcPr>
            <w:tcW w:w="18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pPr>
          </w:p>
        </w:tc>
      </w:tr>
      <w:tr>
        <w:tblPrEx>
          <w:tblCellMar>
            <w:top w:w="0" w:type="dxa"/>
            <w:left w:w="0" w:type="dxa"/>
            <w:bottom w:w="0" w:type="dxa"/>
            <w:right w:w="0" w:type="dxa"/>
          </w:tblCellMar>
        </w:tblPrEx>
        <w:trPr>
          <w:trHeight w:val="615" w:hRule="atLeast"/>
        </w:trPr>
        <w:tc>
          <w:tcPr>
            <w:tcW w:w="15428" w:type="dxa"/>
            <w:gridSpan w:val="11"/>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方正小标宋_GBK" w:cs="Times New Roman"/>
          <w:color w:val="000000"/>
          <w:kern w:val="0"/>
          <w:sz w:val="36"/>
          <w:szCs w:val="36"/>
        </w:rPr>
      </w:pPr>
      <w:r>
        <w:rPr>
          <w:rFonts w:ascii="Times New Roman" w:hAnsi="Times New Roman" w:eastAsia="黑体" w:cs="Times New Roman"/>
          <w:bCs/>
          <w:kern w:val="0"/>
          <w:sz w:val="32"/>
          <w:szCs w:val="32"/>
        </w:rPr>
        <w:br w:type="page"/>
      </w:r>
    </w:p>
    <w:tbl>
      <w:tblPr>
        <w:tblStyle w:val="10"/>
        <w:tblW w:w="15640" w:type="dxa"/>
        <w:tblInd w:w="93" w:type="dxa"/>
        <w:tblLayout w:type="fixed"/>
        <w:tblCellMar>
          <w:top w:w="0" w:type="dxa"/>
          <w:left w:w="108" w:type="dxa"/>
          <w:bottom w:w="0" w:type="dxa"/>
          <w:right w:w="108" w:type="dxa"/>
        </w:tblCellMar>
      </w:tblPr>
      <w:tblGrid>
        <w:gridCol w:w="1236"/>
        <w:gridCol w:w="263"/>
        <w:gridCol w:w="1210"/>
        <w:gridCol w:w="283"/>
        <w:gridCol w:w="397"/>
        <w:gridCol w:w="175"/>
        <w:gridCol w:w="434"/>
        <w:gridCol w:w="128"/>
        <w:gridCol w:w="806"/>
        <w:gridCol w:w="263"/>
        <w:gridCol w:w="491"/>
        <w:gridCol w:w="1237"/>
        <w:gridCol w:w="1652"/>
        <w:gridCol w:w="339"/>
        <w:gridCol w:w="287"/>
        <w:gridCol w:w="433"/>
        <w:gridCol w:w="1271"/>
        <w:gridCol w:w="289"/>
        <w:gridCol w:w="1383"/>
        <w:gridCol w:w="319"/>
        <w:gridCol w:w="1064"/>
        <w:gridCol w:w="1561"/>
        <w:gridCol w:w="119"/>
      </w:tblGrid>
      <w:tr>
        <w:tblPrEx>
          <w:tblCellMar>
            <w:top w:w="0" w:type="dxa"/>
            <w:left w:w="108" w:type="dxa"/>
            <w:bottom w:w="0" w:type="dxa"/>
            <w:right w:w="108" w:type="dxa"/>
          </w:tblCellMar>
        </w:tblPrEx>
        <w:trPr>
          <w:trHeight w:val="807" w:hRule="atLeast"/>
        </w:trPr>
        <w:tc>
          <w:tcPr>
            <w:tcW w:w="15640" w:type="dxa"/>
            <w:gridSpan w:val="23"/>
            <w:tcBorders>
              <w:top w:val="nil"/>
              <w:left w:val="nil"/>
              <w:bottom w:val="nil"/>
              <w:right w:val="nil"/>
            </w:tcBorders>
            <w:shd w:val="clear" w:color="auto" w:fill="auto"/>
            <w:noWrap/>
            <w:vAlign w:val="center"/>
          </w:tcPr>
          <w:p>
            <w:pPr>
              <w:widowControl/>
              <w:ind w:firstLine="7360" w:firstLineChars="2300"/>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56" w:type="dxa"/>
            <w:gridSpan w:val="3"/>
            <w:tcBorders>
              <w:top w:val="nil"/>
              <w:left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7" w:type="dxa"/>
            <w:tcBorders>
              <w:top w:val="nil"/>
              <w:left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3"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2709" w:type="dxa"/>
            <w:gridSpan w:val="3"/>
            <w:tcBorders>
              <w:bottom w:val="single" w:color="auto" w:sz="4" w:space="0"/>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部门：道县农机事务中心</w:t>
            </w:r>
          </w:p>
        </w:tc>
        <w:tc>
          <w:tcPr>
            <w:tcW w:w="283" w:type="dxa"/>
            <w:tcBorders>
              <w:bottom w:val="single" w:color="auto" w:sz="4" w:space="0"/>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7" w:type="dxa"/>
            <w:tcBorders>
              <w:bottom w:val="single" w:color="auto" w:sz="4" w:space="0"/>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3" w:type="dxa"/>
            <w:gridSpan w:val="4"/>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2"/>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3389"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543"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890" w:type="dxa"/>
            <w:gridSpan w:val="3"/>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543"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90" w:type="dxa"/>
            <w:gridSpan w:val="3"/>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3"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338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543" w:type="dxa"/>
            <w:gridSpan w:val="4"/>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338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2055.47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522.47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1533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2080505</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ascii="宋体" w:hAnsi="宋体" w:cs="宋体"/>
                <w:szCs w:val="21"/>
              </w:rPr>
              <w:t>机关事业单位基本养老保险缴费支出</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30.87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30.87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2080801</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死亡抚恤</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57.83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57.83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2101102</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事业单位医疗</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16.71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16.71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2130104</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ascii="宋体" w:hAnsi="宋体" w:cs="宋体"/>
                <w:szCs w:val="21"/>
              </w:rPr>
              <w:t>事业运行</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417.06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417.06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2130122</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rFonts w:ascii="宋体" w:hAnsi="宋体" w:cs="宋体"/>
                <w:szCs w:val="21"/>
              </w:rPr>
            </w:pPr>
            <w:r>
              <w:rPr>
                <w:rFonts w:hint="eastAsia"/>
                <w:szCs w:val="21"/>
              </w:rPr>
              <w:t>农业生产发展</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1144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1144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Cs w:val="21"/>
              </w:rPr>
            </w:pPr>
            <w:r>
              <w:rPr>
                <w:rFonts w:hint="eastAsia"/>
                <w:szCs w:val="21"/>
              </w:rPr>
              <w:t>2130199</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szCs w:val="21"/>
              </w:rPr>
            </w:pPr>
            <w:r>
              <w:rPr>
                <w:rFonts w:hint="eastAsia"/>
                <w:szCs w:val="21"/>
              </w:rPr>
              <w:t>其他农业农村支出</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15</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15</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Cs w:val="21"/>
              </w:rPr>
            </w:pPr>
            <w:r>
              <w:rPr>
                <w:rFonts w:hint="eastAsia"/>
                <w:szCs w:val="21"/>
              </w:rPr>
              <w:t>2159802</w:t>
            </w:r>
          </w:p>
        </w:tc>
        <w:tc>
          <w:tcPr>
            <w:tcW w:w="1890" w:type="dxa"/>
            <w:gridSpan w:val="3"/>
            <w:tcBorders>
              <w:top w:val="nil"/>
              <w:left w:val="nil"/>
              <w:bottom w:val="single" w:color="auto" w:sz="4" w:space="0"/>
              <w:right w:val="single" w:color="auto" w:sz="4" w:space="0"/>
            </w:tcBorders>
            <w:shd w:val="clear" w:color="000000" w:fill="FFFFFF"/>
            <w:noWrap/>
            <w:vAlign w:val="center"/>
          </w:tcPr>
          <w:p>
            <w:pPr>
              <w:rPr>
                <w:szCs w:val="21"/>
              </w:rPr>
            </w:pPr>
            <w:r>
              <w:rPr>
                <w:rFonts w:hint="eastAsia"/>
                <w:szCs w:val="21"/>
              </w:rPr>
              <w:t>制造业</w:t>
            </w:r>
          </w:p>
        </w:tc>
        <w:tc>
          <w:tcPr>
            <w:tcW w:w="1543" w:type="dxa"/>
            <w:gridSpan w:val="4"/>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374</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991"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374</w:t>
            </w: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744"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23"/>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r>
        <w:tblPrEx>
          <w:tblCellMar>
            <w:top w:w="0" w:type="dxa"/>
            <w:left w:w="108" w:type="dxa"/>
            <w:bottom w:w="0" w:type="dxa"/>
            <w:right w:w="108" w:type="dxa"/>
          </w:tblCellMar>
        </w:tblPrEx>
        <w:trPr>
          <w:gridAfter w:val="1"/>
          <w:wAfter w:w="119" w:type="dxa"/>
          <w:trHeight w:val="285" w:hRule="atLeast"/>
        </w:trPr>
        <w:tc>
          <w:tcPr>
            <w:tcW w:w="3564" w:type="dxa"/>
            <w:gridSpan w:val="6"/>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688" w:type="dxa"/>
            <w:gridSpan w:val="4"/>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15" w:type="dxa"/>
            <w:gridSpan w:val="4"/>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60"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8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83"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61"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rPr>
          <w:gridAfter w:val="1"/>
          <w:wAfter w:w="119" w:type="dxa"/>
          <w:trHeight w:val="360" w:hRule="atLeast"/>
        </w:trPr>
        <w:tc>
          <w:tcPr>
            <w:tcW w:w="15521" w:type="dxa"/>
            <w:gridSpan w:val="22"/>
            <w:tcBorders>
              <w:top w:val="nil"/>
              <w:left w:val="nil"/>
              <w:bottom w:val="nil"/>
              <w:right w:val="nil"/>
            </w:tcBorders>
            <w:shd w:val="clear" w:color="auto" w:fill="auto"/>
            <w:noWrap/>
            <w:vAlign w:val="center"/>
          </w:tcPr>
          <w:p>
            <w:pPr>
              <w:widowControl/>
              <w:ind w:firstLine="6400" w:firstLineChars="2000"/>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gridAfter w:val="1"/>
          <w:wAfter w:w="119" w:type="dxa"/>
          <w:trHeight w:val="199" w:hRule="atLeast"/>
        </w:trPr>
        <w:tc>
          <w:tcPr>
            <w:tcW w:w="3564" w:type="dxa"/>
            <w:gridSpan w:val="6"/>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06"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gridAfter w:val="1"/>
          <w:wAfter w:w="119" w:type="dxa"/>
          <w:trHeight w:val="300" w:hRule="atLeast"/>
        </w:trPr>
        <w:tc>
          <w:tcPr>
            <w:tcW w:w="3564" w:type="dxa"/>
            <w:gridSpan w:val="6"/>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部门：道县农机事务中心</w:t>
            </w:r>
          </w:p>
        </w:tc>
        <w:tc>
          <w:tcPr>
            <w:tcW w:w="43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7"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06" w:type="dxa"/>
            <w:gridSpan w:val="5"/>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83"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1"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119" w:type="dxa"/>
          <w:trHeight w:val="402" w:hRule="atLeast"/>
        </w:trPr>
        <w:tc>
          <w:tcPr>
            <w:tcW w:w="5195" w:type="dxa"/>
            <w:gridSpan w:val="10"/>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26" w:type="dxa"/>
            <w:gridSpan w:val="12"/>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gridAfter w:val="1"/>
          <w:wAfter w:w="119" w:type="dxa"/>
          <w:trHeight w:val="630"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8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83"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6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1681.47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374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sz w:val="24"/>
                <w:szCs w:val="24"/>
              </w:rPr>
              <w:t>八、社会保障和就业支出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56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88.70</w:t>
            </w:r>
          </w:p>
        </w:tc>
        <w:tc>
          <w:tcPr>
            <w:tcW w:w="13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88.70</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p>
        </w:tc>
        <w:tc>
          <w:tcPr>
            <w:tcW w:w="3380"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九、卫生健康支出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6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 xml:space="preserve"> 16.71</w:t>
            </w:r>
          </w:p>
        </w:tc>
        <w:tc>
          <w:tcPr>
            <w:tcW w:w="13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sz w:val="22"/>
              </w:rPr>
            </w:pPr>
            <w:r>
              <w:rPr>
                <w:rFonts w:hint="eastAsia" w:ascii="宋体" w:hAnsi="宋体" w:eastAsia="宋体" w:cs="宋体"/>
                <w:color w:val="000000"/>
                <w:sz w:val="22"/>
              </w:rPr>
              <w:t xml:space="preserve"> 16.71</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Cs w:val="21"/>
              </w:rPr>
            </w:pP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十二、农林水支出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60" w:type="dxa"/>
            <w:gridSpan w:val="2"/>
            <w:tcBorders>
              <w:top w:val="nil"/>
              <w:left w:val="nil"/>
              <w:bottom w:val="single" w:color="auto" w:sz="4" w:space="0"/>
              <w:right w:val="single" w:color="auto" w:sz="4" w:space="0"/>
            </w:tcBorders>
            <w:shd w:val="clear" w:color="auto" w:fill="auto"/>
            <w:noWrap/>
            <w:vAlign w:val="center"/>
          </w:tcPr>
          <w:p>
            <w:pPr>
              <w:ind w:firstLine="220" w:firstLineChars="100"/>
              <w:jc w:val="right"/>
              <w:rPr>
                <w:rFonts w:ascii="宋体" w:hAnsi="宋体" w:eastAsia="宋体" w:cs="宋体"/>
                <w:bCs/>
                <w:color w:val="000000"/>
                <w:sz w:val="22"/>
              </w:rPr>
            </w:pPr>
            <w:r>
              <w:rPr>
                <w:rFonts w:hint="eastAsia" w:ascii="宋体" w:hAnsi="宋体" w:eastAsia="宋体" w:cs="宋体"/>
                <w:bCs/>
                <w:color w:val="000000"/>
                <w:sz w:val="22"/>
              </w:rPr>
              <w:t>1576.06</w:t>
            </w:r>
          </w:p>
        </w:tc>
        <w:tc>
          <w:tcPr>
            <w:tcW w:w="1383" w:type="dxa"/>
            <w:tcBorders>
              <w:top w:val="nil"/>
              <w:left w:val="nil"/>
              <w:bottom w:val="single" w:color="auto" w:sz="4" w:space="0"/>
              <w:right w:val="single" w:color="auto" w:sz="4" w:space="0"/>
            </w:tcBorders>
            <w:shd w:val="clear" w:color="auto" w:fill="auto"/>
            <w:noWrap/>
            <w:vAlign w:val="center"/>
          </w:tcPr>
          <w:p>
            <w:pPr>
              <w:ind w:firstLine="220" w:firstLineChars="100"/>
              <w:jc w:val="right"/>
              <w:rPr>
                <w:rFonts w:ascii="宋体" w:hAnsi="宋体" w:eastAsia="宋体" w:cs="宋体"/>
                <w:bCs/>
                <w:color w:val="000000"/>
                <w:szCs w:val="21"/>
              </w:rPr>
            </w:pPr>
            <w:r>
              <w:rPr>
                <w:rFonts w:hint="eastAsia" w:ascii="宋体" w:hAnsi="宋体" w:eastAsia="宋体" w:cs="宋体"/>
                <w:bCs/>
                <w:color w:val="000000"/>
                <w:sz w:val="22"/>
              </w:rPr>
              <w:t>1576.06</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Cs w:val="21"/>
              </w:rPr>
            </w:pPr>
            <w:r>
              <w:rPr>
                <w:rFonts w:hint="eastAsia" w:ascii="宋体" w:hAnsi="宋体" w:eastAsia="宋体" w:cs="宋体"/>
                <w:kern w:val="0"/>
                <w:szCs w:val="21"/>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十四、资源勘探工业信息等支出</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60" w:type="dxa"/>
            <w:gridSpan w:val="2"/>
            <w:tcBorders>
              <w:top w:val="nil"/>
              <w:left w:val="nil"/>
              <w:bottom w:val="single" w:color="auto" w:sz="4" w:space="0"/>
              <w:right w:val="single" w:color="auto" w:sz="4" w:space="0"/>
            </w:tcBorders>
            <w:shd w:val="clear" w:color="auto" w:fill="auto"/>
            <w:noWrap/>
            <w:vAlign w:val="center"/>
          </w:tcPr>
          <w:p>
            <w:pPr>
              <w:ind w:firstLine="210" w:firstLineChars="100"/>
              <w:jc w:val="right"/>
              <w:rPr>
                <w:rFonts w:ascii="宋体" w:hAnsi="宋体" w:eastAsia="宋体" w:cs="宋体"/>
                <w:bCs/>
                <w:color w:val="000000"/>
                <w:sz w:val="22"/>
              </w:rPr>
            </w:pPr>
            <w:r>
              <w:rPr>
                <w:rFonts w:hint="eastAsia" w:ascii="宋体" w:hAnsi="宋体" w:eastAsia="宋体" w:cs="宋体"/>
                <w:bCs/>
                <w:color w:val="000000"/>
                <w:szCs w:val="21"/>
              </w:rPr>
              <w:t>374</w:t>
            </w:r>
          </w:p>
        </w:tc>
        <w:tc>
          <w:tcPr>
            <w:tcW w:w="1383" w:type="dxa"/>
            <w:tcBorders>
              <w:top w:val="nil"/>
              <w:left w:val="nil"/>
              <w:bottom w:val="single" w:color="auto" w:sz="4" w:space="0"/>
              <w:right w:val="single" w:color="auto" w:sz="4" w:space="0"/>
            </w:tcBorders>
            <w:shd w:val="clear" w:color="auto" w:fill="auto"/>
            <w:noWrap/>
            <w:vAlign w:val="center"/>
          </w:tcPr>
          <w:p>
            <w:pPr>
              <w:ind w:firstLine="210" w:firstLineChars="100"/>
              <w:jc w:val="right"/>
              <w:rPr>
                <w:rFonts w:ascii="宋体" w:hAnsi="宋体" w:eastAsia="宋体" w:cs="宋体"/>
                <w:bCs/>
                <w:color w:val="000000"/>
                <w:sz w:val="22"/>
              </w:rPr>
            </w:pPr>
            <w:r>
              <w:rPr>
                <w:rFonts w:hint="eastAsia" w:ascii="宋体" w:hAnsi="宋体" w:eastAsia="宋体" w:cs="宋体"/>
                <w:bCs/>
                <w:color w:val="000000"/>
                <w:szCs w:val="21"/>
              </w:rPr>
              <w:t>374</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Cs w:val="21"/>
              </w:rPr>
            </w:pPr>
            <w:r>
              <w:rPr>
                <w:rFonts w:hint="eastAsia" w:ascii="宋体" w:hAnsi="宋体" w:eastAsia="宋体" w:cs="宋体"/>
                <w:kern w:val="0"/>
                <w:szCs w:val="21"/>
              </w:rPr>
              <w:t>2055.47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6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8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59"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562"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56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380"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59" w:type="dxa"/>
            <w:gridSpan w:val="3"/>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30</w:t>
            </w:r>
          </w:p>
        </w:tc>
        <w:tc>
          <w:tcPr>
            <w:tcW w:w="1560"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gridAfter w:val="1"/>
          <w:wAfter w:w="119" w:type="dxa"/>
          <w:trHeight w:val="402" w:hRule="atLeast"/>
        </w:trPr>
        <w:tc>
          <w:tcPr>
            <w:tcW w:w="3564" w:type="dxa"/>
            <w:gridSpan w:val="6"/>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562"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069"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Cs w:val="21"/>
              </w:rPr>
              <w:t>2055.47</w:t>
            </w:r>
            <w:r>
              <w:rPr>
                <w:rFonts w:hint="eastAsia" w:ascii="宋体" w:hAnsi="宋体" w:eastAsia="宋体" w:cs="宋体"/>
                <w:kern w:val="0"/>
                <w:sz w:val="22"/>
              </w:rPr>
              <w:t>　</w:t>
            </w:r>
          </w:p>
        </w:tc>
        <w:tc>
          <w:tcPr>
            <w:tcW w:w="3380"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59"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31</w:t>
            </w:r>
          </w:p>
        </w:tc>
        <w:tc>
          <w:tcPr>
            <w:tcW w:w="1560" w:type="dxa"/>
            <w:gridSpan w:val="2"/>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kern w:val="0"/>
                <w:sz w:val="22"/>
              </w:rPr>
            </w:pPr>
            <w:r>
              <w:rPr>
                <w:rFonts w:hint="eastAsia" w:ascii="宋体" w:hAnsi="宋体" w:eastAsia="宋体" w:cs="宋体"/>
                <w:kern w:val="0"/>
                <w:szCs w:val="21"/>
              </w:rPr>
              <w:t>2055.47</w:t>
            </w:r>
          </w:p>
        </w:tc>
        <w:tc>
          <w:tcPr>
            <w:tcW w:w="1383" w:type="dxa"/>
            <w:tcBorders>
              <w:top w:val="nil"/>
              <w:left w:val="nil"/>
              <w:bottom w:val="single" w:color="auto" w:sz="4" w:space="0"/>
              <w:right w:val="single" w:color="auto" w:sz="4" w:space="0"/>
            </w:tcBorders>
            <w:shd w:val="clear" w:color="000000" w:fill="FFFFFF"/>
            <w:noWrap/>
            <w:vAlign w:val="center"/>
          </w:tcPr>
          <w:p>
            <w:pPr>
              <w:widowControl/>
              <w:jc w:val="right"/>
              <w:rPr>
                <w:rFonts w:ascii="宋体" w:hAnsi="宋体" w:eastAsia="宋体" w:cs="宋体"/>
                <w:kern w:val="0"/>
                <w:sz w:val="22"/>
              </w:rPr>
            </w:pPr>
            <w:r>
              <w:rPr>
                <w:rFonts w:hint="eastAsia" w:ascii="宋体" w:hAnsi="宋体" w:eastAsia="宋体" w:cs="宋体"/>
                <w:kern w:val="0"/>
                <w:szCs w:val="21"/>
              </w:rPr>
              <w:t>2055.47</w:t>
            </w:r>
            <w:r>
              <w:rPr>
                <w:rFonts w:hint="eastAsia" w:ascii="宋体" w:hAnsi="宋体" w:eastAsia="宋体" w:cs="宋体"/>
                <w:kern w:val="0"/>
                <w:sz w:val="22"/>
              </w:rPr>
              <w:t>　</w:t>
            </w:r>
          </w:p>
        </w:tc>
        <w:tc>
          <w:tcPr>
            <w:tcW w:w="138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6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gridAfter w:val="1"/>
          <w:wAfter w:w="119" w:type="dxa"/>
          <w:trHeight w:val="585" w:hRule="atLeast"/>
        </w:trPr>
        <w:tc>
          <w:tcPr>
            <w:tcW w:w="15521" w:type="dxa"/>
            <w:gridSpan w:val="22"/>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rPr>
          <w:rFonts w:ascii="Times New Roman" w:hAnsi="Times New Roman" w:eastAsia="方正小标宋_GBK" w:cs="Times New Roman"/>
          <w:kern w:val="0"/>
          <w:sz w:val="36"/>
          <w:szCs w:val="36"/>
        </w:rPr>
      </w:pPr>
    </w:p>
    <w:p>
      <w:pPr>
        <w:widowControl/>
        <w:jc w:val="center"/>
        <w:rPr>
          <w:rFonts w:ascii="华文中宋" w:hAnsi="华文中宋" w:eastAsia="华文中宋" w:cs="宋体"/>
          <w:color w:val="000000"/>
          <w:kern w:val="0"/>
          <w:sz w:val="32"/>
          <w:szCs w:val="32"/>
        </w:rPr>
      </w:pPr>
      <w:r>
        <w:rPr>
          <w:rFonts w:ascii="华文中宋" w:hAnsi="华文中宋" w:eastAsia="华文中宋" w:cs="宋体"/>
          <w:color w:val="000000"/>
          <w:kern w:val="0"/>
          <w:sz w:val="32"/>
          <w:szCs w:val="32"/>
        </w:rPr>
        <w:t>一般公共预算财政拨款支出决算表</w:t>
      </w:r>
      <w:bookmarkEnd w:id="1"/>
    </w:p>
    <w:p>
      <w:pPr>
        <w:widowControl/>
        <w:ind w:firstLine="700" w:firstLineChars="350"/>
        <w:jc w:val="left"/>
        <w:rPr>
          <w:rFonts w:ascii="宋体" w:hAnsi="宋体" w:eastAsia="宋体" w:cs="宋体"/>
          <w:color w:val="000000"/>
          <w:kern w:val="0"/>
          <w:sz w:val="20"/>
          <w:szCs w:val="20"/>
        </w:rPr>
      </w:pPr>
      <w:r>
        <w:rPr>
          <w:rFonts w:cs="宋体" w:asciiTheme="minorEastAsia" w:hAnsiTheme="minorEastAsia"/>
          <w:color w:val="000000"/>
          <w:kern w:val="0"/>
          <w:sz w:val="20"/>
          <w:szCs w:val="20"/>
        </w:rPr>
        <w:t xml:space="preserve">                    </w:t>
      </w:r>
      <w:r>
        <w:rPr>
          <w:rFonts w:hint="eastAsia" w:cs="宋体" w:asciiTheme="minorEastAsia" w:hAnsiTheme="minorEastAsia"/>
          <w:color w:val="000000"/>
          <w:kern w:val="0"/>
          <w:sz w:val="20"/>
          <w:szCs w:val="20"/>
        </w:rPr>
        <w:t xml:space="preserve">                          </w:t>
      </w:r>
      <w:r>
        <w:rPr>
          <w:rFonts w:hint="eastAsia" w:cs="Times New Roman" w:asciiTheme="minorEastAsia" w:hAnsiTheme="minorEastAsia"/>
          <w:color w:val="000000"/>
          <w:kern w:val="0"/>
          <w:szCs w:val="21"/>
        </w:rPr>
        <w:t xml:space="preserve">                </w:t>
      </w:r>
      <w:r>
        <w:rPr>
          <w:rFonts w:cs="Times New Roman" w:asciiTheme="minorEastAsia" w:hAnsiTheme="minorEastAsia"/>
          <w:color w:val="000000"/>
          <w:kern w:val="0"/>
          <w:szCs w:val="21"/>
        </w:rPr>
        <w:t xml:space="preserve">                 </w:t>
      </w:r>
      <w:r>
        <w:rPr>
          <w:rFonts w:hint="eastAsia" w:cs="Times New Roman" w:asciiTheme="minorEastAsia" w:hAnsiTheme="minorEastAsia"/>
          <w:color w:val="000000"/>
          <w:kern w:val="0"/>
          <w:szCs w:val="21"/>
        </w:rPr>
        <w:t xml:space="preserve">                                                </w:t>
      </w:r>
      <w:r>
        <w:rPr>
          <w:rFonts w:ascii="宋体" w:hAnsi="宋体" w:eastAsia="宋体" w:cs="宋体"/>
          <w:color w:val="000000"/>
          <w:kern w:val="0"/>
          <w:sz w:val="20"/>
          <w:szCs w:val="20"/>
        </w:rPr>
        <w:t>公开05表</w:t>
      </w:r>
    </w:p>
    <w:p>
      <w:pPr>
        <w:widowControl/>
        <w:ind w:firstLine="600" w:firstLineChars="300"/>
        <w:rPr>
          <w:rFonts w:ascii="宋体" w:hAnsi="宋体" w:eastAsia="宋体" w:cs="宋体"/>
          <w:color w:val="000000"/>
          <w:kern w:val="0"/>
          <w:sz w:val="20"/>
          <w:szCs w:val="20"/>
        </w:rPr>
      </w:pPr>
      <w:r>
        <w:rPr>
          <w:rFonts w:ascii="宋体" w:hAnsi="宋体" w:eastAsia="宋体" w:cs="宋体"/>
          <w:color w:val="000000"/>
          <w:kern w:val="0"/>
          <w:sz w:val="20"/>
          <w:szCs w:val="20"/>
        </w:rPr>
        <w:t>部门：</w:t>
      </w:r>
      <w:r>
        <w:rPr>
          <w:rFonts w:hint="eastAsia" w:ascii="宋体" w:hAnsi="宋体" w:eastAsia="宋体" w:cs="宋体"/>
          <w:color w:val="000000"/>
          <w:kern w:val="0"/>
          <w:sz w:val="20"/>
          <w:szCs w:val="20"/>
        </w:rPr>
        <w:t xml:space="preserve">道县农机事务中心                                                                                                             </w:t>
      </w:r>
      <w:r>
        <w:rPr>
          <w:rFonts w:ascii="宋体" w:hAnsi="宋体" w:eastAsia="宋体" w:cs="宋体"/>
          <w:color w:val="000000"/>
          <w:kern w:val="0"/>
          <w:sz w:val="20"/>
          <w:szCs w:val="20"/>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 xml:space="preserve">项 </w:t>
            </w:r>
            <w:r>
              <w:rPr>
                <w:rFonts w:cs="Times New Roman" w:asciiTheme="minorEastAsia" w:hAnsiTheme="minorEastAsia"/>
                <w:color w:val="000000"/>
                <w:kern w:val="0"/>
                <w:sz w:val="24"/>
                <w:szCs w:val="24"/>
              </w:rPr>
              <w:t xml:space="preserve">   </w:t>
            </w:r>
            <w:r>
              <w:rPr>
                <w:rFonts w:cs="Times New Roman" w:asciiTheme="minorEastAsia" w:hAnsiTheme="minorEastAsia"/>
                <w:kern w:val="0"/>
                <w:sz w:val="24"/>
                <w:szCs w:val="24"/>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cs="Times New Roman" w:asciiTheme="minorEastAsia" w:hAnsiTheme="minorEastAsia"/>
                <w:kern w:val="0"/>
                <w:sz w:val="24"/>
                <w:szCs w:val="24"/>
              </w:rPr>
            </w:pPr>
            <w:r>
              <w:rPr>
                <w:rFonts w:cs="Times New Roman" w:asciiTheme="minorEastAsia" w:hAnsiTheme="minorEastAsia"/>
                <w:kern w:val="0"/>
                <w:sz w:val="24"/>
                <w:szCs w:val="24"/>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1681.47</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522.47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1159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宋体" w:hAnsi="宋体" w:cs="宋体"/>
                <w:sz w:val="24"/>
                <w:szCs w:val="24"/>
              </w:rPr>
            </w:pPr>
            <w:r>
              <w:rPr>
                <w:rFonts w:hint="eastAsia"/>
              </w:rPr>
              <w:t>2080505</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cs="宋体"/>
                <w:sz w:val="20"/>
                <w:szCs w:val="20"/>
              </w:rPr>
            </w:pPr>
            <w:r>
              <w:rPr>
                <w:rFonts w:hint="eastAsia" w:ascii="宋体" w:hAnsi="宋体" w:cs="宋体"/>
                <w:sz w:val="20"/>
                <w:szCs w:val="20"/>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27.89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30.87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宋体" w:hAnsi="宋体" w:cs="宋体"/>
                <w:sz w:val="24"/>
                <w:szCs w:val="24"/>
              </w:rPr>
            </w:pPr>
            <w:r>
              <w:rPr>
                <w:rFonts w:hint="eastAsia"/>
              </w:rPr>
              <w:t>2080801</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cs="宋体"/>
                <w:sz w:val="20"/>
                <w:szCs w:val="20"/>
              </w:rPr>
            </w:pPr>
            <w:r>
              <w:rPr>
                <w:rFonts w:hint="eastAsia"/>
                <w:sz w:val="20"/>
                <w:szCs w:val="20"/>
              </w:rPr>
              <w:t>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1.2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57.83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宋体" w:hAnsi="宋体" w:cs="宋体"/>
                <w:sz w:val="24"/>
                <w:szCs w:val="24"/>
              </w:rPr>
            </w:pPr>
            <w:r>
              <w:rPr>
                <w:rFonts w:hint="eastAsia"/>
              </w:rPr>
              <w:t>2101102</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cs="宋体"/>
                <w:sz w:val="20"/>
                <w:szCs w:val="20"/>
              </w:rPr>
            </w:pPr>
            <w:r>
              <w:rPr>
                <w:rFonts w:hint="eastAsia"/>
                <w:sz w:val="20"/>
                <w:szCs w:val="20"/>
              </w:rPr>
              <w:t>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15.16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16.71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宋体" w:hAnsi="宋体" w:cs="宋体"/>
                <w:sz w:val="24"/>
                <w:szCs w:val="24"/>
              </w:rPr>
            </w:pPr>
            <w:r>
              <w:rPr>
                <w:rFonts w:hint="eastAsia"/>
              </w:rPr>
              <w:t>2130104</w:t>
            </w:r>
          </w:p>
        </w:tc>
        <w:tc>
          <w:tcPr>
            <w:tcW w:w="3527" w:type="dxa"/>
            <w:tcBorders>
              <w:top w:val="nil"/>
              <w:left w:val="nil"/>
              <w:bottom w:val="single" w:color="auto" w:sz="4" w:space="0"/>
              <w:right w:val="single" w:color="auto" w:sz="4" w:space="0"/>
            </w:tcBorders>
            <w:shd w:val="clear" w:color="000000" w:fill="FFFFFF"/>
            <w:vAlign w:val="center"/>
          </w:tcPr>
          <w:p>
            <w:pPr>
              <w:jc w:val="left"/>
              <w:rPr>
                <w:rFonts w:ascii="宋体" w:hAnsi="宋体" w:cs="宋体"/>
                <w:sz w:val="20"/>
                <w:szCs w:val="20"/>
              </w:rPr>
            </w:pPr>
            <w:r>
              <w:rPr>
                <w:rFonts w:hint="eastAsia" w:ascii="宋体" w:hAnsi="宋体" w:cs="宋体"/>
                <w:sz w:val="20"/>
                <w:szCs w:val="20"/>
              </w:rPr>
              <w:t>事业运行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398.72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417.06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rPr>
                <w:rFonts w:ascii="宋体" w:hAnsi="宋体" w:cs="宋体"/>
                <w:sz w:val="24"/>
                <w:szCs w:val="24"/>
              </w:rPr>
            </w:pPr>
            <w:r>
              <w:rPr>
                <w:rFonts w:hint="eastAsia"/>
              </w:rPr>
              <w:t>2130122</w:t>
            </w:r>
          </w:p>
        </w:tc>
        <w:tc>
          <w:tcPr>
            <w:tcW w:w="3527" w:type="dxa"/>
            <w:tcBorders>
              <w:top w:val="nil"/>
              <w:left w:val="nil"/>
              <w:bottom w:val="single" w:color="auto" w:sz="8" w:space="0"/>
              <w:right w:val="single" w:color="auto" w:sz="4" w:space="0"/>
            </w:tcBorders>
            <w:shd w:val="clear" w:color="000000" w:fill="FFFFFF"/>
            <w:vAlign w:val="center"/>
          </w:tcPr>
          <w:p>
            <w:pPr>
              <w:jc w:val="left"/>
              <w:rPr>
                <w:rFonts w:ascii="宋体" w:hAnsi="宋体" w:cs="宋体"/>
                <w:sz w:val="20"/>
                <w:szCs w:val="20"/>
              </w:rPr>
            </w:pPr>
            <w:r>
              <w:rPr>
                <w:rFonts w:hint="eastAsia"/>
                <w:sz w:val="20"/>
                <w:szCs w:val="20"/>
              </w:rPr>
              <w:t>农业生产发展</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1532.8　</w:t>
            </w:r>
          </w:p>
        </w:tc>
        <w:tc>
          <w:tcPr>
            <w:tcW w:w="3492" w:type="dxa"/>
            <w:tcBorders>
              <w:top w:val="nil"/>
              <w:left w:val="nil"/>
              <w:bottom w:val="single" w:color="auto" w:sz="8"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　</w:t>
            </w:r>
          </w:p>
        </w:tc>
        <w:tc>
          <w:tcPr>
            <w:tcW w:w="3000" w:type="dxa"/>
            <w:tcBorders>
              <w:top w:val="nil"/>
              <w:left w:val="nil"/>
              <w:bottom w:val="single" w:color="auto" w:sz="8" w:space="0"/>
              <w:right w:val="single" w:color="auto" w:sz="8"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1144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jc w:val="left"/>
            </w:pPr>
            <w:r>
              <w:rPr>
                <w:rFonts w:hint="eastAsia"/>
              </w:rPr>
              <w:t>2130199</w:t>
            </w:r>
          </w:p>
        </w:tc>
        <w:tc>
          <w:tcPr>
            <w:tcW w:w="3527" w:type="dxa"/>
            <w:tcBorders>
              <w:top w:val="nil"/>
              <w:left w:val="nil"/>
              <w:bottom w:val="single" w:color="auto" w:sz="8" w:space="0"/>
              <w:right w:val="single" w:color="auto" w:sz="4" w:space="0"/>
            </w:tcBorders>
            <w:shd w:val="clear" w:color="000000" w:fill="FFFFFF"/>
            <w:vAlign w:val="center"/>
          </w:tcPr>
          <w:p>
            <w:pPr>
              <w:jc w:val="left"/>
              <w:rPr>
                <w:sz w:val="20"/>
                <w:szCs w:val="20"/>
              </w:rPr>
            </w:pPr>
            <w:r>
              <w:rPr>
                <w:rFonts w:hint="eastAsia"/>
                <w:sz w:val="20"/>
                <w:szCs w:val="20"/>
              </w:rPr>
              <w:t>其他农业农村支出</w:t>
            </w:r>
          </w:p>
        </w:tc>
        <w:tc>
          <w:tcPr>
            <w:tcW w:w="3000" w:type="dxa"/>
            <w:tcBorders>
              <w:top w:val="nil"/>
              <w:left w:val="nil"/>
              <w:bottom w:val="single" w:color="auto" w:sz="8" w:space="0"/>
              <w:right w:val="single" w:color="auto" w:sz="4" w:space="0"/>
            </w:tcBorders>
            <w:shd w:val="clear" w:color="auto" w:fill="auto"/>
            <w:vAlign w:val="center"/>
          </w:tcPr>
          <w:p>
            <w:pPr>
              <w:jc w:val="right"/>
              <w:rPr>
                <w:rFonts w:ascii="宋体" w:hAnsi="宋体" w:eastAsia="宋体" w:cs="宋体"/>
                <w:sz w:val="22"/>
              </w:rPr>
            </w:pPr>
            <w:r>
              <w:rPr>
                <w:rFonts w:hint="eastAsia" w:ascii="宋体" w:hAnsi="宋体" w:eastAsia="宋体" w:cs="宋体"/>
                <w:sz w:val="22"/>
              </w:rPr>
              <w:t>50.78</w:t>
            </w:r>
          </w:p>
        </w:tc>
        <w:tc>
          <w:tcPr>
            <w:tcW w:w="3492" w:type="dxa"/>
            <w:tcBorders>
              <w:top w:val="nil"/>
              <w:left w:val="nil"/>
              <w:bottom w:val="single" w:color="auto" w:sz="8" w:space="0"/>
              <w:right w:val="single" w:color="auto" w:sz="4" w:space="0"/>
            </w:tcBorders>
            <w:shd w:val="clear" w:color="auto" w:fill="auto"/>
            <w:vAlign w:val="center"/>
          </w:tcPr>
          <w:p>
            <w:pPr>
              <w:widowControl/>
              <w:jc w:val="right"/>
              <w:rPr>
                <w:rFonts w:ascii="宋体" w:hAnsi="宋体" w:eastAsia="宋体" w:cs="宋体"/>
                <w:kern w:val="0"/>
                <w:sz w:val="22"/>
              </w:rPr>
            </w:pPr>
          </w:p>
        </w:tc>
        <w:tc>
          <w:tcPr>
            <w:tcW w:w="3000" w:type="dxa"/>
            <w:tcBorders>
              <w:top w:val="nil"/>
              <w:left w:val="nil"/>
              <w:bottom w:val="single" w:color="auto" w:sz="8" w:space="0"/>
              <w:right w:val="single" w:color="auto" w:sz="8"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15</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hint="eastAsia" w:ascii="宋体" w:hAnsi="宋体" w:eastAsia="宋体" w:cs="宋体"/>
                <w:kern w:val="0"/>
                <w:sz w:val="24"/>
                <w:szCs w:val="24"/>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16943" w:type="dxa"/>
        <w:tblInd w:w="0" w:type="dxa"/>
        <w:tblLayout w:type="fixed"/>
        <w:tblCellMar>
          <w:top w:w="0" w:type="dxa"/>
          <w:left w:w="108" w:type="dxa"/>
          <w:bottom w:w="0" w:type="dxa"/>
          <w:right w:w="108" w:type="dxa"/>
        </w:tblCellMar>
      </w:tblPr>
      <w:tblGrid>
        <w:gridCol w:w="1183"/>
        <w:gridCol w:w="89"/>
        <w:gridCol w:w="1227"/>
        <w:gridCol w:w="19"/>
        <w:gridCol w:w="236"/>
        <w:gridCol w:w="48"/>
        <w:gridCol w:w="283"/>
        <w:gridCol w:w="985"/>
        <w:gridCol w:w="352"/>
        <w:gridCol w:w="145"/>
        <w:gridCol w:w="1110"/>
        <w:gridCol w:w="461"/>
        <w:gridCol w:w="687"/>
        <w:gridCol w:w="612"/>
        <w:gridCol w:w="1550"/>
        <w:gridCol w:w="21"/>
        <w:gridCol w:w="410"/>
        <w:gridCol w:w="471"/>
        <w:gridCol w:w="1100"/>
        <w:gridCol w:w="34"/>
        <w:gridCol w:w="388"/>
        <w:gridCol w:w="1571"/>
        <w:gridCol w:w="409"/>
        <w:gridCol w:w="609"/>
        <w:gridCol w:w="567"/>
        <w:gridCol w:w="805"/>
        <w:gridCol w:w="33"/>
        <w:gridCol w:w="209"/>
        <w:gridCol w:w="1329"/>
      </w:tblGrid>
      <w:tr>
        <w:tblPrEx>
          <w:tblCellMar>
            <w:top w:w="0" w:type="dxa"/>
            <w:left w:w="108" w:type="dxa"/>
            <w:bottom w:w="0" w:type="dxa"/>
            <w:right w:w="108" w:type="dxa"/>
          </w:tblCellMar>
        </w:tblPrEx>
        <w:trPr>
          <w:gridAfter w:val="1"/>
          <w:wAfter w:w="1329" w:type="dxa"/>
          <w:trHeight w:val="113" w:hRule="atLeast"/>
        </w:trPr>
        <w:tc>
          <w:tcPr>
            <w:tcW w:w="15614" w:type="dxa"/>
            <w:gridSpan w:val="2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bookmarkStart w:id="2" w:name="RANGE!A1:I34"/>
            <w:r>
              <w:rPr>
                <w:rFonts w:hint="eastAsia" w:ascii="华文中宋" w:hAnsi="华文中宋" w:eastAsia="华文中宋" w:cs="宋体"/>
                <w:color w:val="000000"/>
                <w:kern w:val="0"/>
                <w:sz w:val="32"/>
                <w:szCs w:val="32"/>
              </w:rPr>
              <w:t>一般公共预算财政拨款基本支出决算明细表</w:t>
            </w:r>
            <w:bookmarkEnd w:id="2"/>
          </w:p>
          <w:p>
            <w:pPr>
              <w:widowControl/>
              <w:spacing w:line="240" w:lineRule="exact"/>
              <w:rPr>
                <w:rFonts w:ascii="宋体" w:hAnsi="宋体" w:eastAsia="宋体" w:cs="宋体"/>
                <w:color w:val="000000"/>
                <w:kern w:val="0"/>
                <w:sz w:val="20"/>
                <w:szCs w:val="20"/>
              </w:rPr>
            </w:pPr>
            <w:r>
              <w:rPr>
                <w:rFonts w:ascii="宋体" w:hAnsi="宋体" w:eastAsia="宋体" w:cs="宋体"/>
                <w:color w:val="000000"/>
                <w:kern w:val="0"/>
                <w:sz w:val="20"/>
                <w:szCs w:val="20"/>
              </w:rPr>
              <w:t>部门</w:t>
            </w:r>
            <w:r>
              <w:rPr>
                <w:rFonts w:ascii="Times New Roman" w:hAnsi="Times New Roman" w:eastAsia="仿宋_GB2312" w:cs="Times New Roman"/>
                <w:color w:val="000000"/>
                <w:kern w:val="0"/>
                <w:szCs w:val="21"/>
              </w:rPr>
              <w:t>：</w:t>
            </w:r>
            <w:r>
              <w:rPr>
                <w:rFonts w:hint="eastAsia" w:ascii="宋体" w:hAnsi="宋体" w:eastAsia="宋体" w:cs="宋体"/>
                <w:color w:val="000000"/>
                <w:kern w:val="0"/>
                <w:sz w:val="20"/>
                <w:szCs w:val="20"/>
              </w:rPr>
              <w:t xml:space="preserve">道县农务中心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公开06表</w:t>
            </w:r>
          </w:p>
          <w:p>
            <w:pPr>
              <w:widowControl/>
              <w:spacing w:line="240" w:lineRule="exact"/>
              <w:jc w:val="right"/>
              <w:rPr>
                <w:rFonts w:ascii="Times New Roman" w:hAnsi="Times New Roman" w:eastAsia="仿宋_GB2312" w:cs="Times New Roman"/>
                <w:color w:val="000000"/>
                <w:kern w:val="0"/>
                <w:szCs w:val="21"/>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2"/>
          <w:wAfter w:w="1538" w:type="dxa"/>
          <w:trHeight w:val="113" w:hRule="atLeast"/>
        </w:trPr>
        <w:tc>
          <w:tcPr>
            <w:tcW w:w="12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50" w:type="dxa"/>
            <w:gridSpan w:val="7"/>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5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4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16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02"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544"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3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386.98</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56.88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147.79</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4.75</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22.05　118111118.8652</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3.40</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66.51</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44.78</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0.5</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51.55</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1.01</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10.34</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36.96</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0.05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7.00</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78.62</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2.97</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57.83</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12.79</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0.36</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3544"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10</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354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838"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15.06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354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ascii="宋体" w:hAnsi="宋体" w:eastAsia="宋体" w:cs="宋体"/>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c>
        <w:tc>
          <w:tcPr>
            <w:tcW w:w="838"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3544"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1.92</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8</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1272" w:type="dxa"/>
            <w:gridSpan w:val="2"/>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50" w:type="dxa"/>
            <w:gridSpan w:val="7"/>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4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16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02" w:type="dxa"/>
            <w:gridSpan w:val="3"/>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16.86　</w:t>
            </w:r>
          </w:p>
        </w:tc>
        <w:tc>
          <w:tcPr>
            <w:tcW w:w="11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44" w:type="dxa"/>
            <w:gridSpan w:val="5"/>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gridAfter w:val="2"/>
          <w:wAfter w:w="1538" w:type="dxa"/>
          <w:trHeight w:val="284" w:hRule="exact"/>
        </w:trPr>
        <w:tc>
          <w:tcPr>
            <w:tcW w:w="4422" w:type="dxa"/>
            <w:gridSpan w:val="9"/>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55"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20"/>
              </w:rPr>
            </w:pPr>
            <w:r>
              <w:rPr>
                <w:rFonts w:hint="eastAsia" w:ascii="宋体" w:hAnsi="宋体" w:eastAsia="宋体" w:cs="宋体"/>
                <w:color w:val="000000"/>
                <w:kern w:val="0"/>
                <w:szCs w:val="20"/>
              </w:rPr>
              <w:t>465.6　</w:t>
            </w:r>
          </w:p>
        </w:tc>
        <w:tc>
          <w:tcPr>
            <w:tcW w:w="8890" w:type="dxa"/>
            <w:gridSpan w:val="14"/>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38" w:type="dxa"/>
            <w:gridSpan w:val="2"/>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color w:val="000000"/>
                <w:kern w:val="0"/>
                <w:szCs w:val="18"/>
              </w:rPr>
            </w:pPr>
            <w:r>
              <w:rPr>
                <w:rFonts w:hint="eastAsia" w:ascii="宋体" w:hAnsi="宋体" w:eastAsia="宋体" w:cs="宋体"/>
                <w:color w:val="000000"/>
                <w:kern w:val="0"/>
                <w:szCs w:val="18"/>
              </w:rPr>
              <w:t>56.88　</w:t>
            </w:r>
          </w:p>
        </w:tc>
      </w:tr>
      <w:tr>
        <w:tblPrEx>
          <w:tblCellMar>
            <w:top w:w="0" w:type="dxa"/>
            <w:left w:w="108" w:type="dxa"/>
            <w:bottom w:w="0" w:type="dxa"/>
            <w:right w:w="108" w:type="dxa"/>
          </w:tblCellMar>
        </w:tblPrEx>
        <w:trPr>
          <w:gridAfter w:val="1"/>
          <w:wAfter w:w="1329" w:type="dxa"/>
          <w:trHeight w:val="284" w:hRule="exact"/>
        </w:trPr>
        <w:tc>
          <w:tcPr>
            <w:tcW w:w="15614" w:type="dxa"/>
            <w:gridSpan w:val="2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3"/>
          <w:wAfter w:w="1571" w:type="dxa"/>
          <w:trHeight w:val="690" w:hRule="atLeast"/>
        </w:trPr>
        <w:tc>
          <w:tcPr>
            <w:tcW w:w="15372" w:type="dxa"/>
            <w:gridSpan w:val="2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tblPrEx>
          <w:tblCellMar>
            <w:top w:w="0" w:type="dxa"/>
            <w:left w:w="108" w:type="dxa"/>
            <w:bottom w:w="0" w:type="dxa"/>
            <w:right w:w="108" w:type="dxa"/>
          </w:tblCellMar>
        </w:tblPrEx>
        <w:trPr>
          <w:trHeight w:val="345" w:hRule="atLeast"/>
        </w:trPr>
        <w:tc>
          <w:tcPr>
            <w:tcW w:w="2518" w:type="dxa"/>
            <w:gridSpan w:val="4"/>
            <w:tcBorders>
              <w:left w:val="nil"/>
            </w:tcBorders>
            <w:shd w:val="clear" w:color="auto" w:fill="FFFFFF"/>
            <w:vAlign w:val="center"/>
          </w:tcPr>
          <w:p>
            <w:pPr>
              <w:jc w:val="center"/>
              <w:rPr>
                <w:rFonts w:ascii="宋体" w:hAnsi="宋体" w:eastAsia="宋体" w:cs="宋体"/>
                <w:color w:val="000000"/>
                <w:sz w:val="20"/>
                <w:szCs w:val="20"/>
              </w:rPr>
            </w:pPr>
          </w:p>
        </w:tc>
        <w:tc>
          <w:tcPr>
            <w:tcW w:w="236" w:type="dxa"/>
            <w:shd w:val="clear" w:color="auto" w:fill="FFFFFF"/>
            <w:vAlign w:val="center"/>
          </w:tcPr>
          <w:p>
            <w:pPr>
              <w:jc w:val="center"/>
              <w:rPr>
                <w:rFonts w:ascii="宋体" w:hAnsi="宋体" w:eastAsia="宋体" w:cs="宋体"/>
                <w:color w:val="000000"/>
                <w:sz w:val="20"/>
                <w:szCs w:val="20"/>
              </w:rPr>
            </w:pPr>
          </w:p>
        </w:tc>
        <w:tc>
          <w:tcPr>
            <w:tcW w:w="1316" w:type="dxa"/>
            <w:gridSpan w:val="3"/>
            <w:shd w:val="clear" w:color="auto" w:fill="FFFFFF"/>
            <w:vAlign w:val="center"/>
          </w:tcPr>
          <w:p>
            <w:pPr>
              <w:jc w:val="center"/>
              <w:rPr>
                <w:rFonts w:ascii="宋体" w:hAnsi="宋体" w:eastAsia="宋体" w:cs="宋体"/>
                <w:color w:val="000000"/>
                <w:sz w:val="20"/>
                <w:szCs w:val="20"/>
              </w:rPr>
            </w:pPr>
          </w:p>
        </w:tc>
        <w:tc>
          <w:tcPr>
            <w:tcW w:w="2068" w:type="dxa"/>
            <w:gridSpan w:val="4"/>
            <w:shd w:val="clear" w:color="auto" w:fill="FFFFFF"/>
            <w:vAlign w:val="center"/>
          </w:tcPr>
          <w:p>
            <w:pPr>
              <w:rPr>
                <w:rFonts w:ascii="宋体" w:hAnsi="宋体" w:eastAsia="宋体" w:cs="宋体"/>
                <w:color w:val="000000"/>
                <w:sz w:val="20"/>
                <w:szCs w:val="20"/>
              </w:rPr>
            </w:pPr>
          </w:p>
        </w:tc>
        <w:tc>
          <w:tcPr>
            <w:tcW w:w="2870" w:type="dxa"/>
            <w:gridSpan w:val="4"/>
            <w:shd w:val="clear" w:color="auto" w:fill="FFFFFF"/>
            <w:vAlign w:val="center"/>
          </w:tcPr>
          <w:p>
            <w:pPr>
              <w:rPr>
                <w:rFonts w:ascii="宋体" w:hAnsi="宋体" w:eastAsia="宋体" w:cs="宋体"/>
                <w:color w:val="000000"/>
                <w:sz w:val="20"/>
                <w:szCs w:val="20"/>
              </w:rPr>
            </w:pPr>
          </w:p>
        </w:tc>
        <w:tc>
          <w:tcPr>
            <w:tcW w:w="1981" w:type="dxa"/>
            <w:gridSpan w:val="3"/>
            <w:shd w:val="clear" w:color="auto" w:fill="FFFFFF"/>
            <w:vAlign w:val="center"/>
          </w:tcPr>
          <w:p>
            <w:pPr>
              <w:rPr>
                <w:rFonts w:ascii="宋体" w:hAnsi="宋体" w:eastAsia="宋体" w:cs="宋体"/>
                <w:color w:val="000000"/>
                <w:sz w:val="20"/>
                <w:szCs w:val="20"/>
              </w:rPr>
            </w:pPr>
          </w:p>
        </w:tc>
        <w:tc>
          <w:tcPr>
            <w:tcW w:w="1993" w:type="dxa"/>
            <w:gridSpan w:val="3"/>
            <w:shd w:val="clear" w:color="auto" w:fill="FFFFFF"/>
            <w:vAlign w:val="center"/>
          </w:tcPr>
          <w:p>
            <w:pPr>
              <w:rPr>
                <w:rFonts w:ascii="宋体" w:hAnsi="宋体" w:eastAsia="宋体" w:cs="宋体"/>
                <w:color w:val="000000"/>
                <w:sz w:val="20"/>
                <w:szCs w:val="20"/>
              </w:rPr>
            </w:pPr>
          </w:p>
        </w:tc>
        <w:tc>
          <w:tcPr>
            <w:tcW w:w="1018" w:type="dxa"/>
            <w:gridSpan w:val="2"/>
            <w:shd w:val="clear" w:color="auto" w:fill="FFFFFF"/>
            <w:vAlign w:val="center"/>
          </w:tcPr>
          <w:p>
            <w:pPr>
              <w:rPr>
                <w:rFonts w:ascii="宋体" w:hAnsi="宋体" w:eastAsia="宋体" w:cs="宋体"/>
                <w:color w:val="000000"/>
                <w:sz w:val="20"/>
                <w:szCs w:val="20"/>
              </w:rPr>
            </w:pPr>
            <w:r>
              <w:rPr>
                <w:rFonts w:hint="eastAsia" w:ascii="宋体" w:hAnsi="宋体" w:eastAsia="宋体" w:cs="宋体"/>
                <w:color w:val="000000"/>
                <w:sz w:val="20"/>
                <w:szCs w:val="20"/>
              </w:rPr>
              <w:t xml:space="preserve"> </w:t>
            </w:r>
          </w:p>
        </w:tc>
        <w:tc>
          <w:tcPr>
            <w:tcW w:w="2943" w:type="dxa"/>
            <w:gridSpan w:val="5"/>
            <w:shd w:val="clear" w:color="auto" w:fill="FFFFFF"/>
            <w:noWrap/>
            <w:vAlign w:val="center"/>
          </w:tcPr>
          <w:p>
            <w:pPr>
              <w:widowControl/>
              <w:ind w:right="400" w:firstLine="200" w:firstLineChars="100"/>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tblPrEx>
          <w:tblCellMar>
            <w:top w:w="0" w:type="dxa"/>
            <w:left w:w="108" w:type="dxa"/>
            <w:bottom w:w="0" w:type="dxa"/>
            <w:right w:w="108" w:type="dxa"/>
          </w:tblCellMar>
        </w:tblPrEx>
        <w:trPr>
          <w:gridAfter w:val="3"/>
          <w:wAfter w:w="1571" w:type="dxa"/>
          <w:trHeight w:val="340" w:hRule="atLeast"/>
        </w:trPr>
        <w:tc>
          <w:tcPr>
            <w:tcW w:w="2518" w:type="dxa"/>
            <w:gridSpan w:val="4"/>
            <w:tcBorders>
              <w:bottom w:val="single" w:color="auto" w:sz="4" w:space="0"/>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部门：道县农机事务中心</w:t>
            </w:r>
          </w:p>
        </w:tc>
        <w:tc>
          <w:tcPr>
            <w:tcW w:w="284" w:type="dxa"/>
            <w:gridSpan w:val="2"/>
            <w:tcBorders>
              <w:bottom w:val="single" w:color="auto" w:sz="4" w:space="0"/>
            </w:tcBorders>
            <w:shd w:val="clear" w:color="auto" w:fill="FFFFFF"/>
            <w:vAlign w:val="center"/>
          </w:tcPr>
          <w:p>
            <w:pPr>
              <w:jc w:val="center"/>
              <w:rPr>
                <w:rFonts w:ascii="宋体" w:hAnsi="宋体" w:eastAsia="宋体" w:cs="宋体"/>
                <w:color w:val="000000"/>
                <w:sz w:val="20"/>
                <w:szCs w:val="20"/>
              </w:rPr>
            </w:pPr>
          </w:p>
        </w:tc>
        <w:tc>
          <w:tcPr>
            <w:tcW w:w="283" w:type="dxa"/>
            <w:tcBorders>
              <w:bottom w:val="single" w:color="auto" w:sz="4" w:space="0"/>
            </w:tcBorders>
            <w:shd w:val="clear" w:color="auto" w:fill="FFFFFF"/>
            <w:vAlign w:val="center"/>
          </w:tcPr>
          <w:p>
            <w:pPr>
              <w:jc w:val="center"/>
              <w:rPr>
                <w:rFonts w:ascii="宋体" w:hAnsi="宋体" w:eastAsia="宋体" w:cs="宋体"/>
                <w:color w:val="000000"/>
                <w:sz w:val="20"/>
                <w:szCs w:val="20"/>
              </w:rPr>
            </w:pPr>
          </w:p>
        </w:tc>
        <w:tc>
          <w:tcPr>
            <w:tcW w:w="1482" w:type="dxa"/>
            <w:gridSpan w:val="3"/>
            <w:tcBorders>
              <w:bottom w:val="single" w:color="auto" w:sz="4" w:space="0"/>
            </w:tcBorders>
            <w:shd w:val="clear" w:color="auto" w:fill="FFFFFF"/>
            <w:vAlign w:val="center"/>
          </w:tcPr>
          <w:p>
            <w:pPr>
              <w:rPr>
                <w:rFonts w:ascii="宋体" w:hAnsi="宋体" w:eastAsia="宋体" w:cs="宋体"/>
                <w:color w:val="000000"/>
                <w:sz w:val="20"/>
                <w:szCs w:val="20"/>
              </w:rPr>
            </w:pPr>
          </w:p>
        </w:tc>
        <w:tc>
          <w:tcPr>
            <w:tcW w:w="2870" w:type="dxa"/>
            <w:gridSpan w:val="4"/>
            <w:tcBorders>
              <w:bottom w:val="single" w:color="auto" w:sz="4" w:space="0"/>
            </w:tcBorders>
            <w:shd w:val="clear" w:color="auto" w:fill="FFFFFF"/>
            <w:vAlign w:val="center"/>
          </w:tcPr>
          <w:p>
            <w:pPr>
              <w:rPr>
                <w:rFonts w:ascii="宋体" w:hAnsi="宋体" w:eastAsia="宋体" w:cs="宋体"/>
                <w:color w:val="000000"/>
                <w:sz w:val="20"/>
                <w:szCs w:val="20"/>
              </w:rPr>
            </w:pPr>
          </w:p>
        </w:tc>
        <w:tc>
          <w:tcPr>
            <w:tcW w:w="1981" w:type="dxa"/>
            <w:gridSpan w:val="3"/>
            <w:tcBorders>
              <w:bottom w:val="single" w:color="auto" w:sz="4" w:space="0"/>
            </w:tcBorders>
            <w:shd w:val="clear" w:color="auto" w:fill="FFFFFF"/>
            <w:vAlign w:val="center"/>
          </w:tcPr>
          <w:p>
            <w:pPr>
              <w:rPr>
                <w:rFonts w:ascii="宋体" w:hAnsi="宋体" w:eastAsia="宋体" w:cs="宋体"/>
                <w:color w:val="000000"/>
                <w:sz w:val="20"/>
                <w:szCs w:val="20"/>
              </w:rPr>
            </w:pPr>
          </w:p>
        </w:tc>
        <w:tc>
          <w:tcPr>
            <w:tcW w:w="1993" w:type="dxa"/>
            <w:gridSpan w:val="4"/>
            <w:tcBorders>
              <w:bottom w:val="single" w:color="auto" w:sz="4" w:space="0"/>
            </w:tcBorders>
            <w:shd w:val="clear" w:color="auto" w:fill="FFFFFF"/>
            <w:vAlign w:val="center"/>
          </w:tcPr>
          <w:p>
            <w:pPr>
              <w:rPr>
                <w:rFonts w:ascii="宋体" w:hAnsi="宋体" w:eastAsia="宋体" w:cs="宋体"/>
                <w:color w:val="000000"/>
                <w:sz w:val="20"/>
                <w:szCs w:val="20"/>
              </w:rPr>
            </w:pPr>
          </w:p>
        </w:tc>
        <w:tc>
          <w:tcPr>
            <w:tcW w:w="1980" w:type="dxa"/>
            <w:gridSpan w:val="2"/>
            <w:tcBorders>
              <w:bottom w:val="single" w:color="auto" w:sz="4" w:space="0"/>
            </w:tcBorders>
            <w:shd w:val="clear" w:color="auto" w:fill="FFFFFF"/>
            <w:vAlign w:val="center"/>
          </w:tcPr>
          <w:p>
            <w:pPr>
              <w:rPr>
                <w:rFonts w:ascii="宋体" w:hAnsi="宋体" w:eastAsia="宋体" w:cs="宋体"/>
                <w:color w:val="000000"/>
                <w:sz w:val="20"/>
                <w:szCs w:val="20"/>
              </w:rPr>
            </w:pPr>
          </w:p>
        </w:tc>
        <w:tc>
          <w:tcPr>
            <w:tcW w:w="1981" w:type="dxa"/>
            <w:gridSpan w:val="3"/>
            <w:tcBorders>
              <w:bottom w:val="single" w:color="auto" w:sz="4" w:space="0"/>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3"/>
          <w:wAfter w:w="1571" w:type="dxa"/>
          <w:trHeight w:val="459" w:hRule="atLeast"/>
        </w:trPr>
        <w:tc>
          <w:tcPr>
            <w:tcW w:w="24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7"/>
                <w:rFonts w:hint="default"/>
              </w:rPr>
              <w:t xml:space="preserve">   </w:t>
            </w:r>
            <w:r>
              <w:rPr>
                <w:rStyle w:val="18"/>
                <w:rFonts w:hint="default"/>
              </w:rPr>
              <w:t>目</w:t>
            </w:r>
          </w:p>
        </w:tc>
        <w:tc>
          <w:tcPr>
            <w:tcW w:w="2068"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870" w:type="dxa"/>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5954" w:type="dxa"/>
            <w:gridSpan w:val="9"/>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1981"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tblPrEx>
          <w:tblCellMar>
            <w:top w:w="0" w:type="dxa"/>
            <w:left w:w="108" w:type="dxa"/>
            <w:bottom w:w="0" w:type="dxa"/>
            <w:right w:w="108" w:type="dxa"/>
          </w:tblCellMar>
        </w:tblPrEx>
        <w:trPr>
          <w:gridAfter w:val="3"/>
          <w:wAfter w:w="1571" w:type="dxa"/>
          <w:trHeight w:val="609" w:hRule="atLeast"/>
        </w:trPr>
        <w:tc>
          <w:tcPr>
            <w:tcW w:w="1183"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316"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068" w:type="dxa"/>
            <w:gridSpan w:val="7"/>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870" w:type="dxa"/>
            <w:gridSpan w:val="4"/>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1" w:type="dxa"/>
            <w:gridSpan w:val="3"/>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1993" w:type="dxa"/>
            <w:gridSpan w:val="4"/>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1980"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1981" w:type="dxa"/>
            <w:gridSpan w:val="3"/>
            <w:vMerge w:val="continue"/>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409" w:hRule="atLeast"/>
        </w:trPr>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68"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68"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87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9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tblPrEx>
          <w:tblCellMar>
            <w:top w:w="0" w:type="dxa"/>
            <w:left w:w="108" w:type="dxa"/>
            <w:bottom w:w="0" w:type="dxa"/>
            <w:right w:w="108" w:type="dxa"/>
          </w:tblCellMar>
        </w:tblPrEx>
        <w:trPr>
          <w:gridAfter w:val="3"/>
          <w:wAfter w:w="1571" w:type="dxa"/>
          <w:trHeight w:val="509" w:hRule="atLeast"/>
        </w:trPr>
        <w:tc>
          <w:tcPr>
            <w:tcW w:w="2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rPr>
              <w:t>215</w:t>
            </w: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r>
              <w:rPr>
                <w:rFonts w:hint="eastAsia" w:ascii="宋体" w:hAnsi="宋体" w:eastAsia="宋体" w:cs="宋体"/>
                <w:color w:val="000000"/>
                <w:sz w:val="18"/>
                <w:szCs w:val="18"/>
              </w:rPr>
              <w:t>资源勘探工业信息等支出</w:t>
            </w: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rPr>
              <w:t>21598</w:t>
            </w: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r>
              <w:rPr>
                <w:rFonts w:hint="eastAsia" w:ascii="宋体" w:hAnsi="宋体" w:eastAsia="宋体" w:cs="宋体"/>
                <w:color w:val="000000"/>
                <w:sz w:val="18"/>
                <w:szCs w:val="18"/>
              </w:rPr>
              <w:t>超长期特别国债安排的支出</w:t>
            </w: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r>
              <w:rPr>
                <w:rFonts w:hint="eastAsia" w:ascii="宋体" w:hAnsi="宋体" w:eastAsia="宋体" w:cs="宋体"/>
                <w:color w:val="000000"/>
                <w:sz w:val="24"/>
                <w:szCs w:val="24"/>
              </w:rPr>
              <w:t>2159802</w:t>
            </w: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18"/>
                <w:szCs w:val="18"/>
              </w:rPr>
            </w:pPr>
            <w:r>
              <w:rPr>
                <w:rFonts w:hint="eastAsia" w:ascii="宋体" w:hAnsi="宋体" w:eastAsia="宋体" w:cs="宋体"/>
                <w:color w:val="000000"/>
                <w:sz w:val="18"/>
                <w:szCs w:val="18"/>
              </w:rPr>
              <w:t>制造业</w:t>
            </w: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374</w:t>
            </w: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509" w:hRule="atLeast"/>
        </w:trPr>
        <w:tc>
          <w:tcPr>
            <w:tcW w:w="11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6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8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19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3"/>
          <w:wAfter w:w="1571" w:type="dxa"/>
          <w:trHeight w:val="725" w:hRule="atLeast"/>
        </w:trPr>
        <w:tc>
          <w:tcPr>
            <w:tcW w:w="15372" w:type="dxa"/>
            <w:gridSpan w:val="26"/>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p>
        </w:tc>
      </w:tr>
    </w:tbl>
    <w:p>
      <w:pPr>
        <w:widowControl/>
        <w:jc w:val="center"/>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p>
    <w:tbl>
      <w:tblPr>
        <w:tblStyle w:val="10"/>
        <w:tblW w:w="15120" w:type="dxa"/>
        <w:tblInd w:w="93" w:type="dxa"/>
        <w:tblLayout w:type="autofit"/>
        <w:tblCellMar>
          <w:top w:w="0" w:type="dxa"/>
          <w:left w:w="108" w:type="dxa"/>
          <w:bottom w:w="0" w:type="dxa"/>
          <w:right w:w="108" w:type="dxa"/>
        </w:tblCellMar>
      </w:tblPr>
      <w:tblGrid>
        <w:gridCol w:w="2416"/>
        <w:gridCol w:w="653"/>
        <w:gridCol w:w="2110"/>
        <w:gridCol w:w="3031"/>
        <w:gridCol w:w="3031"/>
        <w:gridCol w:w="3879"/>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部门：道县农机事务中心</w:t>
            </w: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Fonts w:hint="eastAsia" w:ascii="宋体" w:hAnsi="宋体" w:eastAsia="宋体" w:cs="宋体"/>
                <w:color w:val="000000"/>
                <w:kern w:val="0"/>
                <w:sz w:val="22"/>
              </w:rPr>
              <w:t xml:space="preserve">   </w:t>
            </w:r>
            <w:r>
              <w:rPr>
                <w:rStyle w:val="19"/>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r>
              <w:rPr>
                <w:rFonts w:hint="eastAsia" w:ascii="宋体" w:hAnsi="宋体" w:eastAsia="宋体" w:cs="宋体"/>
                <w:b/>
                <w:bCs/>
                <w:kern w:val="0"/>
                <w:sz w:val="24"/>
                <w:szCs w:val="24"/>
              </w:rPr>
              <w:t>说明：我单位没有使用国有资本经营预算安排的支出，故本表无数据。</w:t>
            </w:r>
          </w:p>
        </w:tc>
      </w:tr>
    </w:tbl>
    <w:p>
      <w:pPr>
        <w:widowControl/>
        <w:jc w:val="center"/>
        <w:rPr>
          <w:rFonts w:ascii="Times New Roman" w:hAnsi="Times New Roman" w:eastAsia="方正小标宋_GBK" w:cs="Times New Roman"/>
          <w:color w:val="000000"/>
          <w:kern w:val="0"/>
          <w:sz w:val="36"/>
          <w:szCs w:val="36"/>
        </w:rPr>
      </w:pPr>
    </w:p>
    <w:tbl>
      <w:tblPr>
        <w:tblStyle w:val="10"/>
        <w:tblW w:w="15140" w:type="dxa"/>
        <w:tblInd w:w="93" w:type="dxa"/>
        <w:tblLayout w:type="autofit"/>
        <w:tblCellMar>
          <w:top w:w="0" w:type="dxa"/>
          <w:left w:w="108" w:type="dxa"/>
          <w:bottom w:w="0" w:type="dxa"/>
          <w:right w:w="108" w:type="dxa"/>
        </w:tblCellMar>
      </w:tblPr>
      <w:tblGrid>
        <w:gridCol w:w="2416"/>
        <w:gridCol w:w="1200"/>
        <w:gridCol w:w="1132"/>
        <w:gridCol w:w="1132"/>
        <w:gridCol w:w="1132"/>
        <w:gridCol w:w="1133"/>
        <w:gridCol w:w="1133"/>
        <w:gridCol w:w="1201"/>
        <w:gridCol w:w="1133"/>
        <w:gridCol w:w="1133"/>
        <w:gridCol w:w="1133"/>
        <w:gridCol w:w="1262"/>
      </w:tblGrid>
      <w:tr>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部门：道县农机事务中心</w:t>
            </w: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ascii="方正小标宋_GBK" w:hAnsi="方正小标宋_GBK" w:eastAsia="方正小标宋_GBK" w:cs="方正小标宋_GBK"/>
          <w:sz w:val="70"/>
          <w:szCs w:val="70"/>
        </w:rPr>
      </w:pPr>
    </w:p>
    <w:p>
      <w:pPr>
        <w:pStyle w:val="14"/>
        <w:jc w:val="center"/>
        <w:rPr>
          <w:rFonts w:ascii="方正小标宋_GBK" w:hAnsi="方正小标宋_GBK" w:eastAsia="方正小标宋_GBK" w:cs="方正小标宋_GBK"/>
          <w:sz w:val="56"/>
          <w:szCs w:val="70"/>
        </w:rPr>
      </w:pPr>
      <w:r>
        <w:rPr>
          <w:rFonts w:hint="eastAsia" w:ascii="方正小标宋_GBK" w:hAnsi="方正小标宋_GBK" w:eastAsia="方正小标宋_GBK" w:cs="方正小标宋_GBK"/>
          <w:sz w:val="56"/>
          <w:szCs w:val="70"/>
        </w:rPr>
        <w:t>2025年度部门决算情况说明</w:t>
      </w:r>
    </w:p>
    <w:p>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4"/>
        <w:spacing w:line="600" w:lineRule="exact"/>
        <w:ind w:firstLine="640" w:firstLineChars="200"/>
        <w:rPr>
          <w:rFonts w:hAnsi="黑体"/>
          <w:bCs/>
          <w:sz w:val="32"/>
          <w:szCs w:val="32"/>
        </w:rPr>
      </w:pPr>
      <w:r>
        <w:rPr>
          <w:rFonts w:hint="eastAsia" w:hAnsi="黑体"/>
          <w:bCs/>
          <w:sz w:val="32"/>
          <w:szCs w:val="32"/>
        </w:rPr>
        <w:t>一、收入支出决算总体情况说明</w:t>
      </w:r>
    </w:p>
    <w:p>
      <w:pPr>
        <w:pStyle w:val="14"/>
        <w:spacing w:line="600" w:lineRule="exact"/>
        <w:ind w:firstLine="800" w:firstLineChars="250"/>
        <w:rPr>
          <w:rFonts w:ascii="仿宋" w:hAnsi="仿宋" w:eastAsia="仿宋_GB2312" w:cs="仿宋"/>
          <w:sz w:val="32"/>
          <w:szCs w:val="32"/>
        </w:rPr>
      </w:pPr>
      <w:r>
        <w:rPr>
          <w:rFonts w:hint="eastAsia" w:ascii="Times New Roman" w:hAnsi="Times New Roman" w:eastAsia="仿宋_GB2312"/>
          <w:sz w:val="32"/>
          <w:szCs w:val="32"/>
        </w:rPr>
        <w:t>2025年度收、支总计2055.47万元。与上年相比，减少23.08万元，减少 9.53%，主要是因为基本支出较上年增加了79.5万元，项目支出较去年减少102.58万元。基本支出中，基本工资与奖金较去年增加了26.98万，公用经费较去年减少了2.31万元，工作经费较去年减少了0.5万元，非税收入增加了9.33万元，拖拉机站经费较去年减少了15.15万元，社会保障费及死亡抚恤较去年增加了61.15万元。项目支出中，一般公共预算财政拨款收入较去年减少了454.58万元，政府性基金预算财政拨款收入较去年增加了352万元。</w:t>
      </w:r>
    </w:p>
    <w:p>
      <w:pPr>
        <w:pStyle w:val="14"/>
        <w:spacing w:line="600" w:lineRule="exact"/>
        <w:ind w:firstLine="640" w:firstLineChars="200"/>
        <w:rPr>
          <w:rFonts w:hAnsi="黑体"/>
          <w:bCs/>
          <w:sz w:val="32"/>
          <w:szCs w:val="32"/>
        </w:rPr>
      </w:pPr>
      <w:r>
        <w:rPr>
          <w:rFonts w:hint="eastAsia" w:hAnsi="黑体"/>
          <w:bCs/>
          <w:sz w:val="32"/>
          <w:szCs w:val="32"/>
        </w:rPr>
        <w:t>二、收入决算情况说明</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2025年度收入合计2055.47万元，其中：财政拨款收入2055.47万元，占100%；上级补助收入0万元，占0%；事业收入0万元，占0%；经营收入0万元，占0%；附属单位上缴收入0万元，占0%；其他收入0万元，占0%。</w:t>
      </w:r>
    </w:p>
    <w:p>
      <w:pPr>
        <w:pStyle w:val="14"/>
        <w:spacing w:line="600" w:lineRule="exact"/>
        <w:ind w:firstLine="640" w:firstLineChars="200"/>
        <w:rPr>
          <w:rFonts w:hAnsi="黑体"/>
          <w:bCs/>
          <w:sz w:val="32"/>
          <w:szCs w:val="32"/>
        </w:rPr>
      </w:pPr>
      <w:r>
        <w:rPr>
          <w:rFonts w:hint="eastAsia" w:hAnsi="黑体"/>
          <w:bCs/>
          <w:sz w:val="32"/>
          <w:szCs w:val="32"/>
        </w:rPr>
        <w:t>三、支出决算情况说明</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2025年度支出合计2055.47万元，其中：基本支出522.47万元，占25.42%；项目支出1533万元，占74.58%；上缴上级支出0万元，占0%；经营支出0万元，占0%；对附属单位补助支出0万元，占0%。</w:t>
      </w:r>
    </w:p>
    <w:p>
      <w:pPr>
        <w:pStyle w:val="14"/>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pPr>
        <w:pStyle w:val="14"/>
        <w:spacing w:line="600" w:lineRule="exact"/>
        <w:ind w:firstLine="800" w:firstLineChars="250"/>
        <w:rPr>
          <w:rFonts w:ascii="仿宋" w:hAnsi="仿宋" w:eastAsia="仿宋_GB2312" w:cs="仿宋"/>
          <w:sz w:val="32"/>
          <w:szCs w:val="32"/>
        </w:rPr>
      </w:pPr>
      <w:r>
        <w:rPr>
          <w:rFonts w:hint="eastAsia" w:ascii="Times New Roman" w:hAnsi="Times New Roman" w:eastAsia="仿宋_GB2312"/>
          <w:sz w:val="32"/>
          <w:szCs w:val="32"/>
        </w:rPr>
        <w:t xml:space="preserve"> 2025年度财政拨款收、支总计2055.47万元，与上年相比，减少23.08万元,减少9.53%，主要是因为基本支出较上年增加了79.5万元，项目支出较去年减少102.58万元。基本支出中，基本工资与奖金较去年增加了26.98万，公用经费较去年减少了2.31万元，工作经费较去年减少了0.5万元，非税收入增加了9.33万元，拖拉机站经费较去年减少了15.15万元，社会保障费及死亡抚恤较去年增加了61.15万元。项目支出中，一般公共预算财政拨款收入较去年减少了454.58万元，政府性基金预算财政拨款收入较去年增加了352万元。</w:t>
      </w:r>
    </w:p>
    <w:p>
      <w:pPr>
        <w:pStyle w:val="14"/>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pPr>
        <w:pStyle w:val="14"/>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2025年度一般公共预算财政拨款支出1681.47万元，占本年支出合计的81.8%，与上年相比，一般公共预算财政拨款支出减少10.48%，主要是因为基本工资与奖金较去年增加了26.98万，公用经费较去年减少了2.31万元，工作经费较去年减少了0.5万元，非税收入增加了9.33万元，拖拉机站经费较去年减少了15.15万元，社会保障费及死亡抚恤较去年增加了61.15万元，项目资金较去年减少了454.58万元。</w:t>
      </w:r>
    </w:p>
    <w:p>
      <w:pPr>
        <w:pStyle w:val="14"/>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2025年度一般公共预算财政拨款支出1681.47万元，主要用于以下方面：社会保障和就业支出(类)88.70万元,占比5.28%;卫生健康支出(类)16.71万元,占比0.99%;农林水支出(类)1576.06万元,占比 93.73%。</w:t>
      </w:r>
    </w:p>
    <w:p>
      <w:pPr>
        <w:pStyle w:val="14"/>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2025年度一般公共预算财政拨款支出年初预算数为925.9万元，支出决算数为1681.47万元，完成年初预算的181.60%，其中：</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1、社会保障和就业支出(类)行政事业单位养老支出(款)机关事业单位基本养老保险缴费支出(项)。</w:t>
      </w:r>
    </w:p>
    <w:p>
      <w:pPr>
        <w:pStyle w:val="14"/>
        <w:spacing w:line="600" w:lineRule="exact"/>
        <w:ind w:firstLine="800" w:firstLineChars="250"/>
        <w:jc w:val="both"/>
        <w:rPr>
          <w:rFonts w:ascii="Times New Roman" w:hAnsi="Times New Roman" w:eastAsia="仿宋_GB2312"/>
          <w:sz w:val="32"/>
          <w:szCs w:val="32"/>
        </w:rPr>
      </w:pPr>
      <w:r>
        <w:rPr>
          <w:rFonts w:hint="eastAsia" w:ascii="Times New Roman" w:hAnsi="Times New Roman" w:eastAsia="仿宋_GB2312"/>
          <w:sz w:val="32"/>
          <w:szCs w:val="32"/>
        </w:rPr>
        <w:t>年初预算为27.84万元，支出决算30.87万元，完成年初预算的110.88%。</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2、社会保障和就业支出(类)抚恤(款)死亡抚恤(项)。</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年初预算为10.02万元，支出决算57.83万元，完成年初预算的577.15%。 </w:t>
      </w:r>
    </w:p>
    <w:p>
      <w:pPr>
        <w:pStyle w:val="14"/>
        <w:numPr>
          <w:ilvl w:val="0"/>
          <w:numId w:val="2"/>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卫生健康支出(类)行政事业单位医疗(款)事业单位医疗(项)。</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年初预算为15.14万元，支出决算16.71万元，完成年初预算的110.37%。</w:t>
      </w:r>
    </w:p>
    <w:p>
      <w:pPr>
        <w:pStyle w:val="14"/>
        <w:numPr>
          <w:ilvl w:val="0"/>
          <w:numId w:val="2"/>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 xml:space="preserve">农林水支出(类)农业农村(款)事业运行(项)  </w:t>
      </w:r>
    </w:p>
    <w:p>
      <w:pPr>
        <w:pStyle w:val="14"/>
        <w:spacing w:line="600" w:lineRule="exact"/>
        <w:ind w:firstLine="800" w:firstLineChars="250"/>
        <w:jc w:val="both"/>
        <w:rPr>
          <w:rFonts w:ascii="Times New Roman" w:hAnsi="Times New Roman" w:eastAsia="仿宋_GB2312"/>
          <w:sz w:val="32"/>
          <w:szCs w:val="32"/>
        </w:rPr>
      </w:pPr>
      <w:r>
        <w:rPr>
          <w:rFonts w:hint="eastAsia" w:ascii="Times New Roman" w:hAnsi="Times New Roman" w:eastAsia="仿宋_GB2312"/>
          <w:sz w:val="32"/>
          <w:szCs w:val="32"/>
        </w:rPr>
        <w:t xml:space="preserve"> 年初预算为362.9万元，支出决算为417.06万元，完成年初预算的134.58%，决算数大于年初预算数的主要原因是：2025年非税收入未列入预算，2025年增加了农机购置补贴工作经费。</w:t>
      </w:r>
    </w:p>
    <w:p>
      <w:pPr>
        <w:pStyle w:val="14"/>
        <w:spacing w:line="600" w:lineRule="exact"/>
        <w:ind w:left="525" w:leftChars="250" w:firstLine="320" w:firstLineChars="100"/>
        <w:rPr>
          <w:rFonts w:ascii="Times New Roman" w:hAnsi="Times New Roman" w:eastAsia="仿宋_GB2312"/>
          <w:sz w:val="32"/>
          <w:szCs w:val="32"/>
        </w:rPr>
      </w:pPr>
      <w:r>
        <w:rPr>
          <w:rFonts w:hint="eastAsia" w:ascii="Times New Roman" w:hAnsi="Times New Roman" w:eastAsia="仿宋_GB2312"/>
          <w:sz w:val="32"/>
          <w:szCs w:val="32"/>
        </w:rPr>
        <w:t>5、农林水支出(类)农业农村(款)农业生产发展(项)</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年初预算500万元，支出决算为1159万元，决算数大于年初预算数的主要原因是：2025年超长期特别国债支持农机报废更新资金374万与中央农机购置与应用补贴资金285万未列入预算。</w:t>
      </w:r>
    </w:p>
    <w:p>
      <w:pPr>
        <w:pStyle w:val="14"/>
        <w:spacing w:line="600" w:lineRule="exact"/>
        <w:ind w:left="525" w:leftChars="250" w:firstLine="320" w:firstLineChars="100"/>
        <w:rPr>
          <w:rFonts w:ascii="Times New Roman" w:hAnsi="Times New Roman" w:eastAsia="仿宋_GB2312"/>
          <w:sz w:val="32"/>
          <w:szCs w:val="32"/>
        </w:rPr>
      </w:pPr>
      <w:r>
        <w:rPr>
          <w:rFonts w:hint="eastAsia" w:ascii="Times New Roman" w:hAnsi="Times New Roman" w:eastAsia="仿宋_GB2312"/>
          <w:sz w:val="32"/>
          <w:szCs w:val="32"/>
        </w:rPr>
        <w:t>6、农林水支出(类)农业农村(款)其他农业农村支出(项)</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年初预算10万元，支出决算为15万元，决算数大于年初预算数的主要原因是2025年使用跑项争资考核奖励工作经费15万元。</w:t>
      </w:r>
    </w:p>
    <w:p>
      <w:pPr>
        <w:pStyle w:val="14"/>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2025年度财政拨款基本支出522.47万元，其中：</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465.59万元，占基本支出的89.11%,主要包括基本工资147.79万元、津贴补贴22.05万元、奖金66.51万元、绩效工资44.78万元、养老保险缴费51.55万元、职业年金缴费10.34万元、医疗保险缴费36.96万元、其他工资福利支出7万元、抚恤金57.83万元、困难遗属生活补助12.79万元、其他对个人和家庭的补助8万元。</w:t>
      </w:r>
    </w:p>
    <w:p>
      <w:pPr>
        <w:pStyle w:val="14"/>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56.88万元，占基本支出的10.89%，主要包括办公费4.75万元、印刷费3.40万元、水电费1.51万元、差旅费0.05万元、培训费2.97万元、劳务费0.36万元、工会经费10万元、福利费15.06万元、其他交通费用1.92万元、其他商品和服务支出16.86万元。</w:t>
      </w:r>
    </w:p>
    <w:p>
      <w:pPr>
        <w:pStyle w:val="14"/>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pPr>
        <w:pStyle w:val="14"/>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“三公”经费财政拨款支出预算为1万元，支出决算为0万元，其中：</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因公出国（境）费支出预算为0万元，支出决算为0万元，完成预算的0%，与上年相比减少（增加）0万元。</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公务接待费支出预算为0万元，支出决算为0万元，完成预算的0%。</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公务用车购置费支出预算为0万元，支出决算为0万元，完成预算的0%，，与上年相比减少（增加）0万元。</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公务用车运行维护费支出预算为0万元，支出决算为0万元，完成预算的0%，与上年相比减少（增加）0万元。</w:t>
      </w:r>
    </w:p>
    <w:p>
      <w:pPr>
        <w:pStyle w:val="14"/>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2025年度“三公”经费财政拨款支出决算中，公务接待费支出决算0万元，因公出国（境）费支出决算0万元，占0%,公务用车购置费及运行维护费支出决算0万元，占0%。其中：</w:t>
      </w:r>
    </w:p>
    <w:p>
      <w:pPr>
        <w:pStyle w:val="14"/>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1、因公出国（境）费支出决算为0万元，全年安排因公出国（境）团组0个，累计0人次</w:t>
      </w:r>
      <w:r>
        <w:rPr>
          <w:rFonts w:hint="eastAsia" w:ascii="楷体" w:hAnsi="楷体" w:eastAsia="楷体" w:cs="楷体"/>
          <w:b/>
          <w:bCs/>
          <w:i/>
          <w:color w:val="auto"/>
          <w:sz w:val="32"/>
          <w:szCs w:val="32"/>
        </w:rPr>
        <w:t>。</w:t>
      </w:r>
    </w:p>
    <w:p>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2、公务接待费支出决算为0万元，全年共接待来访团组0个、来宾0人，主要是省、市级以及周边县区交流指导发生的接待支出。</w:t>
      </w:r>
    </w:p>
    <w:p>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3、公务用车购置费及运行维护费支出决算为0万元，其中：公务用车购置费0万元</w:t>
      </w:r>
      <w:r>
        <w:rPr>
          <w:rFonts w:hint="eastAsia" w:ascii="Times New Roman" w:hAnsi="Times New Roman" w:eastAsia="仿宋_GB2312"/>
          <w:color w:val="000000" w:themeColor="text1"/>
          <w:sz w:val="32"/>
          <w:szCs w:val="32"/>
        </w:rPr>
        <w:t>。</w:t>
      </w:r>
      <w:r>
        <w:rPr>
          <w:rFonts w:hint="eastAsia" w:ascii="Times New Roman" w:hAnsi="Times New Roman" w:eastAsia="仿宋_GB2312"/>
          <w:sz w:val="32"/>
          <w:szCs w:val="32"/>
        </w:rPr>
        <w:t>公务用车运行维护费0万元，截止2025年12月31日，我单位开支财政拨款的公务用车保有量为0辆。</w:t>
      </w:r>
    </w:p>
    <w:p>
      <w:pPr>
        <w:pStyle w:val="14"/>
        <w:spacing w:line="600" w:lineRule="exact"/>
        <w:ind w:firstLine="640" w:firstLineChars="200"/>
        <w:rPr>
          <w:rFonts w:hAnsi="黑体"/>
          <w:bCs/>
          <w:sz w:val="32"/>
          <w:szCs w:val="32"/>
        </w:rPr>
      </w:pPr>
      <w:r>
        <w:rPr>
          <w:rFonts w:hint="eastAsia" w:hAnsi="黑体"/>
          <w:bCs/>
          <w:sz w:val="32"/>
          <w:szCs w:val="32"/>
        </w:rPr>
        <w:t>八、政府性基金预算收入支出决算情况</w:t>
      </w:r>
    </w:p>
    <w:p>
      <w:pPr>
        <w:pStyle w:val="14"/>
        <w:spacing w:line="600" w:lineRule="exact"/>
        <w:rPr>
          <w:rFonts w:ascii="楷体" w:hAnsi="楷体" w:eastAsia="楷体" w:cs="楷体"/>
          <w:b/>
          <w:bCs/>
          <w:i/>
          <w:color w:val="auto"/>
          <w:sz w:val="32"/>
          <w:szCs w:val="32"/>
        </w:rPr>
      </w:pPr>
      <w:r>
        <w:rPr>
          <w:rFonts w:hint="eastAsia" w:ascii="Times New Roman" w:hAnsi="Times New Roman" w:eastAsia="仿宋_GB2312"/>
          <w:sz w:val="32"/>
          <w:szCs w:val="32"/>
        </w:rPr>
        <w:t xml:space="preserve">     2025年度政府性基金预算财政拨款收入374万元；年初结转和结余0万元；支出374万元，其中基本支出0万元，项目支出374万元；年末结转和结余0万元。具体情况如下：2025年增加超长期国债资金支持农机报废更新资金374万元全部用于农机报废补贴支出。</w:t>
      </w:r>
    </w:p>
    <w:p>
      <w:pPr>
        <w:pStyle w:val="14"/>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本部门2025年度机关运行经费支出27.3万元，比年上年决算数减少2.31万元，减少7.8%。主要原因是财政减少了本年的经费拨款。</w:t>
      </w:r>
    </w:p>
    <w:p>
      <w:pPr>
        <w:pStyle w:val="14"/>
        <w:spacing w:line="600" w:lineRule="exact"/>
        <w:ind w:firstLine="640" w:firstLineChars="200"/>
        <w:rPr>
          <w:rFonts w:hAnsi="黑体"/>
          <w:bCs/>
          <w:sz w:val="32"/>
          <w:szCs w:val="32"/>
        </w:rPr>
      </w:pPr>
      <w:r>
        <w:rPr>
          <w:rFonts w:hint="eastAsia" w:hAnsi="黑体"/>
          <w:bCs/>
          <w:sz w:val="32"/>
          <w:szCs w:val="32"/>
        </w:rPr>
        <w:t>十、一般性支出情况说明</w:t>
      </w:r>
    </w:p>
    <w:p>
      <w:pPr>
        <w:pStyle w:val="14"/>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2025年本部门开支会议费0万元，开支培训费2.97万元，未举办节庆、晚会、论坛、赛事活动，开支0万元。</w:t>
      </w:r>
    </w:p>
    <w:p>
      <w:pPr>
        <w:pStyle w:val="14"/>
        <w:spacing w:line="600" w:lineRule="exact"/>
        <w:ind w:firstLine="640" w:firstLineChars="200"/>
        <w:rPr>
          <w:rFonts w:hAnsi="黑体"/>
          <w:bCs/>
          <w:sz w:val="32"/>
          <w:szCs w:val="32"/>
        </w:rPr>
      </w:pPr>
      <w:r>
        <w:rPr>
          <w:rFonts w:hint="eastAsia" w:hAnsi="黑体"/>
          <w:bCs/>
          <w:sz w:val="32"/>
          <w:szCs w:val="32"/>
        </w:rPr>
        <w:t>十一、关于政府采购支出说明</w:t>
      </w:r>
    </w:p>
    <w:p>
      <w:pPr>
        <w:pStyle w:val="14"/>
        <w:spacing w:line="58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2025年度政府采购支出总额13.52万元，其中：政府采购货物支出13.52万元、政府采购工程支出0万元、政府采购服务支出0万元。授予中小企业合同金额13.52万元，占政府采购支出总额的100%，其中：授予小微企业合同金额0万元，</w:t>
      </w:r>
      <w:r>
        <w:rPr>
          <w:rFonts w:hint="eastAsia" w:ascii="Times New Roman" w:hAnsi="Times New Roman" w:eastAsia="仿宋_GB2312"/>
          <w:color w:val="auto"/>
          <w:sz w:val="32"/>
          <w:szCs w:val="32"/>
        </w:rPr>
        <w:t>占授予中小企业合同金额的0%。货物采购授予中小企业合同金额占货物支出金额的100%，工程采购授予中小企业合同金额占工程支出金额的0%，服务采购授予中小企业合同金额占服务支出金额的0%。</w:t>
      </w:r>
    </w:p>
    <w:p>
      <w:pPr>
        <w:pStyle w:val="14"/>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4"/>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2025年12月31日，部门（单位）共有车辆0辆，其中，副部（省）级及以上领导用车0辆、主要负责人用车0辆、机要通信用车0辆、应急保障用车0辆、执法执勤用车0辆、特种专业技术用车0辆、离退休干部服务用车0辆、其他用车0辆，无其他用车；单位价值100万元以上设备（不含车辆）0台（套）。</w:t>
      </w:r>
    </w:p>
    <w:p>
      <w:pPr>
        <w:pStyle w:val="14"/>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2025</w:t>
      </w:r>
      <w:r>
        <w:rPr>
          <w:rFonts w:hint="eastAsia" w:hAnsi="黑体"/>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1533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，为中央与省级</w:t>
      </w:r>
      <w:r>
        <w:rPr>
          <w:rFonts w:hint="eastAsia" w:ascii="仿宋" w:hAnsi="仿宋" w:eastAsia="仿宋" w:cs="仿宋"/>
          <w:sz w:val="32"/>
          <w:szCs w:val="32"/>
        </w:rPr>
        <w:t>农机购置补贴项目，共计</w:t>
      </w:r>
      <w:r>
        <w:rPr>
          <w:rFonts w:hint="eastAsia" w:ascii="Times New Roman" w:hAnsi="Times New Roman" w:eastAsia="仿宋_GB2312" w:cs="Times New Roman"/>
          <w:kern w:val="0"/>
          <w:sz w:val="32"/>
          <w:szCs w:val="32"/>
        </w:rPr>
        <w:t>1144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，为</w:t>
      </w:r>
      <w:r>
        <w:rPr>
          <w:rFonts w:hint="eastAsia" w:ascii="仿宋" w:hAnsi="仿宋" w:eastAsia="仿宋" w:cs="仿宋"/>
          <w:sz w:val="32"/>
          <w:szCs w:val="32"/>
        </w:rPr>
        <w:t>超长期特别国债支持农机报废更新项目，</w:t>
      </w:r>
      <w:r>
        <w:rPr>
          <w:rFonts w:hint="eastAsia" w:ascii="Times New Roman" w:hAnsi="Times New Roman" w:eastAsia="仿宋_GB2312" w:cs="Times New Roman"/>
          <w:kern w:val="0"/>
          <w:sz w:val="32"/>
          <w:szCs w:val="32"/>
        </w:rPr>
        <w:t>374</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与</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均为0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，涉及资金0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仿宋" w:hAnsi="仿宋" w:eastAsia="仿宋" w:cs="仿宋"/>
          <w:sz w:val="32"/>
          <w:szCs w:val="32"/>
        </w:rPr>
        <w:t>农机购置补贴</w:t>
      </w:r>
      <w:r>
        <w:rPr>
          <w:rFonts w:ascii="Times New Roman" w:hAnsi="Times New Roman" w:eastAsia="仿宋_GB2312" w:cs="Times New Roman"/>
          <w:kern w:val="0"/>
          <w:sz w:val="32"/>
          <w:szCs w:val="32"/>
        </w:rPr>
        <w:t>”“</w:t>
      </w:r>
      <w:r>
        <w:rPr>
          <w:rFonts w:hint="eastAsia" w:ascii="仿宋" w:hAnsi="仿宋" w:eastAsia="仿宋" w:cs="仿宋"/>
          <w:sz w:val="32"/>
          <w:szCs w:val="32"/>
        </w:rPr>
        <w:t xml:space="preserve"> 农机报废更新</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rPr>
        <w:t>1144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374</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p>
    <w:p>
      <w:pPr>
        <w:adjustRightInd w:val="0"/>
        <w:snapToGrid w:val="0"/>
        <w:spacing w:line="600" w:lineRule="exact"/>
        <w:ind w:firstLine="640" w:firstLineChars="200"/>
        <w:rPr>
          <w:rFonts w:ascii="仿宋" w:hAnsi="仿宋" w:eastAsia="仿宋" w:cs="仿宋"/>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2055.47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2055.47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”。绩效目标完成情况：一是</w:t>
      </w:r>
      <w:r>
        <w:rPr>
          <w:rFonts w:hint="eastAsia" w:ascii="仿宋" w:hAnsi="仿宋" w:eastAsia="仿宋" w:cs="仿宋"/>
          <w:sz w:val="32"/>
          <w:szCs w:val="32"/>
        </w:rPr>
        <w:t>加快先进适用机具发展，全县推广各类农机具3000台套以上，发放农机购置补贴1000万元</w:t>
      </w:r>
      <w:r>
        <w:rPr>
          <w:rFonts w:ascii="Times New Roman" w:hAnsi="Times New Roman" w:eastAsia="仿宋_GB2312" w:cs="Times New Roman"/>
          <w:sz w:val="32"/>
          <w:szCs w:val="32"/>
        </w:rPr>
        <w:t>；二是</w:t>
      </w:r>
      <w:r>
        <w:rPr>
          <w:rFonts w:hint="eastAsia" w:ascii="仿宋" w:hAnsi="仿宋" w:eastAsia="仿宋" w:cs="仿宋"/>
          <w:sz w:val="32"/>
          <w:szCs w:val="32"/>
        </w:rPr>
        <w:t>加强农机安全生产宣传，力争全年无农机安全事故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三是</w:t>
      </w:r>
      <w:r>
        <w:rPr>
          <w:rFonts w:hint="eastAsia" w:ascii="仿宋" w:hAnsi="仿宋" w:eastAsia="仿宋" w:cs="仿宋"/>
          <w:sz w:val="32"/>
          <w:szCs w:val="32"/>
        </w:rPr>
        <w:t>培训农机技术推广人员10名以上，建设1个水稻全程机械化技术示范推广基地，提升全县农业机械现代化水平。</w:t>
      </w:r>
      <w:r>
        <w:rPr>
          <w:rFonts w:ascii="Times New Roman" w:hAnsi="Times New Roman" w:eastAsia="仿宋_GB2312" w:cs="Times New Roman"/>
          <w:sz w:val="32"/>
          <w:szCs w:val="32"/>
        </w:rPr>
        <w:t>发现的主要问题及原因：</w:t>
      </w:r>
      <w:r>
        <w:rPr>
          <w:rFonts w:hint="eastAsia" w:ascii="仿宋" w:hAnsi="仿宋" w:eastAsia="仿宋" w:cs="仿宋_GB2312"/>
          <w:color w:val="000000"/>
          <w:sz w:val="32"/>
          <w:szCs w:val="32"/>
        </w:rPr>
        <w:t>2025年预算执行过程中存在财政拨款收入预决算差异率较高等问题。一方面是由于中心预算编制精准度不足，另一方面是由于政策及外部环境变动，不可控因素较多。下一步，中心要进一步推行精细化预算编制，建立预算编制前期调研机制。预算编制前，由财务部门牵头，联合各业务科室，全面梳理年度核心业务计划、资金需求细节，结合上年财政拨款执行情况、资产盘活进度、业务工作量等，对各项资金需求进行精细化测算，形成详细的预算编制说明和测算依据，杜绝“粗放式”“经验式”编制。其次，强化政策及外部环境预判，跟踪上级财政政策、地方财政收支状况，将可能出现的拨款调整、新增补贴等情况纳入预算编制考量，提升预算编制的前瞻性。还要建立完善预算编制动态调整机制，预算编制时预留一定比例的应急预算，用于应对年度内临时新增工作的资金需求，避免因临时工作导致预算缺口</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农机购置补贴资金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1144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1144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”。发现的主要问题及原因：</w:t>
      </w:r>
      <w:r>
        <w:rPr>
          <w:rFonts w:hint="eastAsia" w:ascii="仿宋" w:hAnsi="仿宋" w:eastAsia="仿宋" w:cs="仿宋_GB2312"/>
          <w:color w:val="000000"/>
          <w:sz w:val="32"/>
          <w:szCs w:val="32"/>
        </w:rPr>
        <w:t>2025年预算执行过程中常发生农户补贴申请已审核通过，但财政资金发放的情况。针对此情况，2026年中心应强化政策及外部环境预判，跟踪上级财政政策、地方财政收支状况，将可能出现的拨款调整、新增补贴等情况纳入预算编制考量，提升预算编制的前瞻性。还要建立完善预算编制动态调整机制，预算编制时预留一定比例的应急预算，用于应对年度内临时新增工作的资金需求，避免因临时工作导致预算缺口。</w:t>
      </w:r>
    </w:p>
    <w:p>
      <w:pPr>
        <w:adjustRightInd w:val="0"/>
        <w:snapToGrid w:val="0"/>
        <w:spacing w:line="600" w:lineRule="exact"/>
        <w:ind w:firstLine="640"/>
        <w:rPr>
          <w:rFonts w:ascii="仿宋" w:hAnsi="仿宋" w:eastAsia="仿宋" w:cs="仿宋"/>
          <w:sz w:val="32"/>
          <w:szCs w:val="32"/>
        </w:rPr>
      </w:pPr>
      <w:r>
        <w:rPr>
          <w:rFonts w:ascii="Times New Roman" w:hAnsi="Times New Roman" w:eastAsia="楷体_GB2312" w:cs="Times New Roman"/>
          <w:b/>
          <w:bCs/>
          <w:sz w:val="32"/>
          <w:szCs w:val="32"/>
        </w:rPr>
        <w:t>（三）评价结果应用情况。</w:t>
      </w:r>
      <w:r>
        <w:rPr>
          <w:rFonts w:hint="eastAsia" w:ascii="仿宋" w:hAnsi="仿宋" w:eastAsia="仿宋" w:cs="仿宋"/>
          <w:sz w:val="32"/>
          <w:szCs w:val="32"/>
        </w:rPr>
        <w:t>我中心整体支出绩效自评结果各项指标基本达标，整体绩效优秀。中心将自评结果应用于后续工作改进、流程优化、工作调整的重要依据，将按有关部门规定适当范围公开，接受监督。</w:t>
      </w:r>
    </w:p>
    <w:p>
      <w:pPr>
        <w:pStyle w:val="14"/>
        <w:overflowPunct w:val="0"/>
        <w:autoSpaceDE/>
        <w:autoSpaceDN/>
        <w:spacing w:line="600" w:lineRule="exact"/>
        <w:ind w:firstLine="1440" w:firstLineChars="200"/>
        <w:jc w:val="both"/>
        <w:rPr>
          <w:rFonts w:ascii="Times New Roman" w:hAnsi="Times New Roman" w:cs="Times New Roman"/>
          <w:sz w:val="72"/>
          <w:szCs w:val="72"/>
        </w:rPr>
      </w:pPr>
    </w:p>
    <w:p>
      <w:pPr>
        <w:pStyle w:val="14"/>
        <w:jc w:val="center"/>
        <w:rPr>
          <w:sz w:val="72"/>
          <w:szCs w:val="72"/>
        </w:rPr>
      </w:pPr>
    </w:p>
    <w:p>
      <w:pPr>
        <w:pStyle w:val="14"/>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rPr>
          <w:rFonts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财政拨款收入:指单位本年度从同级财政部门取得的各类财政拨款。</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上级补助收入:指事业单位从主管部门和上级单位取得的非财政补助收入。</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对附属单位补助支出:指事业单位用财政拨款收入之外的收入对附属单位补助发生的支出。</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经营支出:指事业单位在专业业务活动及其辅助活动之外开展非独立核算经营活动发生的支出。</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上缴上级支出:指事业单位按照财政部门和主管部门的规定上缴上级单位的支出。</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项目支出:指在为完成特定的工作任务和事业发展目标所发生的支出。</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基本支出:指为保障机构正常运转、完成日常工作任务而发生的支出,包括人员经费和公用经费。</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年末结转和结余资金:指本年度或以前年度预算安排、因客观条件发生变化无法按原计划实施,需要延迟到以后年度按有关规定继续使用的资金。</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结余分配:指事业单位按规定对非财政拨款结余资金提取的专用基金、缴纳的所得税和转入非财政拨款结余等。</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年初结转和结余:指单位上年结转本年使用的基本支出结转、项目支出结转和结余和经营结余。</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使用非财政拨款结余:指事业单位使用非财政拨款结余(原事业基金)弥补当年收支差额的数额。</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其他收入:指单位取得的除上述“财政拨款收入”、“事业收入”、“经营收入”等以外的各项收入。</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附属单位上缴收入:指事业单位附属独立核算单位按照有关规定上缴的收入。</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事业收入:指事业单位开展专业业务活动及其辅助活动取得的收入,事业单位收到的财政专户实际核拨的教育收费等资金在此反映。</w:t>
      </w:r>
    </w:p>
    <w:p>
      <w:pPr>
        <w:numPr>
          <w:ilvl w:val="0"/>
          <w:numId w:val="3"/>
        </w:numPr>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经营收入:指事业单位在专业业务活动及其辅助活动之外开展非独立核算经营活动取得的收入。</w:t>
      </w:r>
    </w:p>
    <w:p>
      <w:pPr>
        <w:pStyle w:val="14"/>
        <w:spacing w:line="600" w:lineRule="exact"/>
        <w:ind w:firstLine="640" w:firstLineChars="200"/>
        <w:rPr>
          <w:rFonts w:ascii="楷体" w:hAnsi="楷体" w:eastAsia="楷体" w:cs="楷体"/>
          <w:b/>
          <w:bCs/>
          <w:i/>
          <w:color w:val="auto"/>
          <w:sz w:val="32"/>
          <w:szCs w:val="32"/>
        </w:rPr>
      </w:pPr>
    </w:p>
    <w:p>
      <w:pPr>
        <w:pStyle w:val="14"/>
        <w:jc w:val="center"/>
        <w:rPr>
          <w:sz w:val="72"/>
          <w:szCs w:val="72"/>
        </w:rPr>
      </w:pPr>
    </w:p>
    <w:p>
      <w:pPr>
        <w:pStyle w:val="14"/>
        <w:jc w:val="center"/>
        <w:rPr>
          <w:sz w:val="72"/>
          <w:szCs w:val="72"/>
        </w:rPr>
      </w:pPr>
    </w:p>
    <w:p>
      <w:pPr>
        <w:pStyle w:val="14"/>
        <w:rPr>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p>
    <w:p>
      <w:pPr>
        <w:pStyle w:val="14"/>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4"/>
        <w:jc w:val="center"/>
        <w:rPr>
          <w:rFonts w:ascii="方正小标宋_GBK" w:hAnsi="方正小标宋_GBK" w:eastAsia="方正小标宋_GBK" w:cs="方正小标宋_GBK"/>
          <w:sz w:val="70"/>
          <w:szCs w:val="70"/>
        </w:rPr>
      </w:pPr>
    </w:p>
    <w:p>
      <w:pPr>
        <w:pStyle w:val="14"/>
        <w:jc w:val="center"/>
        <w:rPr>
          <w:sz w:val="72"/>
          <w:szCs w:val="72"/>
        </w:rPr>
      </w:pPr>
      <w:r>
        <w:rPr>
          <w:rFonts w:hint="eastAsia" w:ascii="方正小标宋_GBK" w:hAnsi="方正小标宋_GBK" w:eastAsia="方正小标宋_GBK" w:cs="方正小标宋_GBK"/>
          <w:sz w:val="70"/>
          <w:szCs w:val="70"/>
        </w:rPr>
        <w:t>附 件</w:t>
      </w:r>
    </w:p>
    <w:p>
      <w:pPr>
        <w:rPr>
          <w:sz w:val="72"/>
          <w:szCs w:val="72"/>
        </w:rPr>
      </w:pPr>
      <w:r>
        <w:rPr>
          <w:sz w:val="72"/>
          <w:szCs w:val="72"/>
        </w:rPr>
        <w:br w:type="page"/>
      </w:r>
    </w:p>
    <w:p>
      <w:pPr>
        <w:adjustRightInd w:val="0"/>
        <w:spacing w:line="600" w:lineRule="exact"/>
        <w:jc w:val="center"/>
        <w:rPr>
          <w:rFonts w:ascii="宋体" w:hAnsi="宋体" w:eastAsia="宋体" w:cs="宋体"/>
          <w:b/>
          <w:bCs/>
          <w:sz w:val="36"/>
          <w:szCs w:val="36"/>
        </w:rPr>
      </w:pPr>
      <w:r>
        <w:rPr>
          <w:rFonts w:hint="eastAsia" w:ascii="宋体" w:hAnsi="宋体" w:eastAsia="宋体" w:cs="宋体"/>
          <w:b/>
          <w:bCs/>
          <w:sz w:val="36"/>
          <w:szCs w:val="36"/>
        </w:rPr>
        <w:t>2025年度道县农机事务中心部门整体支出绩效</w:t>
      </w:r>
    </w:p>
    <w:p>
      <w:pPr>
        <w:adjustRightInd w:val="0"/>
        <w:spacing w:line="600" w:lineRule="exact"/>
        <w:jc w:val="center"/>
        <w:rPr>
          <w:rFonts w:ascii="宋体" w:hAnsi="宋体" w:eastAsia="宋体" w:cs="宋体"/>
          <w:b/>
          <w:bCs/>
          <w:sz w:val="36"/>
          <w:szCs w:val="36"/>
        </w:rPr>
      </w:pPr>
      <w:r>
        <w:rPr>
          <w:rFonts w:hint="eastAsia" w:ascii="宋体" w:hAnsi="宋体" w:eastAsia="宋体" w:cs="宋体"/>
          <w:b/>
          <w:bCs/>
          <w:sz w:val="36"/>
          <w:szCs w:val="36"/>
        </w:rPr>
        <w:t>自评报告</w:t>
      </w:r>
    </w:p>
    <w:p>
      <w:pPr>
        <w:adjustRightInd w:val="0"/>
        <w:spacing w:line="600" w:lineRule="exact"/>
        <w:rPr>
          <w:rFonts w:ascii="仿宋" w:hAnsi="仿宋" w:eastAsia="仿宋" w:cs="仿宋"/>
          <w:b/>
          <w:bCs/>
          <w:sz w:val="32"/>
          <w:szCs w:val="32"/>
        </w:rPr>
      </w:pPr>
      <w:r>
        <w:rPr>
          <w:rFonts w:eastAsia="仿宋_GB2312"/>
          <w:sz w:val="32"/>
          <w:szCs w:val="32"/>
        </w:rPr>
        <w:t xml:space="preserve"> </w:t>
      </w:r>
      <w:r>
        <w:rPr>
          <w:rFonts w:hint="eastAsia" w:ascii="仿宋" w:hAnsi="仿宋" w:eastAsia="仿宋" w:cs="仿宋"/>
          <w:b/>
          <w:bCs/>
          <w:sz w:val="32"/>
          <w:szCs w:val="32"/>
        </w:rPr>
        <w:t>一、基本情况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（一）部门基本情况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道县农机事务中心为公益一类副科级全额拨款事业单位，根据道政办发（2020）50号文件规定，本单位主要工作职责是：1.承担农业机械化补贴政策实施相关事务性工作。2.承担农业机械化从业人员教育培训和职业技能开发。3.承担农业机械化新机具、新技术引进和示范推广。我单位内设综合室、农机推广服务室、产业发展室3个职能股室。2025年度实际在职人数为24人，编制数为30名。</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（二）部门整体支出绩效目标</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加快先进适用机具发展，全县推广各类农机具3000台套以上，发放农机购置补贴1000万元；加强农机安全生产宣传，力争全年无农机安全事故；培训农机技术推广人员10名以上，建设1个水稻全程机械化技术示范推广基地，提升全县农业机械现代化水平。</w:t>
      </w:r>
    </w:p>
    <w:p>
      <w:pPr>
        <w:adjustRightInd w:val="0"/>
        <w:snapToGrid w:val="0"/>
        <w:spacing w:line="600" w:lineRule="exact"/>
        <w:ind w:firstLine="320" w:firstLineChars="100"/>
        <w:rPr>
          <w:rFonts w:ascii="仿宋" w:hAnsi="仿宋" w:eastAsia="仿宋" w:cs="仿宋"/>
          <w:b/>
          <w:bCs/>
          <w:sz w:val="32"/>
          <w:szCs w:val="32"/>
        </w:rPr>
      </w:pPr>
      <w:r>
        <w:rPr>
          <w:rFonts w:hint="eastAsia" w:ascii="仿宋" w:hAnsi="仿宋" w:eastAsia="仿宋" w:cs="仿宋"/>
          <w:b/>
          <w:bCs/>
          <w:sz w:val="32"/>
          <w:szCs w:val="32"/>
        </w:rPr>
        <w:t>二、一般公共预算支出情况</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（一）基本支出情况</w:t>
      </w:r>
    </w:p>
    <w:p>
      <w:pPr>
        <w:pStyle w:val="14"/>
        <w:spacing w:line="600" w:lineRule="exact"/>
        <w:ind w:firstLine="640" w:firstLineChars="200"/>
        <w:rPr>
          <w:rFonts w:ascii="仿宋" w:hAnsi="仿宋" w:eastAsia="仿宋"/>
          <w:sz w:val="32"/>
          <w:szCs w:val="32"/>
        </w:rPr>
      </w:pPr>
      <w:r>
        <w:rPr>
          <w:rFonts w:hint="eastAsia" w:ascii="仿宋" w:hAnsi="仿宋" w:eastAsia="仿宋"/>
          <w:sz w:val="32"/>
          <w:szCs w:val="32"/>
        </w:rPr>
        <w:t>2025年度财政拨款基本支出522.47万元，其中：</w:t>
      </w:r>
    </w:p>
    <w:p>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465.59万元，占基本支出的89.11%,主要包括基本工资147.79万元、津贴补贴22.05万元、奖金66.51万元、绩效工资44.78万元、养老保险缴费51.55万元、职业年金缴费10.34万元、医疗保险缴费36.96万元、其他工资福利支出7万元、抚恤金57.83万元、困难遗属生活补助12.79万元、其他对个人和家庭的补助8万元。</w:t>
      </w:r>
    </w:p>
    <w:p>
      <w:pPr>
        <w:pStyle w:val="14"/>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56.88万元，占基本支出的10.89%，主要包括办公费4.75万元、印刷费3.40万元、水电费1.51万元、差旅费0.05万元、培训费2.97万元、劳务费0.36万元、工会经费10万元、福利费15.06万元、其他交通费用1.92万元、其他商品和服务支出16.86万元。</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（二）项目支出</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1．本单位2025年项目资金安排落实、总投入为1533万元：2025年中央与省级农机购置补贴资金共1144万元，超长期特别国债支持农机报废更新资金374万元，跑项争资“双学双比”考核奖励工作经费15万元。</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2．项目资金实际使用情况：2025年通过乡财惠农一卡通系统和集中支付系统发放农机购置补贴资金与农机报废补贴资金共1518万元；使用“双学双比”考核奖励工作经费15万元维持单位基本运行。</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三、政府性基金预算支出情况</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sz w:val="32"/>
          <w:szCs w:val="32"/>
        </w:rPr>
        <w:t>2025年增加超长期国债资金支持农机报废更新资金374万元全部用于农机报废补贴支出</w:t>
      </w:r>
      <w:r>
        <w:rPr>
          <w:rFonts w:hint="eastAsia" w:ascii="仿宋" w:hAnsi="仿宋" w:eastAsia="仿宋" w:cs="Times New Roman"/>
          <w:sz w:val="32"/>
          <w:szCs w:val="32"/>
        </w:rPr>
        <w:t>。</w:t>
      </w:r>
    </w:p>
    <w:p>
      <w:pPr>
        <w:numPr>
          <w:ilvl w:val="0"/>
          <w:numId w:val="4"/>
        </w:num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国有资本经营预算支出情况</w:t>
      </w:r>
    </w:p>
    <w:p>
      <w:pPr>
        <w:adjustRightInd w:val="0"/>
        <w:snapToGrid w:val="0"/>
        <w:spacing w:line="600" w:lineRule="exact"/>
        <w:rPr>
          <w:rFonts w:ascii="仿宋" w:hAnsi="仿宋" w:eastAsia="仿宋" w:cs="仿宋"/>
          <w:sz w:val="32"/>
          <w:szCs w:val="32"/>
        </w:rPr>
      </w:pPr>
      <w:r>
        <w:rPr>
          <w:rFonts w:hint="eastAsia" w:ascii="仿宋" w:hAnsi="仿宋" w:eastAsia="仿宋" w:cs="仿宋"/>
          <w:sz w:val="32"/>
          <w:szCs w:val="32"/>
        </w:rPr>
        <w:t xml:space="preserve">    本单位无国有资本经营收入，也没有使用国有资本经营方面安排的支出。</w:t>
      </w:r>
    </w:p>
    <w:p>
      <w:pPr>
        <w:numPr>
          <w:ilvl w:val="0"/>
          <w:numId w:val="4"/>
        </w:num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社会保险基金预算支出情况</w:t>
      </w:r>
    </w:p>
    <w:p>
      <w:pPr>
        <w:adjustRightInd w:val="0"/>
        <w:snapToGrid w:val="0"/>
        <w:spacing w:line="600" w:lineRule="exact"/>
        <w:ind w:firstLine="640" w:firstLineChars="200"/>
        <w:rPr>
          <w:rFonts w:ascii="仿宋" w:hAnsi="仿宋" w:eastAsia="仿宋" w:cs="仿宋"/>
          <w:b/>
          <w:bCs/>
          <w:sz w:val="32"/>
          <w:szCs w:val="32"/>
        </w:rPr>
      </w:pPr>
      <w:r>
        <w:rPr>
          <w:rFonts w:ascii="仿宋" w:hAnsi="仿宋" w:eastAsia="仿宋" w:cs="仿宋"/>
          <w:sz w:val="32"/>
          <w:szCs w:val="32"/>
        </w:rPr>
        <w:t>本单位无</w:t>
      </w:r>
      <w:r>
        <w:rPr>
          <w:rFonts w:hint="eastAsia" w:ascii="仿宋" w:hAnsi="仿宋" w:eastAsia="仿宋" w:cs="仿宋"/>
          <w:sz w:val="32"/>
          <w:szCs w:val="32"/>
        </w:rPr>
        <w:t>社会保险基金</w:t>
      </w:r>
      <w:r>
        <w:rPr>
          <w:rFonts w:ascii="仿宋" w:hAnsi="仿宋" w:eastAsia="仿宋" w:cs="仿宋"/>
          <w:sz w:val="32"/>
          <w:szCs w:val="32"/>
        </w:rPr>
        <w:t>收入，也没有使用国有资本经营</w:t>
      </w:r>
      <w:r>
        <w:rPr>
          <w:rFonts w:hint="eastAsia" w:ascii="仿宋" w:hAnsi="仿宋" w:eastAsia="仿宋" w:cs="仿宋"/>
          <w:sz w:val="32"/>
          <w:szCs w:val="32"/>
        </w:rPr>
        <w:t>社会保险基金</w:t>
      </w:r>
      <w:r>
        <w:rPr>
          <w:rFonts w:ascii="仿宋" w:hAnsi="仿宋" w:eastAsia="仿宋" w:cs="仿宋"/>
          <w:sz w:val="32"/>
          <w:szCs w:val="32"/>
        </w:rPr>
        <w:t>方面安排的支出。</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六、部门整体支出绩效情况</w:t>
      </w:r>
    </w:p>
    <w:p>
      <w:pPr>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1.农机补贴发放扎实推进。截至2025年底，已受理购置补贴申报5013份、受理各类机具补贴5161台套，发放补贴额1518余万元，拉动农户投入6000万元。其中，拖拉机116台、耕整机械3005台、种植施肥机械86台、收获机械82台、谷物烘干机等26台、植保无人机126台。</w:t>
      </w:r>
    </w:p>
    <w:p>
      <w:pPr>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楷体"/>
          <w:bCs/>
          <w:color w:val="000000"/>
          <w:sz w:val="32"/>
          <w:szCs w:val="32"/>
        </w:rPr>
        <w:t>2.</w:t>
      </w:r>
      <w:r>
        <w:rPr>
          <w:rFonts w:hint="eastAsia" w:ascii="楷体" w:hAnsi="楷体" w:eastAsia="楷体" w:cs="楷体"/>
          <w:bCs/>
          <w:color w:val="000000"/>
          <w:sz w:val="32"/>
          <w:szCs w:val="32"/>
        </w:rPr>
        <w:t>推广服务成效明显</w:t>
      </w:r>
      <w:r>
        <w:rPr>
          <w:rFonts w:hint="eastAsia" w:ascii="仿宋" w:hAnsi="仿宋" w:eastAsia="仿宋" w:cs="楷体"/>
          <w:bCs/>
          <w:color w:val="000000"/>
          <w:sz w:val="32"/>
          <w:szCs w:val="32"/>
        </w:rPr>
        <w:t>。</w:t>
      </w:r>
      <w:r>
        <w:rPr>
          <w:rFonts w:hint="eastAsia" w:ascii="仿宋" w:hAnsi="仿宋" w:eastAsia="仿宋" w:cs="仿宋_GB2312"/>
          <w:color w:val="000000"/>
          <w:sz w:val="32"/>
          <w:szCs w:val="32"/>
        </w:rPr>
        <w:t>2025年共计完成机耕面积120万余亩，完成机插（抛）秧、机播面积40余万亩；组建农机专业技术服务队10个，深入全县各乡村、田间地头和农户家中帮助检查维修各类农机具9600余台套；完成机插机抛北斗监管面积11.44万亩，基本完成年初省定任务。</w:t>
      </w:r>
    </w:p>
    <w:p>
      <w:pPr>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楷体_GB2312"/>
          <w:bCs/>
          <w:color w:val="000000"/>
          <w:sz w:val="32"/>
          <w:szCs w:val="32"/>
        </w:rPr>
        <w:t>3.</w:t>
      </w:r>
      <w:r>
        <w:rPr>
          <w:rFonts w:hint="eastAsia" w:ascii="仿宋" w:hAnsi="仿宋" w:eastAsia="仿宋" w:cs="楷体"/>
          <w:bCs/>
          <w:color w:val="000000"/>
          <w:sz w:val="32"/>
          <w:szCs w:val="32"/>
        </w:rPr>
        <w:t>安全监管平稳有序。</w:t>
      </w:r>
      <w:r>
        <w:rPr>
          <w:rFonts w:hint="eastAsia" w:ascii="仿宋" w:hAnsi="仿宋" w:eastAsia="仿宋" w:cs="仿宋_GB2312"/>
          <w:color w:val="000000"/>
          <w:sz w:val="32"/>
          <w:szCs w:val="32"/>
        </w:rPr>
        <w:t>以农机“安全生产月”活动和拖拉机安全顽瘴痼疾系统整治三年行动为契机，大力开展农机安全监管工作。今年来，已开展安全隐患排查35余次，开展农机安全生产宣传7次，对农机合作社等农机服务主体开展农机送检上门10次，发放宣传资料2万余份，新增入户拖拉机、收割机130台，培训拖拉机、收割机驾驶员43人。全年没有发生农机安全生产事故。</w:t>
      </w:r>
    </w:p>
    <w:p>
      <w:pPr>
        <w:adjustRightInd w:val="0"/>
        <w:snapToGrid w:val="0"/>
        <w:spacing w:line="60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七、当年预算执行及绩效管理中存在问题、原因及改进措施。</w:t>
      </w:r>
    </w:p>
    <w:p>
      <w:pPr>
        <w:adjustRightInd w:val="0"/>
        <w:snapToGrid w:val="0"/>
        <w:spacing w:line="60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2025年预算执行过程中存在财政拨款收入年初预算与决算存在差异等问题。一方面是由于中心预算编制精准度不足，另一方面是由于政策及外部环境变动，不可控因素较多。下一步，中心要进一步推行精细化预算编制，建立预算编制前期调研机制。预算编制前，由财务部门牵头，联合各业务科室，全面梳理年度核心业务计划、资金需求细节，结合上年财政拨款执行情况、资产盘活进度、业务工作量等，对各项资金需求进行精细化测算，形成详细的预算编制说明和测算依据，杜绝“粗放式”“经验式”编制。其次，强化政策及外部环境预判，跟踪上级财政政策、地方财政收支状况，将可能出现的拨款调整、新增补贴等情况纳入预算编制考量，提升预算编制的前瞻性。还要建立完善预算编制动态调整机制，预算编制时预留一定比例的应急预算，用于应对年度内临时新增工作的资金需求，避免因临时工作导致预算缺口。</w:t>
      </w:r>
    </w:p>
    <w:p>
      <w:pPr>
        <w:adjustRightInd w:val="0"/>
        <w:snapToGrid w:val="0"/>
        <w:spacing w:line="600" w:lineRule="exact"/>
        <w:ind w:firstLine="640" w:firstLineChars="200"/>
        <w:rPr>
          <w:rFonts w:ascii="仿宋" w:hAnsi="仿宋" w:eastAsia="仿宋" w:cs="仿宋"/>
          <w:sz w:val="32"/>
          <w:szCs w:val="32"/>
        </w:rPr>
      </w:pPr>
      <w:r>
        <w:rPr>
          <w:rFonts w:hint="eastAsia" w:ascii="仿宋" w:hAnsi="仿宋" w:eastAsia="仿宋" w:cs="仿宋"/>
          <w:b/>
          <w:bCs/>
          <w:sz w:val="32"/>
          <w:szCs w:val="32"/>
        </w:rPr>
        <w:t>八、绩效自评结果拟应用和公开情况</w:t>
      </w:r>
    </w:p>
    <w:p>
      <w:pPr>
        <w:adjustRightInd w:val="0"/>
        <w:snapToGrid w:val="0"/>
        <w:spacing w:line="600" w:lineRule="exact"/>
        <w:ind w:firstLine="640"/>
        <w:rPr>
          <w:rFonts w:ascii="仿宋" w:hAnsi="仿宋" w:eastAsia="仿宋" w:cs="仿宋"/>
          <w:sz w:val="32"/>
          <w:szCs w:val="32"/>
        </w:rPr>
      </w:pPr>
      <w:r>
        <w:rPr>
          <w:rFonts w:hint="eastAsia" w:ascii="仿宋" w:hAnsi="仿宋" w:eastAsia="仿宋" w:cs="仿宋"/>
          <w:sz w:val="32"/>
          <w:szCs w:val="32"/>
        </w:rPr>
        <w:t>我中心整体支出绩效自评结果各项指标基本达标，整体绩效优秀。中心将自评结果应用于后续工作改进、流程优化、工作调整的重要依据，将按有关部门规定适当范围公开，接受监督。</w:t>
      </w:r>
    </w:p>
    <w:p>
      <w:pPr>
        <w:adjustRightInd w:val="0"/>
        <w:snapToGrid w:val="0"/>
        <w:jc w:val="right"/>
        <w:rPr>
          <w:rFonts w:ascii="仿宋" w:hAnsi="仿宋" w:eastAsia="仿宋" w:cs="仿宋"/>
          <w:sz w:val="32"/>
          <w:szCs w:val="32"/>
        </w:rPr>
      </w:pPr>
      <w:r>
        <w:rPr>
          <w:rFonts w:hint="eastAsia" w:ascii="仿宋" w:hAnsi="仿宋" w:eastAsia="仿宋" w:cs="仿宋"/>
          <w:sz w:val="32"/>
          <w:szCs w:val="32"/>
        </w:rPr>
        <w:t xml:space="preserve">                        </w:t>
      </w:r>
    </w:p>
    <w:p>
      <w:pPr>
        <w:jc w:val="left"/>
        <w:rPr>
          <w:rFonts w:cs="黑体" w:asciiTheme="minorEastAsia" w:hAnsiTheme="minorEastAsia"/>
          <w:color w:val="000000"/>
          <w:kern w:val="0"/>
          <w:sz w:val="32"/>
          <w:szCs w:val="32"/>
        </w:rPr>
      </w:pPr>
      <w:bookmarkStart w:id="3" w:name="_GoBack"/>
      <w:bookmarkEnd w:id="3"/>
    </w:p>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3B123"/>
    <w:multiLevelType w:val="singleLevel"/>
    <w:tmpl w:val="82A3B123"/>
    <w:lvl w:ilvl="0" w:tentative="0">
      <w:start w:val="4"/>
      <w:numFmt w:val="chineseCounting"/>
      <w:suff w:val="nothing"/>
      <w:lvlText w:val="%1、"/>
      <w:lvlJc w:val="left"/>
      <w:rPr>
        <w:rFonts w:hint="eastAsia"/>
      </w:rPr>
    </w:lvl>
  </w:abstractNum>
  <w:abstractNum w:abstractNumId="1">
    <w:nsid w:val="FB93302C"/>
    <w:multiLevelType w:val="singleLevel"/>
    <w:tmpl w:val="FB93302C"/>
    <w:lvl w:ilvl="0" w:tentative="0">
      <w:start w:val="3"/>
      <w:numFmt w:val="decimal"/>
      <w:suff w:val="nothing"/>
      <w:lvlText w:val="%1、"/>
      <w:lvlJc w:val="left"/>
    </w:lvl>
  </w:abstractNum>
  <w:abstractNum w:abstractNumId="2">
    <w:nsid w:val="FFFAB0C7"/>
    <w:multiLevelType w:val="singleLevel"/>
    <w:tmpl w:val="FFFAB0C7"/>
    <w:lvl w:ilvl="0" w:tentative="0">
      <w:start w:val="1"/>
      <w:numFmt w:val="chineseCounting"/>
      <w:suff w:val="nothing"/>
      <w:lvlText w:val="%1、"/>
      <w:lvlJc w:val="left"/>
      <w:pPr>
        <w:ind w:left="0" w:firstLine="420"/>
      </w:pPr>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2229B"/>
    <w:rsid w:val="000273BD"/>
    <w:rsid w:val="00040CBC"/>
    <w:rsid w:val="000415B7"/>
    <w:rsid w:val="00041E3F"/>
    <w:rsid w:val="00047F03"/>
    <w:rsid w:val="00055DAA"/>
    <w:rsid w:val="00061F7B"/>
    <w:rsid w:val="000658A3"/>
    <w:rsid w:val="00074155"/>
    <w:rsid w:val="0008747F"/>
    <w:rsid w:val="000A089E"/>
    <w:rsid w:val="000A3F69"/>
    <w:rsid w:val="00103957"/>
    <w:rsid w:val="00152C6D"/>
    <w:rsid w:val="00162D39"/>
    <w:rsid w:val="001678BD"/>
    <w:rsid w:val="00167B2D"/>
    <w:rsid w:val="001745B7"/>
    <w:rsid w:val="00182373"/>
    <w:rsid w:val="001A67DB"/>
    <w:rsid w:val="001C3C29"/>
    <w:rsid w:val="001D51E5"/>
    <w:rsid w:val="001E080D"/>
    <w:rsid w:val="001E53D0"/>
    <w:rsid w:val="001F0C3B"/>
    <w:rsid w:val="002017C1"/>
    <w:rsid w:val="00202C82"/>
    <w:rsid w:val="00214427"/>
    <w:rsid w:val="00226CB7"/>
    <w:rsid w:val="00264552"/>
    <w:rsid w:val="00264EF9"/>
    <w:rsid w:val="00265724"/>
    <w:rsid w:val="00272D62"/>
    <w:rsid w:val="0027426B"/>
    <w:rsid w:val="002C2AEC"/>
    <w:rsid w:val="002E0A30"/>
    <w:rsid w:val="002F2B9B"/>
    <w:rsid w:val="002F6A95"/>
    <w:rsid w:val="003130C4"/>
    <w:rsid w:val="00316C4B"/>
    <w:rsid w:val="0032192B"/>
    <w:rsid w:val="003479BD"/>
    <w:rsid w:val="0037197D"/>
    <w:rsid w:val="003768D5"/>
    <w:rsid w:val="003926B9"/>
    <w:rsid w:val="0039602F"/>
    <w:rsid w:val="00396FEA"/>
    <w:rsid w:val="003C47E6"/>
    <w:rsid w:val="003C4FC2"/>
    <w:rsid w:val="003F2A5C"/>
    <w:rsid w:val="00415F30"/>
    <w:rsid w:val="00416E61"/>
    <w:rsid w:val="0042790C"/>
    <w:rsid w:val="004364CF"/>
    <w:rsid w:val="004506F9"/>
    <w:rsid w:val="00464F28"/>
    <w:rsid w:val="004717A2"/>
    <w:rsid w:val="00473DF3"/>
    <w:rsid w:val="00487911"/>
    <w:rsid w:val="00491741"/>
    <w:rsid w:val="004B0CEE"/>
    <w:rsid w:val="00500E5F"/>
    <w:rsid w:val="005122EF"/>
    <w:rsid w:val="0051441A"/>
    <w:rsid w:val="00517C33"/>
    <w:rsid w:val="00517D5F"/>
    <w:rsid w:val="00523644"/>
    <w:rsid w:val="0054069E"/>
    <w:rsid w:val="00544866"/>
    <w:rsid w:val="00556028"/>
    <w:rsid w:val="005767CC"/>
    <w:rsid w:val="00590D9F"/>
    <w:rsid w:val="00595D26"/>
    <w:rsid w:val="00595D31"/>
    <w:rsid w:val="005A74E6"/>
    <w:rsid w:val="005B404E"/>
    <w:rsid w:val="005D4D55"/>
    <w:rsid w:val="005D58B4"/>
    <w:rsid w:val="005E2CFB"/>
    <w:rsid w:val="005F2103"/>
    <w:rsid w:val="005F3D1C"/>
    <w:rsid w:val="0062155A"/>
    <w:rsid w:val="0062378F"/>
    <w:rsid w:val="00641842"/>
    <w:rsid w:val="00651EEC"/>
    <w:rsid w:val="00664EEB"/>
    <w:rsid w:val="00675C3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759E0"/>
    <w:rsid w:val="00787B42"/>
    <w:rsid w:val="007C4539"/>
    <w:rsid w:val="007D2850"/>
    <w:rsid w:val="007F3657"/>
    <w:rsid w:val="00811E96"/>
    <w:rsid w:val="00812ED5"/>
    <w:rsid w:val="00820F33"/>
    <w:rsid w:val="008277D9"/>
    <w:rsid w:val="0084478C"/>
    <w:rsid w:val="00847BA8"/>
    <w:rsid w:val="00853F74"/>
    <w:rsid w:val="0086638C"/>
    <w:rsid w:val="008A3E8D"/>
    <w:rsid w:val="008E2A0E"/>
    <w:rsid w:val="008F39D6"/>
    <w:rsid w:val="009237C4"/>
    <w:rsid w:val="009402D7"/>
    <w:rsid w:val="00944C48"/>
    <w:rsid w:val="00950252"/>
    <w:rsid w:val="00967F5D"/>
    <w:rsid w:val="009A0F95"/>
    <w:rsid w:val="009B3ADF"/>
    <w:rsid w:val="009C3B52"/>
    <w:rsid w:val="009E6817"/>
    <w:rsid w:val="009E6E9A"/>
    <w:rsid w:val="00A01D2B"/>
    <w:rsid w:val="00A157E4"/>
    <w:rsid w:val="00A42218"/>
    <w:rsid w:val="00A70249"/>
    <w:rsid w:val="00A70B02"/>
    <w:rsid w:val="00A71D9F"/>
    <w:rsid w:val="00A80954"/>
    <w:rsid w:val="00A92E9F"/>
    <w:rsid w:val="00AB18FF"/>
    <w:rsid w:val="00B33BEA"/>
    <w:rsid w:val="00B57C9F"/>
    <w:rsid w:val="00B63572"/>
    <w:rsid w:val="00B75662"/>
    <w:rsid w:val="00B845B3"/>
    <w:rsid w:val="00B85D8B"/>
    <w:rsid w:val="00BB4A40"/>
    <w:rsid w:val="00BD6C3E"/>
    <w:rsid w:val="00BE3674"/>
    <w:rsid w:val="00BF3A2B"/>
    <w:rsid w:val="00C10681"/>
    <w:rsid w:val="00C20648"/>
    <w:rsid w:val="00C3049A"/>
    <w:rsid w:val="00C31B1E"/>
    <w:rsid w:val="00C77645"/>
    <w:rsid w:val="00CE04C3"/>
    <w:rsid w:val="00CE76A0"/>
    <w:rsid w:val="00CF1851"/>
    <w:rsid w:val="00D148C6"/>
    <w:rsid w:val="00D17A8A"/>
    <w:rsid w:val="00D415BA"/>
    <w:rsid w:val="00D63780"/>
    <w:rsid w:val="00D644EE"/>
    <w:rsid w:val="00D70859"/>
    <w:rsid w:val="00DD06FF"/>
    <w:rsid w:val="00DD5FE9"/>
    <w:rsid w:val="00DE29F3"/>
    <w:rsid w:val="00E00C7A"/>
    <w:rsid w:val="00E37D6C"/>
    <w:rsid w:val="00E55B68"/>
    <w:rsid w:val="00E561AE"/>
    <w:rsid w:val="00E67BE6"/>
    <w:rsid w:val="00E8683C"/>
    <w:rsid w:val="00EA2B72"/>
    <w:rsid w:val="00F74360"/>
    <w:rsid w:val="00F9185B"/>
    <w:rsid w:val="00FB462F"/>
    <w:rsid w:val="00FE16FA"/>
    <w:rsid w:val="00FE328A"/>
    <w:rsid w:val="00FE6269"/>
    <w:rsid w:val="00FF5CD6"/>
    <w:rsid w:val="010F3B4F"/>
    <w:rsid w:val="012B64AF"/>
    <w:rsid w:val="016F283F"/>
    <w:rsid w:val="01835353"/>
    <w:rsid w:val="018C33F1"/>
    <w:rsid w:val="01D775B9"/>
    <w:rsid w:val="02127C2B"/>
    <w:rsid w:val="02EE59E6"/>
    <w:rsid w:val="03A10CAA"/>
    <w:rsid w:val="03D96696"/>
    <w:rsid w:val="03F359AA"/>
    <w:rsid w:val="0409589C"/>
    <w:rsid w:val="046B42E1"/>
    <w:rsid w:val="052E124A"/>
    <w:rsid w:val="0554693F"/>
    <w:rsid w:val="05A056BD"/>
    <w:rsid w:val="06A72F4A"/>
    <w:rsid w:val="07041C7C"/>
    <w:rsid w:val="09097E53"/>
    <w:rsid w:val="0AB665C5"/>
    <w:rsid w:val="0C000C64"/>
    <w:rsid w:val="0D4E59FF"/>
    <w:rsid w:val="0E7C1A04"/>
    <w:rsid w:val="0EA55AF2"/>
    <w:rsid w:val="0EF40828"/>
    <w:rsid w:val="0F670FFA"/>
    <w:rsid w:val="11B5604C"/>
    <w:rsid w:val="11BB4A1A"/>
    <w:rsid w:val="128E5852"/>
    <w:rsid w:val="13003E71"/>
    <w:rsid w:val="13871C6A"/>
    <w:rsid w:val="13CA02EB"/>
    <w:rsid w:val="145A112D"/>
    <w:rsid w:val="14DF5219"/>
    <w:rsid w:val="15194B44"/>
    <w:rsid w:val="155B6F0B"/>
    <w:rsid w:val="15DB4D1F"/>
    <w:rsid w:val="169426D0"/>
    <w:rsid w:val="1763654B"/>
    <w:rsid w:val="17F66765"/>
    <w:rsid w:val="18700F1F"/>
    <w:rsid w:val="189725A7"/>
    <w:rsid w:val="19175F05"/>
    <w:rsid w:val="196B2458"/>
    <w:rsid w:val="19D10C2F"/>
    <w:rsid w:val="19EA1EEA"/>
    <w:rsid w:val="1A2148F0"/>
    <w:rsid w:val="1A925EA2"/>
    <w:rsid w:val="1B1738D4"/>
    <w:rsid w:val="1B64593B"/>
    <w:rsid w:val="1B8B14BF"/>
    <w:rsid w:val="1BE22134"/>
    <w:rsid w:val="1C7865F4"/>
    <w:rsid w:val="1CAA0778"/>
    <w:rsid w:val="1D0B1216"/>
    <w:rsid w:val="1D29268F"/>
    <w:rsid w:val="1D2B18B9"/>
    <w:rsid w:val="1D97DEFF"/>
    <w:rsid w:val="1DA17DCD"/>
    <w:rsid w:val="1DFF72E5"/>
    <w:rsid w:val="1EFC6F07"/>
    <w:rsid w:val="1F0A5D4D"/>
    <w:rsid w:val="1FBE07C2"/>
    <w:rsid w:val="21884BA0"/>
    <w:rsid w:val="219F2875"/>
    <w:rsid w:val="22721469"/>
    <w:rsid w:val="23330285"/>
    <w:rsid w:val="242A7AE9"/>
    <w:rsid w:val="247C6E9E"/>
    <w:rsid w:val="25C12DBA"/>
    <w:rsid w:val="268564DD"/>
    <w:rsid w:val="27471EE1"/>
    <w:rsid w:val="274D0351"/>
    <w:rsid w:val="27734588"/>
    <w:rsid w:val="280A5BD6"/>
    <w:rsid w:val="29323FCF"/>
    <w:rsid w:val="295108F9"/>
    <w:rsid w:val="299A67A7"/>
    <w:rsid w:val="2AE11467"/>
    <w:rsid w:val="2AF53C48"/>
    <w:rsid w:val="2C645648"/>
    <w:rsid w:val="2C98683F"/>
    <w:rsid w:val="2CC413E2"/>
    <w:rsid w:val="2CFE1BBF"/>
    <w:rsid w:val="2CFE2B46"/>
    <w:rsid w:val="2D0D0FDB"/>
    <w:rsid w:val="2D155E83"/>
    <w:rsid w:val="2DB11966"/>
    <w:rsid w:val="2DF56170"/>
    <w:rsid w:val="2E9574DA"/>
    <w:rsid w:val="2EFC30B5"/>
    <w:rsid w:val="2F283EAA"/>
    <w:rsid w:val="2F6A44C2"/>
    <w:rsid w:val="2FDF85B8"/>
    <w:rsid w:val="2FFFEE04"/>
    <w:rsid w:val="300A1801"/>
    <w:rsid w:val="305B02AF"/>
    <w:rsid w:val="31B9528D"/>
    <w:rsid w:val="32B87EA1"/>
    <w:rsid w:val="33633703"/>
    <w:rsid w:val="33B10912"/>
    <w:rsid w:val="340F01C8"/>
    <w:rsid w:val="34380C5C"/>
    <w:rsid w:val="34B7500A"/>
    <w:rsid w:val="34DF85B0"/>
    <w:rsid w:val="34FF745B"/>
    <w:rsid w:val="35357321"/>
    <w:rsid w:val="35845BB2"/>
    <w:rsid w:val="36170803"/>
    <w:rsid w:val="36186F00"/>
    <w:rsid w:val="36415851"/>
    <w:rsid w:val="3693127B"/>
    <w:rsid w:val="37E14A6C"/>
    <w:rsid w:val="391B16A9"/>
    <w:rsid w:val="3A0379ED"/>
    <w:rsid w:val="3AA0523C"/>
    <w:rsid w:val="3AB244F6"/>
    <w:rsid w:val="3B6E70E8"/>
    <w:rsid w:val="3B8F36BC"/>
    <w:rsid w:val="3C920BB5"/>
    <w:rsid w:val="3CF35316"/>
    <w:rsid w:val="3D2832C7"/>
    <w:rsid w:val="3D552CF6"/>
    <w:rsid w:val="3D687B67"/>
    <w:rsid w:val="3D966F38"/>
    <w:rsid w:val="3DA301CB"/>
    <w:rsid w:val="3DBF00CF"/>
    <w:rsid w:val="3E856719"/>
    <w:rsid w:val="3EE856DB"/>
    <w:rsid w:val="40224945"/>
    <w:rsid w:val="408954C8"/>
    <w:rsid w:val="409B585E"/>
    <w:rsid w:val="40A1586A"/>
    <w:rsid w:val="41505DBB"/>
    <w:rsid w:val="41D43A1D"/>
    <w:rsid w:val="42B850ED"/>
    <w:rsid w:val="42D376EB"/>
    <w:rsid w:val="42F430FC"/>
    <w:rsid w:val="436E31AC"/>
    <w:rsid w:val="43AC2EA4"/>
    <w:rsid w:val="44757EF4"/>
    <w:rsid w:val="44D75CFE"/>
    <w:rsid w:val="45752459"/>
    <w:rsid w:val="45997458"/>
    <w:rsid w:val="462938ED"/>
    <w:rsid w:val="46386C71"/>
    <w:rsid w:val="465771CD"/>
    <w:rsid w:val="46A27A38"/>
    <w:rsid w:val="47AD2D46"/>
    <w:rsid w:val="490C7F41"/>
    <w:rsid w:val="491FF225"/>
    <w:rsid w:val="492D05E3"/>
    <w:rsid w:val="497F0713"/>
    <w:rsid w:val="49951CE4"/>
    <w:rsid w:val="4A5E40F0"/>
    <w:rsid w:val="4B355A97"/>
    <w:rsid w:val="4BA83F51"/>
    <w:rsid w:val="4E013DEC"/>
    <w:rsid w:val="4E39001B"/>
    <w:rsid w:val="4E712D20"/>
    <w:rsid w:val="4FFD214C"/>
    <w:rsid w:val="504753FB"/>
    <w:rsid w:val="50B51188"/>
    <w:rsid w:val="51024103"/>
    <w:rsid w:val="5153495F"/>
    <w:rsid w:val="519638FC"/>
    <w:rsid w:val="51AC0513"/>
    <w:rsid w:val="520420FD"/>
    <w:rsid w:val="522105B9"/>
    <w:rsid w:val="525A1D1D"/>
    <w:rsid w:val="52EA3093"/>
    <w:rsid w:val="537806AC"/>
    <w:rsid w:val="53DB401B"/>
    <w:rsid w:val="54646E83"/>
    <w:rsid w:val="54AB6860"/>
    <w:rsid w:val="54F2623D"/>
    <w:rsid w:val="550F6DEF"/>
    <w:rsid w:val="56DE1766"/>
    <w:rsid w:val="570A4B1E"/>
    <w:rsid w:val="572671D4"/>
    <w:rsid w:val="576F1263"/>
    <w:rsid w:val="5777D4F5"/>
    <w:rsid w:val="584E40D2"/>
    <w:rsid w:val="59297022"/>
    <w:rsid w:val="59DD8326"/>
    <w:rsid w:val="5A081B2D"/>
    <w:rsid w:val="5B3542E3"/>
    <w:rsid w:val="5B790776"/>
    <w:rsid w:val="5BA67D81"/>
    <w:rsid w:val="5BC00E43"/>
    <w:rsid w:val="5BD13050"/>
    <w:rsid w:val="5CB47963"/>
    <w:rsid w:val="5D047455"/>
    <w:rsid w:val="5DEF592A"/>
    <w:rsid w:val="5E8D26AE"/>
    <w:rsid w:val="5FBD7995"/>
    <w:rsid w:val="5FC6BB1E"/>
    <w:rsid w:val="5FF720F1"/>
    <w:rsid w:val="60AA20C1"/>
    <w:rsid w:val="61023CAB"/>
    <w:rsid w:val="61695AD8"/>
    <w:rsid w:val="626D15F8"/>
    <w:rsid w:val="62DA4FF2"/>
    <w:rsid w:val="6324615B"/>
    <w:rsid w:val="63927568"/>
    <w:rsid w:val="63C45248"/>
    <w:rsid w:val="63E15DFA"/>
    <w:rsid w:val="63E94CAF"/>
    <w:rsid w:val="63F35C7C"/>
    <w:rsid w:val="64346872"/>
    <w:rsid w:val="64EC5F19"/>
    <w:rsid w:val="65174672"/>
    <w:rsid w:val="659D3FA3"/>
    <w:rsid w:val="662B7800"/>
    <w:rsid w:val="66546D57"/>
    <w:rsid w:val="666351EC"/>
    <w:rsid w:val="67FF5C0B"/>
    <w:rsid w:val="69435ADF"/>
    <w:rsid w:val="69510BE6"/>
    <w:rsid w:val="69AF2169"/>
    <w:rsid w:val="69DB32EB"/>
    <w:rsid w:val="6C7A503E"/>
    <w:rsid w:val="6E1B63AC"/>
    <w:rsid w:val="6EFC0924"/>
    <w:rsid w:val="6FB74722"/>
    <w:rsid w:val="6FEF8B7E"/>
    <w:rsid w:val="71581953"/>
    <w:rsid w:val="71693470"/>
    <w:rsid w:val="716F0EE9"/>
    <w:rsid w:val="718D75C1"/>
    <w:rsid w:val="71A6591B"/>
    <w:rsid w:val="733333C2"/>
    <w:rsid w:val="737D59BA"/>
    <w:rsid w:val="7434641A"/>
    <w:rsid w:val="744A79EB"/>
    <w:rsid w:val="7554009A"/>
    <w:rsid w:val="75F145C2"/>
    <w:rsid w:val="76B06A57"/>
    <w:rsid w:val="76CB29FB"/>
    <w:rsid w:val="771A36A5"/>
    <w:rsid w:val="774B1AB0"/>
    <w:rsid w:val="77C37683"/>
    <w:rsid w:val="78596EC0"/>
    <w:rsid w:val="78A0407E"/>
    <w:rsid w:val="78A3200D"/>
    <w:rsid w:val="79A454A8"/>
    <w:rsid w:val="79FF515B"/>
    <w:rsid w:val="7A5433BE"/>
    <w:rsid w:val="7B3665D4"/>
    <w:rsid w:val="7C604D78"/>
    <w:rsid w:val="7CA67789"/>
    <w:rsid w:val="7CF91E01"/>
    <w:rsid w:val="7DFF7696"/>
    <w:rsid w:val="7E5A7D4F"/>
    <w:rsid w:val="7E663674"/>
    <w:rsid w:val="7E9E1962"/>
    <w:rsid w:val="7E9F11B4"/>
    <w:rsid w:val="7EEE33D2"/>
    <w:rsid w:val="7F37EC1E"/>
    <w:rsid w:val="7F7DCD9D"/>
    <w:rsid w:val="7F970A6F"/>
    <w:rsid w:val="7FC1FFF3"/>
    <w:rsid w:val="7FC69637"/>
    <w:rsid w:val="7FDF8620"/>
    <w:rsid w:val="7FE5681A"/>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TOC1"/>
    <w:basedOn w:val="1"/>
    <w:next w:val="1"/>
    <w:qFormat/>
    <w:uiPriority w:val="0"/>
    <w:pPr>
      <w:textAlignment w:val="baseline"/>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character" w:customStyle="1" w:styleId="20">
    <w:name w:val="NormalCharacter"/>
    <w:semiHidden/>
    <w:qFormat/>
    <w:uiPriority w:val="0"/>
    <w:rPr>
      <w:kern w:val="2"/>
      <w:sz w:val="21"/>
      <w:szCs w:val="21"/>
      <w:lang w:val="en-US" w:eastAsia="zh-CN" w:bidi="ar-SA"/>
    </w:rPr>
  </w:style>
  <w:style w:type="paragraph" w:customStyle="1" w:styleId="21">
    <w:name w:val="样式2"/>
    <w:basedOn w:val="1"/>
    <w:qFormat/>
    <w:uiPriority w:val="99"/>
    <w:pPr>
      <w:widowControl/>
      <w:shd w:val="clear" w:color="auto" w:fill="FFFFFF"/>
      <w:spacing w:before="100" w:beforeAutospacing="1" w:after="100" w:afterAutospacing="1"/>
      <w:ind w:left="562"/>
      <w:jc w:val="center"/>
    </w:pPr>
    <w:rPr>
      <w:rFonts w:ascii="宋体"/>
      <w:b/>
      <w:bCs/>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10074</Words>
  <Characters>11783</Characters>
  <Lines>101</Lines>
  <Paragraphs>28</Paragraphs>
  <TotalTime>2</TotalTime>
  <ScaleCrop>false</ScaleCrop>
  <LinksUpToDate>false</LinksUpToDate>
  <CharactersWithSpaces>12771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2025-02-13T13:20:00Z</dcterms:created>
  <dc:creator>李航 null</dc:creator>
  <cp:lastModifiedBy>水蜜桃</cp:lastModifiedBy>
  <cp:lastPrinted>2024-09-03T02:33:00Z</cp:lastPrinted>
  <dcterms:modified xsi:type="dcterms:W3CDTF">2026-09-11T07:38:57Z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6EFE708D1C724BF9BAD40AEE1B1EFC14_12</vt:lpwstr>
  </property>
  <property fmtid="{D5CDD505-2E9C-101B-9397-08002B2CF9AE}" pid="4" name="KSOTemplateDocerSaveRecord">
    <vt:lpwstr>eyJoZGlkIjoiMDBiMzcxMDdkZGM4YzA3NmRlNjAyNDVjNjcyZmVhNDUiLCJ1c2VySWQiOiIxNjc5MTYyNTgyIn0=</vt:lpwstr>
  </property>
</Properties>
</file>