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3918F">
      <w:pPr>
        <w:keepNext w:val="0"/>
        <w:keepLines w:val="0"/>
        <w:pageBreakBefore w:val="0"/>
        <w:kinsoku/>
        <w:wordWrap/>
        <w:overflowPunct/>
        <w:topLinePunct w:val="0"/>
        <w:autoSpaceDE/>
        <w:autoSpaceDN/>
        <w:bidi w:val="0"/>
        <w:spacing w:line="560" w:lineRule="exact"/>
        <w:jc w:val="center"/>
        <w:rPr>
          <w:rFonts w:hint="eastAsia" w:ascii="黑体" w:hAnsi="黑体" w:eastAsia="黑体" w:cs="黑体"/>
          <w:b/>
          <w:sz w:val="36"/>
          <w:szCs w:val="36"/>
          <w:lang w:eastAsia="zh-CN"/>
        </w:rPr>
      </w:pPr>
      <w:r>
        <w:rPr>
          <w:rFonts w:hint="eastAsia" w:ascii="黑体" w:hAnsi="黑体" w:eastAsia="黑体" w:cs="黑体"/>
          <w:b/>
          <w:sz w:val="36"/>
          <w:szCs w:val="36"/>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w:t>
      </w:r>
      <w:r>
        <w:rPr>
          <w:rFonts w:hint="eastAsia" w:ascii="黑体" w:hAnsi="黑体" w:eastAsia="黑体" w:cs="黑体"/>
          <w:b/>
          <w:sz w:val="36"/>
          <w:szCs w:val="36"/>
          <w:lang w:eastAsia="zh-CN"/>
        </w:rPr>
        <w:t>何宝珍故里管理所</w:t>
      </w:r>
    </w:p>
    <w:p w14:paraId="767A63EC">
      <w:pPr>
        <w:keepNext w:val="0"/>
        <w:keepLines w:val="0"/>
        <w:pageBreakBefore w:val="0"/>
        <w:kinsoku/>
        <w:wordWrap/>
        <w:overflowPunct/>
        <w:topLinePunct w:val="0"/>
        <w:autoSpaceDE/>
        <w:autoSpaceDN/>
        <w:bidi w:val="0"/>
        <w:spacing w:line="560" w:lineRule="exact"/>
        <w:jc w:val="center"/>
        <w:rPr>
          <w:rFonts w:hint="eastAsia"/>
        </w:rPr>
      </w:pPr>
      <w:r>
        <w:rPr>
          <w:rFonts w:hint="eastAsia" w:ascii="黑体" w:hAnsi="黑体" w:eastAsia="黑体" w:cs="黑体"/>
          <w:b/>
          <w:sz w:val="36"/>
          <w:szCs w:val="36"/>
        </w:rPr>
        <w:t>整体支出绩效评价报告</w:t>
      </w:r>
    </w:p>
    <w:p w14:paraId="7A22D477">
      <w:pPr>
        <w:pStyle w:val="9"/>
        <w:keepNext w:val="0"/>
        <w:keepLines w:val="0"/>
        <w:pageBreakBefore w:val="0"/>
        <w:kinsoku/>
        <w:wordWrap/>
        <w:overflowPunct/>
        <w:topLinePunct w:val="0"/>
        <w:autoSpaceDE/>
        <w:autoSpaceDN/>
        <w:bidi w:val="0"/>
        <w:spacing w:line="560" w:lineRule="exact"/>
        <w:ind w:firstLine="843" w:firstLineChars="3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  部门概况</w:t>
      </w:r>
    </w:p>
    <w:p w14:paraId="4383FAC2">
      <w:pPr>
        <w:pStyle w:val="9"/>
        <w:keepNext w:val="0"/>
        <w:keepLines w:val="0"/>
        <w:pageBreakBefore w:val="0"/>
        <w:kinsoku/>
        <w:wordWrap/>
        <w:overflowPunct/>
        <w:topLinePunct w:val="0"/>
        <w:autoSpaceDE/>
        <w:autoSpaceDN/>
        <w:bidi w:val="0"/>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（一）部门基本情况</w:t>
      </w:r>
      <w:r>
        <w:rPr>
          <w:rFonts w:hint="eastAsia" w:ascii="仿宋_GB2312" w:hAnsi="仿宋_GB2312" w:eastAsia="仿宋_GB2312" w:cs="仿宋_GB2312"/>
          <w:sz w:val="28"/>
          <w:szCs w:val="28"/>
        </w:rPr>
        <w:t>：</w:t>
      </w:r>
    </w:p>
    <w:p w14:paraId="0380DF9D">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1．机构和人员情况</w:t>
      </w:r>
    </w:p>
    <w:p w14:paraId="428EB0ED">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何宝珍故里管理所共有内设机构</w:t>
      </w:r>
      <w:r>
        <w:rPr>
          <w:rFonts w:hint="eastAsia" w:ascii="仿宋_GB2312" w:hAnsi="仿宋_GB2312" w:eastAsia="仿宋_GB2312" w:cs="仿宋_GB2312"/>
          <w:sz w:val="28"/>
          <w:szCs w:val="28"/>
          <w:lang w:val="en-US" w:eastAsia="zh-CN"/>
        </w:rPr>
        <w:t>3个，分别为：</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财务室</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政工室</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个职能部室。事业编制</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现实有在职人数</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人。</w:t>
      </w:r>
    </w:p>
    <w:p w14:paraId="371C0D95">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2．工作职责</w:t>
      </w:r>
    </w:p>
    <w:p w14:paraId="013219B2">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加强对何宝珍故居的管理；加强对何宝珍纪念馆、铜像广场和文物的管理。</w:t>
      </w:r>
    </w:p>
    <w:p w14:paraId="74EC5D62">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（二）部门资金来源情况</w:t>
      </w:r>
      <w:bookmarkStart w:id="0" w:name="_GoBack"/>
      <w:bookmarkEnd w:id="0"/>
    </w:p>
    <w:p w14:paraId="118D1A40">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年本单位县级财政拨款</w:t>
      </w:r>
      <w:r>
        <w:rPr>
          <w:rFonts w:hint="eastAsia" w:ascii="仿宋_GB2312" w:hAnsi="仿宋_GB2312" w:eastAsia="仿宋_GB2312" w:cs="仿宋_GB2312"/>
          <w:sz w:val="28"/>
          <w:szCs w:val="28"/>
          <w:lang w:val="en-US" w:eastAsia="zh-CN"/>
        </w:rPr>
        <w:t>69.99</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具体内容如下:</w:t>
      </w:r>
    </w:p>
    <w:p w14:paraId="1229226C">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县级财政拨款</w:t>
      </w:r>
      <w:r>
        <w:rPr>
          <w:rFonts w:hint="eastAsia" w:ascii="仿宋_GB2312" w:hAnsi="仿宋_GB2312" w:eastAsia="仿宋_GB2312" w:cs="仿宋_GB2312"/>
          <w:sz w:val="28"/>
          <w:szCs w:val="28"/>
          <w:lang w:val="en-US" w:eastAsia="zh-CN"/>
        </w:rPr>
        <w:t>69.99</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占本年全部收入，主要用于发放干部职工工资及机关运转等。</w:t>
      </w:r>
    </w:p>
    <w:p w14:paraId="2DF90570">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二、部门整体支出使用情况</w:t>
      </w:r>
    </w:p>
    <w:p w14:paraId="3452CA44">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年总支出</w:t>
      </w:r>
      <w:r>
        <w:rPr>
          <w:rFonts w:hint="eastAsia" w:ascii="仿宋_GB2312" w:hAnsi="仿宋_GB2312" w:eastAsia="仿宋_GB2312" w:cs="仿宋_GB2312"/>
          <w:sz w:val="28"/>
          <w:szCs w:val="28"/>
          <w:lang w:val="en-US" w:eastAsia="zh-CN"/>
        </w:rPr>
        <w:t>69.99</w:t>
      </w:r>
      <w:r>
        <w:rPr>
          <w:rFonts w:hint="eastAsia" w:ascii="仿宋_GB2312" w:hAnsi="仿宋_GB2312" w:eastAsia="仿宋_GB2312" w:cs="仿宋_GB2312"/>
          <w:sz w:val="28"/>
          <w:szCs w:val="28"/>
        </w:rPr>
        <w:t>万元，具体使用情况如下：</w:t>
      </w:r>
    </w:p>
    <w:p w14:paraId="4B72E7DE">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1、基本支出：</w:t>
      </w:r>
      <w:r>
        <w:rPr>
          <w:rFonts w:hint="eastAsia" w:ascii="仿宋_GB2312" w:hAnsi="仿宋_GB2312" w:eastAsia="仿宋_GB2312" w:cs="仿宋_GB2312"/>
          <w:sz w:val="28"/>
          <w:szCs w:val="28"/>
          <w:lang w:val="en-US" w:eastAsia="zh-CN"/>
        </w:rPr>
        <w:t>57.76</w:t>
      </w:r>
      <w:r>
        <w:rPr>
          <w:rFonts w:hint="eastAsia" w:ascii="仿宋_GB2312" w:hAnsi="仿宋_GB2312" w:eastAsia="仿宋_GB2312" w:cs="仿宋_GB2312"/>
          <w:sz w:val="28"/>
          <w:szCs w:val="28"/>
        </w:rPr>
        <w:t>万元，其中</w:t>
      </w:r>
      <w:r>
        <w:rPr>
          <w:rFonts w:hint="eastAsia" w:ascii="仿宋_GB2312" w:hAnsi="仿宋_GB2312" w:eastAsia="仿宋_GB2312" w:cs="仿宋_GB2312"/>
          <w:sz w:val="28"/>
          <w:szCs w:val="28"/>
          <w:lang w:eastAsia="zh-CN"/>
        </w:rPr>
        <w:t>工资和福利费用</w:t>
      </w:r>
      <w:r>
        <w:rPr>
          <w:rFonts w:hint="eastAsia" w:ascii="仿宋_GB2312" w:hAnsi="仿宋_GB2312" w:eastAsia="仿宋_GB2312" w:cs="仿宋_GB2312"/>
          <w:sz w:val="28"/>
          <w:szCs w:val="28"/>
          <w:lang w:val="en-US" w:eastAsia="zh-CN"/>
        </w:rPr>
        <w:t>52.06</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eastAsia="zh-CN"/>
        </w:rPr>
        <w:t>商品和服务费用</w:t>
      </w:r>
      <w:r>
        <w:rPr>
          <w:rFonts w:hint="eastAsia" w:ascii="仿宋_GB2312" w:hAnsi="仿宋_GB2312" w:eastAsia="仿宋_GB2312" w:cs="仿宋_GB2312"/>
          <w:sz w:val="28"/>
          <w:szCs w:val="28"/>
          <w:lang w:val="en-US" w:eastAsia="zh-CN"/>
        </w:rPr>
        <w:t>5.7</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资本性支出0万元</w:t>
      </w:r>
      <w:r>
        <w:rPr>
          <w:rFonts w:hint="eastAsia" w:ascii="仿宋_GB2312" w:hAnsi="仿宋_GB2312" w:eastAsia="仿宋_GB2312" w:cs="仿宋_GB2312"/>
          <w:sz w:val="28"/>
          <w:szCs w:val="28"/>
        </w:rPr>
        <w:t>。</w:t>
      </w:r>
    </w:p>
    <w:p w14:paraId="2EB94766">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2、项目支出：</w:t>
      </w:r>
      <w:r>
        <w:rPr>
          <w:rFonts w:hint="eastAsia" w:ascii="仿宋_GB2312" w:hAnsi="仿宋_GB2312" w:eastAsia="仿宋_GB2312" w:cs="仿宋_GB2312"/>
          <w:sz w:val="28"/>
          <w:szCs w:val="28"/>
          <w:lang w:val="en-US" w:eastAsia="zh-CN"/>
        </w:rPr>
        <w:t>12.23</w:t>
      </w:r>
      <w:r>
        <w:rPr>
          <w:rFonts w:hint="eastAsia" w:ascii="仿宋_GB2312" w:hAnsi="仿宋_GB2312" w:eastAsia="仿宋_GB2312" w:cs="仿宋_GB2312"/>
          <w:sz w:val="28"/>
          <w:szCs w:val="28"/>
        </w:rPr>
        <w:t>万元。</w:t>
      </w:r>
    </w:p>
    <w:p w14:paraId="0057A0F8">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3、机关运行经费情况：202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年决算安排机关运行经费</w:t>
      </w:r>
      <w:r>
        <w:rPr>
          <w:rFonts w:hint="eastAsia" w:ascii="仿宋_GB2312" w:hAnsi="仿宋_GB2312" w:eastAsia="仿宋_GB2312" w:cs="仿宋_GB2312"/>
          <w:sz w:val="28"/>
          <w:szCs w:val="28"/>
          <w:lang w:val="en-US" w:eastAsia="zh-CN"/>
        </w:rPr>
        <w:t>57.76万</w:t>
      </w:r>
      <w:r>
        <w:rPr>
          <w:rFonts w:hint="eastAsia" w:ascii="仿宋_GB2312" w:hAnsi="仿宋_GB2312" w:eastAsia="仿宋_GB2312" w:cs="仿宋_GB2312"/>
          <w:sz w:val="28"/>
          <w:szCs w:val="28"/>
        </w:rPr>
        <w:t>元，主要包括</w:t>
      </w:r>
      <w:r>
        <w:rPr>
          <w:rFonts w:hint="eastAsia" w:ascii="仿宋_GB2312" w:hAnsi="仿宋_GB2312" w:eastAsia="仿宋_GB2312" w:cs="仿宋_GB2312"/>
          <w:sz w:val="28"/>
          <w:szCs w:val="28"/>
          <w:lang w:val="en-US" w:eastAsia="zh-CN"/>
        </w:rPr>
        <w:t>工资福利支出52.06</w:t>
      </w:r>
      <w:r>
        <w:rPr>
          <w:rFonts w:hint="eastAsia" w:ascii="仿宋_GB2312" w:hAnsi="仿宋_GB2312" w:eastAsia="仿宋_GB2312" w:cs="仿宋_GB2312"/>
          <w:sz w:val="28"/>
          <w:szCs w:val="28"/>
        </w:rPr>
        <w:t>万元 、</w:t>
      </w:r>
      <w:r>
        <w:rPr>
          <w:rFonts w:hint="eastAsia" w:ascii="仿宋_GB2312" w:hAnsi="仿宋_GB2312" w:eastAsia="仿宋_GB2312" w:cs="仿宋_GB2312"/>
          <w:sz w:val="28"/>
          <w:szCs w:val="28"/>
          <w:lang w:val="en-US" w:eastAsia="zh-CN"/>
        </w:rPr>
        <w:t>办公费1.2</w:t>
      </w:r>
      <w:r>
        <w:rPr>
          <w:rFonts w:hint="eastAsia" w:ascii="仿宋_GB2312" w:hAnsi="仿宋_GB2312" w:eastAsia="仿宋_GB2312" w:cs="仿宋_GB2312"/>
          <w:sz w:val="28"/>
          <w:szCs w:val="28"/>
        </w:rPr>
        <w:t>万元、水电费</w:t>
      </w:r>
      <w:r>
        <w:rPr>
          <w:rFonts w:hint="eastAsia" w:ascii="仿宋_GB2312" w:hAnsi="仿宋_GB2312" w:eastAsia="仿宋_GB2312" w:cs="仿宋_GB2312"/>
          <w:sz w:val="28"/>
          <w:szCs w:val="28"/>
          <w:lang w:val="en-US" w:eastAsia="zh-CN"/>
        </w:rPr>
        <w:t>0.93</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val="en-US" w:eastAsia="zh-CN"/>
        </w:rPr>
        <w:t>维修费1.92</w:t>
      </w:r>
      <w:r>
        <w:rPr>
          <w:rFonts w:hint="eastAsia" w:ascii="仿宋_GB2312" w:hAnsi="仿宋_GB2312" w:eastAsia="仿宋_GB2312" w:cs="仿宋_GB2312"/>
          <w:sz w:val="28"/>
          <w:szCs w:val="28"/>
        </w:rPr>
        <w:t>万元，工会经费</w:t>
      </w:r>
      <w:r>
        <w:rPr>
          <w:rFonts w:hint="eastAsia" w:ascii="仿宋_GB2312" w:hAnsi="仿宋_GB2312" w:eastAsia="仿宋_GB2312" w:cs="仿宋_GB2312"/>
          <w:sz w:val="28"/>
          <w:szCs w:val="28"/>
          <w:lang w:val="en-US" w:eastAsia="zh-CN"/>
        </w:rPr>
        <w:t>0.85</w:t>
      </w:r>
      <w:r>
        <w:rPr>
          <w:rFonts w:hint="eastAsia" w:ascii="仿宋_GB2312" w:hAnsi="仿宋_GB2312" w:eastAsia="仿宋_GB2312" w:cs="仿宋_GB2312"/>
          <w:sz w:val="28"/>
          <w:szCs w:val="28"/>
        </w:rPr>
        <w:t>万元、其他</w:t>
      </w:r>
      <w:r>
        <w:rPr>
          <w:rFonts w:hint="eastAsia" w:ascii="仿宋_GB2312" w:hAnsi="仿宋_GB2312" w:eastAsia="仿宋_GB2312" w:cs="仿宋_GB2312"/>
          <w:sz w:val="28"/>
          <w:szCs w:val="28"/>
          <w:lang w:val="en-US" w:eastAsia="zh-CN"/>
        </w:rPr>
        <w:t>商品和服务0.8</w:t>
      </w:r>
      <w:r>
        <w:rPr>
          <w:rFonts w:hint="eastAsia" w:ascii="仿宋_GB2312" w:hAnsi="仿宋_GB2312" w:eastAsia="仿宋_GB2312" w:cs="仿宋_GB2312"/>
          <w:sz w:val="28"/>
          <w:szCs w:val="28"/>
        </w:rPr>
        <w:t>万元等日常公用经费。</w:t>
      </w:r>
    </w:p>
    <w:p w14:paraId="458766AC">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年“三公”经费决算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万元，其中：公务接待费</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万元、无公务用车经费、无因公出国（境）费用；比202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减少0.27</w:t>
      </w:r>
      <w:r>
        <w:rPr>
          <w:rFonts w:hint="eastAsia" w:ascii="仿宋_GB2312" w:hAnsi="仿宋_GB2312" w:eastAsia="仿宋_GB2312" w:cs="仿宋_GB2312"/>
          <w:sz w:val="28"/>
          <w:szCs w:val="28"/>
        </w:rPr>
        <w:t>万元，原因主要是</w:t>
      </w:r>
      <w:r>
        <w:rPr>
          <w:rFonts w:hint="eastAsia" w:ascii="仿宋_GB2312" w:hAnsi="仿宋_GB2312" w:eastAsia="仿宋_GB2312" w:cs="仿宋_GB2312"/>
          <w:sz w:val="28"/>
          <w:szCs w:val="28"/>
          <w:lang w:val="en-US" w:eastAsia="zh-CN"/>
        </w:rPr>
        <w:t>经费紧张厉行节约</w:t>
      </w:r>
      <w:r>
        <w:rPr>
          <w:rFonts w:hint="eastAsia" w:ascii="仿宋_GB2312" w:hAnsi="仿宋_GB2312" w:eastAsia="仿宋_GB2312" w:cs="仿宋_GB2312"/>
          <w:sz w:val="28"/>
          <w:szCs w:val="28"/>
        </w:rPr>
        <w:t>。</w:t>
      </w:r>
    </w:p>
    <w:p w14:paraId="6C2B3324">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三、政府性基金预算支出情况</w:t>
      </w:r>
    </w:p>
    <w:p w14:paraId="1A8B3CFC">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ascii="仿宋_GB2312" w:hAnsi="仿宋_GB2312" w:eastAsia="仿宋_GB2312" w:cs="仿宋_GB2312"/>
          <w:sz w:val="28"/>
          <w:szCs w:val="28"/>
        </w:rPr>
        <w:t>年度本单位无政府性基金收支</w:t>
      </w:r>
      <w:r>
        <w:rPr>
          <w:rFonts w:hint="eastAsia" w:ascii="仿宋_GB2312" w:hAnsi="仿宋_GB2312" w:eastAsia="仿宋_GB2312" w:cs="仿宋_GB2312"/>
          <w:sz w:val="28"/>
          <w:szCs w:val="28"/>
        </w:rPr>
        <w:t>。</w:t>
      </w:r>
    </w:p>
    <w:p w14:paraId="5F600DA0">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四、国有资本经营预算支出情况</w:t>
      </w:r>
    </w:p>
    <w:p w14:paraId="19C8257E">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ascii="仿宋_GB2312" w:hAnsi="仿宋_GB2312" w:eastAsia="仿宋_GB2312" w:cs="仿宋_GB2312"/>
          <w:sz w:val="28"/>
          <w:szCs w:val="28"/>
        </w:rPr>
        <w:t>年度本单位无</w:t>
      </w:r>
      <w:r>
        <w:rPr>
          <w:rFonts w:hint="eastAsia" w:ascii="仿宋_GB2312" w:hAnsi="仿宋_GB2312" w:eastAsia="仿宋_GB2312" w:cs="仿宋_GB2312"/>
          <w:sz w:val="28"/>
          <w:szCs w:val="28"/>
        </w:rPr>
        <w:t>国有资本经营预算</w:t>
      </w:r>
      <w:r>
        <w:rPr>
          <w:rFonts w:ascii="仿宋_GB2312" w:hAnsi="仿宋_GB2312" w:eastAsia="仿宋_GB2312" w:cs="仿宋_GB2312"/>
          <w:sz w:val="28"/>
          <w:szCs w:val="28"/>
        </w:rPr>
        <w:t>收支</w:t>
      </w:r>
      <w:r>
        <w:rPr>
          <w:rFonts w:hint="eastAsia" w:ascii="仿宋_GB2312" w:hAnsi="仿宋_GB2312" w:eastAsia="仿宋_GB2312" w:cs="仿宋_GB2312"/>
          <w:sz w:val="28"/>
          <w:szCs w:val="28"/>
        </w:rPr>
        <w:t>。</w:t>
      </w:r>
    </w:p>
    <w:p w14:paraId="19E9F718">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五、社会保险基金预算支出情况</w:t>
      </w:r>
    </w:p>
    <w:p w14:paraId="7ACE2BFD">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lang w:val="en-US" w:eastAsia="zh-CN"/>
        </w:rPr>
        <w:t>25</w:t>
      </w:r>
      <w:r>
        <w:rPr>
          <w:rFonts w:ascii="仿宋_GB2312" w:hAnsi="仿宋_GB2312" w:eastAsia="仿宋_GB2312" w:cs="仿宋_GB2312"/>
          <w:sz w:val="28"/>
          <w:szCs w:val="28"/>
        </w:rPr>
        <w:t>年度本单位无</w:t>
      </w:r>
      <w:r>
        <w:rPr>
          <w:rFonts w:hint="eastAsia" w:ascii="仿宋_GB2312" w:hAnsi="仿宋_GB2312" w:eastAsia="仿宋_GB2312" w:cs="仿宋_GB2312"/>
          <w:sz w:val="28"/>
          <w:szCs w:val="28"/>
        </w:rPr>
        <w:t>社会保险基金预算</w:t>
      </w:r>
      <w:r>
        <w:rPr>
          <w:rFonts w:ascii="仿宋_GB2312" w:hAnsi="仿宋_GB2312" w:eastAsia="仿宋_GB2312" w:cs="仿宋_GB2312"/>
          <w:sz w:val="28"/>
          <w:szCs w:val="28"/>
        </w:rPr>
        <w:t>收支</w:t>
      </w:r>
      <w:r>
        <w:rPr>
          <w:rFonts w:hint="eastAsia" w:ascii="仿宋_GB2312" w:hAnsi="仿宋_GB2312" w:eastAsia="仿宋_GB2312" w:cs="仿宋_GB2312"/>
          <w:sz w:val="28"/>
          <w:szCs w:val="28"/>
        </w:rPr>
        <w:t>。</w:t>
      </w:r>
    </w:p>
    <w:p w14:paraId="257F2ABF">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六、部门整体支出绩效情况</w:t>
      </w:r>
    </w:p>
    <w:p w14:paraId="716AF31C">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“主阵地”成色大提升</w:t>
      </w:r>
    </w:p>
    <w:p w14:paraId="4D93F9E6">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故里管理。道县财政拨付专项资金，使何宝珍故里管理正常化、日常化，各项管理工作步入正轨。为故里添置了消防设施，补齐了绿化带中的花草。环境卫生保持一个比较高的水准。强化“防控结合，预防为主”安全措施，添置巡更系统，严格落实24小时巡逻制度和节假日以及特护期的安保轮值工作。以学雷锋志愿服务站为平台，打造“红色志愿服务队”，推动了文明劝导、文明礼让参观常态化。深耕红色文化，开展党性教育微党课活动，申报永州市党员党性教育基地。</w:t>
      </w:r>
    </w:p>
    <w:p w14:paraId="689D38F5">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提升讲解服务。讲解员薪酬待遇与讲解绩效直接挂钩；发放讲解评价卡，由观众实时评价，纳入绩效考核；主动对接学校，提升宣讲服务的主动性与积极性。</w:t>
      </w:r>
      <w:r>
        <w:rPr>
          <w:rFonts w:hint="eastAsia" w:ascii="仿宋_GB2312" w:hAnsi="仿宋_GB2312" w:eastAsia="仿宋_GB2312" w:cs="仿宋_GB2312"/>
          <w:sz w:val="28"/>
          <w:szCs w:val="28"/>
          <w:lang w:val="en-US" w:eastAsia="zh-CN"/>
        </w:rPr>
        <w:t>本年</w:t>
      </w:r>
      <w:r>
        <w:rPr>
          <w:rFonts w:hint="eastAsia" w:ascii="仿宋_GB2312" w:hAnsi="仿宋_GB2312" w:eastAsia="仿宋_GB2312" w:cs="仿宋_GB2312"/>
          <w:sz w:val="28"/>
          <w:szCs w:val="28"/>
        </w:rPr>
        <w:t>共完成讲解接待</w:t>
      </w:r>
      <w:r>
        <w:rPr>
          <w:rFonts w:hint="eastAsia" w:ascii="仿宋_GB2312" w:hAnsi="仿宋_GB2312" w:eastAsia="仿宋_GB2312" w:cs="仿宋_GB2312"/>
          <w:sz w:val="28"/>
          <w:szCs w:val="28"/>
          <w:lang w:val="en-US" w:eastAsia="zh-CN"/>
        </w:rPr>
        <w:t>400</w:t>
      </w:r>
      <w:r>
        <w:rPr>
          <w:rFonts w:hint="eastAsia" w:ascii="仿宋_GB2312" w:hAnsi="仿宋_GB2312" w:eastAsia="仿宋_GB2312" w:cs="仿宋_GB2312"/>
          <w:sz w:val="28"/>
          <w:szCs w:val="28"/>
        </w:rPr>
        <w:t>批次，讲解率达</w:t>
      </w: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sz w:val="28"/>
          <w:szCs w:val="28"/>
        </w:rPr>
        <w:t>%，满意度达100%。</w:t>
      </w:r>
    </w:p>
    <w:p w14:paraId="233186CE">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“目的地”影响大彰显</w:t>
      </w:r>
    </w:p>
    <w:p w14:paraId="31B907E6">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故里知名度、美誉度大幅提升。</w:t>
      </w:r>
      <w:r>
        <w:rPr>
          <w:rFonts w:hint="eastAsia" w:ascii="仿宋_GB2312" w:hAnsi="仿宋_GB2312" w:eastAsia="仿宋_GB2312" w:cs="仿宋_GB2312"/>
          <w:sz w:val="28"/>
          <w:szCs w:val="28"/>
          <w:lang w:val="en-US" w:eastAsia="zh-CN"/>
        </w:rPr>
        <w:t>本年</w:t>
      </w:r>
      <w:r>
        <w:rPr>
          <w:rFonts w:hint="eastAsia" w:ascii="仿宋_GB2312" w:hAnsi="仿宋_GB2312" w:eastAsia="仿宋_GB2312" w:cs="仿宋_GB2312"/>
          <w:sz w:val="28"/>
          <w:szCs w:val="28"/>
        </w:rPr>
        <w:t>接待游客达</w:t>
      </w:r>
      <w:r>
        <w:rPr>
          <w:rFonts w:hint="eastAsia" w:ascii="仿宋_GB2312" w:hAnsi="仿宋_GB2312" w:eastAsia="仿宋_GB2312" w:cs="仿宋_GB2312"/>
          <w:sz w:val="28"/>
          <w:szCs w:val="28"/>
          <w:lang w:val="en-US" w:eastAsia="zh-CN"/>
        </w:rPr>
        <w:t>22</w:t>
      </w:r>
      <w:r>
        <w:rPr>
          <w:rFonts w:hint="eastAsia" w:ascii="仿宋_GB2312" w:hAnsi="仿宋_GB2312" w:eastAsia="仿宋_GB2312" w:cs="仿宋_GB2312"/>
          <w:sz w:val="28"/>
          <w:szCs w:val="28"/>
        </w:rPr>
        <w:t>万人次，参观游客覆盖到周边省市县，成为红色文化、爱国主义教育的重要目的地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梅花镇中学、宁远县水市完全小学、永州一中等中小学生前来何宝珍故里参观接受红色教育。去年</w:t>
      </w:r>
      <w:r>
        <w:rPr>
          <w:rFonts w:hint="eastAsia" w:ascii="仿宋_GB2312" w:hAnsi="仿宋_GB2312" w:eastAsia="仿宋_GB2312" w:cs="仿宋_GB2312"/>
          <w:sz w:val="28"/>
          <w:szCs w:val="28"/>
        </w:rPr>
        <w:t>同刘少奇纪念馆达成结对联盟，实现资源共享、游客互达；获得永州市社会科学普及基地称号。</w:t>
      </w:r>
    </w:p>
    <w:p w14:paraId="7FA915D9">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配套设施不断完善</w:t>
      </w:r>
    </w:p>
    <w:p w14:paraId="20D8F99D">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强力推进何宝珍故里红色旅游景区“美化、亮化、绿化、净化”工程，1100平米的村级活动中心兼游客中心建成，建设了汀步叠水坝，目前，成为网红坝。</w:t>
      </w:r>
      <w:r>
        <w:rPr>
          <w:rFonts w:hint="eastAsia" w:ascii="仿宋_GB2312" w:hAnsi="仿宋_GB2312" w:eastAsia="仿宋_GB2312" w:cs="仿宋_GB2312"/>
          <w:sz w:val="28"/>
          <w:szCs w:val="28"/>
          <w:lang w:val="en-US" w:eastAsia="zh-CN"/>
        </w:rPr>
        <w:t>建好了</w:t>
      </w:r>
      <w:r>
        <w:rPr>
          <w:rFonts w:hint="eastAsia" w:ascii="仿宋_GB2312" w:hAnsi="仿宋_GB2312" w:eastAsia="仿宋_GB2312" w:cs="仿宋_GB2312"/>
          <w:sz w:val="28"/>
          <w:szCs w:val="28"/>
        </w:rPr>
        <w:t>二期沿河护堤工程</w:t>
      </w:r>
      <w:r>
        <w:rPr>
          <w:rFonts w:hint="eastAsia" w:ascii="仿宋_GB2312" w:hAnsi="仿宋_GB2312" w:eastAsia="仿宋_GB2312" w:cs="仿宋_GB2312"/>
          <w:sz w:val="28"/>
          <w:szCs w:val="28"/>
          <w:lang w:val="en-US" w:eastAsia="zh-CN"/>
        </w:rPr>
        <w:t>和荷塘游步道</w:t>
      </w:r>
      <w:r>
        <w:rPr>
          <w:rFonts w:hint="eastAsia" w:ascii="仿宋_GB2312" w:hAnsi="仿宋_GB2312" w:eastAsia="仿宋_GB2312" w:cs="仿宋_GB2312"/>
          <w:sz w:val="28"/>
          <w:szCs w:val="28"/>
        </w:rPr>
        <w:t>。在核心景区安装垃圾箱20个；请专业公司制作了景区内的标识标牌并按装。积极推进景区绿化，完成故里入口大道两侧花草种植。进行宝珍公园的规划和建设工作</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长征微缩电影步道也在快速推进中。何宝珍生平陈列室扩馆也做好了设计和财政评审工作。</w:t>
      </w:r>
    </w:p>
    <w:p w14:paraId="0C9E99DE">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加大宣传力度，提高故里知名度</w:t>
      </w:r>
    </w:p>
    <w:p w14:paraId="32103F1D">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我所以多种形式开展教育宣传活动，不断拓展扩大教育市场，让更多人走进何宝珍故里，了解何宝珍烈士的事迹，学习红色文化。</w:t>
      </w:r>
      <w:r>
        <w:rPr>
          <w:rFonts w:hint="eastAsia" w:ascii="仿宋_GB2312" w:hAnsi="仿宋_GB2312" w:eastAsia="仿宋_GB2312" w:cs="仿宋_GB2312"/>
          <w:sz w:val="28"/>
          <w:szCs w:val="28"/>
          <w:lang w:val="en-US" w:eastAsia="zh-CN"/>
        </w:rPr>
        <w:t>清明节期间，开展网上祭英烈活动。</w:t>
      </w:r>
      <w:r>
        <w:rPr>
          <w:rFonts w:hint="eastAsia" w:ascii="仿宋_GB2312" w:hAnsi="仿宋_GB2312" w:eastAsia="仿宋_GB2312" w:cs="仿宋_GB2312"/>
          <w:sz w:val="28"/>
          <w:szCs w:val="28"/>
        </w:rPr>
        <w:t>在新华社、湖南日报、永州日报、红网发表何宝珍故里新闻</w:t>
      </w: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多篇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今年</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多地中小学</w:t>
      </w:r>
      <w:r>
        <w:rPr>
          <w:rFonts w:hint="eastAsia" w:ascii="仿宋_GB2312" w:hAnsi="仿宋_GB2312" w:eastAsia="仿宋_GB2312" w:cs="仿宋_GB2312"/>
          <w:sz w:val="28"/>
          <w:szCs w:val="28"/>
        </w:rPr>
        <w:t>组织学生到何宝珍故里学习红色文化，缅怀革命先烈，弘扬先烈的革命精神，加强青少年思想道德建设。</w:t>
      </w:r>
    </w:p>
    <w:p w14:paraId="181929FC">
      <w:pPr>
        <w:keepNext w:val="0"/>
        <w:keepLines w:val="0"/>
        <w:pageBreakBefore w:val="0"/>
        <w:widowControl w:val="0"/>
        <w:kinsoku/>
        <w:wordWrap/>
        <w:overflowPunct/>
        <w:topLinePunct w:val="0"/>
        <w:autoSpaceDE/>
        <w:autoSpaceDN/>
        <w:bidi w:val="0"/>
        <w:adjustRightInd/>
        <w:spacing w:before="0" w:after="240" w:line="560" w:lineRule="exact"/>
        <w:ind w:left="0" w:right="0" w:firstLine="640"/>
        <w:jc w:val="left"/>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w:t>
      </w:r>
      <w:r>
        <w:rPr>
          <w:rFonts w:ascii="仿宋_GB2312" w:hAnsi="仿宋_GB2312" w:eastAsia="仿宋_GB2312" w:cs="仿宋_GB2312"/>
          <w:b/>
          <w:bCs/>
          <w:sz w:val="28"/>
          <w:szCs w:val="28"/>
        </w:rPr>
        <w:t>存在的问题及原因分析</w:t>
      </w:r>
    </w:p>
    <w:p w14:paraId="0CFD494A">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预算绩效管理机制有待进一步完善</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需进一步结合工作实际完善资金管理文件办法等</w:t>
      </w:r>
      <w:r>
        <w:rPr>
          <w:rFonts w:hint="eastAsia" w:ascii="仿宋_GB2312" w:hAnsi="仿宋_GB2312" w:eastAsia="仿宋_GB2312" w:cs="仿宋_GB2312"/>
          <w:sz w:val="28"/>
          <w:szCs w:val="28"/>
        </w:rPr>
        <w:t>。</w:t>
      </w:r>
    </w:p>
    <w:p w14:paraId="00DE94F5">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绩效目标设定不够细化</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绩效目标的科学性、合理性以及量化可考核性有待进一步加强</w:t>
      </w:r>
      <w:r>
        <w:rPr>
          <w:rFonts w:hint="eastAsia" w:ascii="仿宋_GB2312" w:hAnsi="仿宋_GB2312" w:eastAsia="仿宋_GB2312" w:cs="仿宋_GB2312"/>
          <w:sz w:val="28"/>
          <w:szCs w:val="28"/>
        </w:rPr>
        <w:t>。</w:t>
      </w:r>
    </w:p>
    <w:p w14:paraId="5A210905">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ascii="仿宋_GB2312" w:hAnsi="仿宋_GB2312" w:eastAsia="仿宋_GB2312" w:cs="仿宋_GB2312"/>
          <w:sz w:val="28"/>
          <w:szCs w:val="28"/>
        </w:rPr>
        <w:t>内控制度执行有待进一步规范</w:t>
      </w:r>
      <w:r>
        <w:rPr>
          <w:rFonts w:hint="eastAsia" w:ascii="仿宋_GB2312" w:hAnsi="仿宋_GB2312" w:eastAsia="仿宋_GB2312" w:cs="仿宋_GB2312"/>
          <w:sz w:val="28"/>
          <w:szCs w:val="28"/>
        </w:rPr>
        <w:t>。</w:t>
      </w:r>
    </w:p>
    <w:p w14:paraId="141D7345">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4、存在预算资金不够细，支出与预算不够专的问题。</w:t>
      </w:r>
    </w:p>
    <w:p w14:paraId="6044493D">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b/>
          <w:bCs/>
          <w:sz w:val="28"/>
          <w:szCs w:val="28"/>
        </w:rPr>
      </w:pPr>
      <w:r>
        <w:rPr>
          <w:rFonts w:ascii="仿宋_GB2312" w:hAnsi="仿宋_GB2312" w:eastAsia="仿宋_GB2312" w:cs="仿宋_GB2312"/>
          <w:b/>
          <w:bCs/>
          <w:sz w:val="28"/>
          <w:szCs w:val="28"/>
        </w:rPr>
        <w:t>八、下一步改进措施</w:t>
      </w:r>
    </w:p>
    <w:p w14:paraId="50469CFB">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（一）规范账务处理，提高财务信息质量 。</w:t>
      </w:r>
    </w:p>
    <w:p w14:paraId="25FDC808">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严格按照《会计法》、《行政单位会计制度》、《行政单位财务规则》等规定执行财务核算，并结合实际情况，完整、准确地披露相关信息，做到决算与预算相衔接。</w:t>
      </w:r>
    </w:p>
    <w:p w14:paraId="0DB936BA">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（二）落实管理制度，进一步加强接待管理。</w:t>
      </w:r>
    </w:p>
    <w:p w14:paraId="7C255ECC">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按照《道县党政机关公务接待管理实施细则》的加强接待管理工作，对被接待单位人员要及时索取接待函对存在的问题。</w:t>
      </w:r>
    </w:p>
    <w:p w14:paraId="7D9B37A8">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（三）加强会计机构队伍建设</w:t>
      </w:r>
    </w:p>
    <w:p w14:paraId="3CD0ED12">
      <w:pPr>
        <w:keepNext w:val="0"/>
        <w:keepLines w:val="0"/>
        <w:pageBreakBefore w:val="0"/>
        <w:kinsoku/>
        <w:wordWrap/>
        <w:overflowPunct/>
        <w:topLinePunct w:val="0"/>
        <w:autoSpaceDE/>
        <w:autoSpaceDN/>
        <w:bidi w:val="0"/>
        <w:adjustRightInd w:val="0"/>
        <w:snapToGrid w:val="0"/>
        <w:spacing w:line="560" w:lineRule="exact"/>
        <w:ind w:firstLine="64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按照《中华人民共和国会计法》要求建立会计机关，配备齐会计人员，做到不相容岗位分设，加强会计监督。</w:t>
      </w:r>
    </w:p>
    <w:p w14:paraId="1850A5D1">
      <w:pPr>
        <w:pStyle w:val="9"/>
        <w:keepNext w:val="0"/>
        <w:keepLines w:val="0"/>
        <w:pageBreakBefore w:val="0"/>
        <w:widowControl/>
        <w:kinsoku/>
        <w:wordWrap/>
        <w:overflowPunct/>
        <w:topLinePunct w:val="0"/>
        <w:autoSpaceDE/>
        <w:autoSpaceDN/>
        <w:bidi w:val="0"/>
        <w:spacing w:line="560" w:lineRule="exact"/>
        <w:ind w:left="640" w:firstLine="0" w:firstLineChars="0"/>
        <w:jc w:val="left"/>
        <w:rPr>
          <w:rFonts w:hint="eastAsia" w:ascii="仿宋_GB2312" w:hAnsi="仿宋_GB2312" w:eastAsia="仿宋_GB2312" w:cs="仿宋_GB2312"/>
          <w:bCs/>
          <w:sz w:val="28"/>
          <w:szCs w:val="28"/>
        </w:rPr>
      </w:pPr>
      <w:r>
        <w:rPr>
          <w:rFonts w:hint="eastAsia" w:ascii="仿宋_GB2312" w:hAnsi="仿宋_GB2312" w:eastAsia="仿宋_GB2312" w:cs="仿宋_GB2312"/>
          <w:b/>
          <w:bCs/>
          <w:sz w:val="28"/>
          <w:szCs w:val="28"/>
        </w:rPr>
        <w:t>九、绩效自评结果拟应用和公开情况</w:t>
      </w:r>
    </w:p>
    <w:p w14:paraId="0069EFD3">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按照要求将部门整体支出自评结果在部门门户网站进行公开，优化支出结构、完善相关办法、改进预算管理。强化结果应用，建立完善评价结果与预算调整、改进管理、完善政策挂钩机制。</w:t>
      </w:r>
    </w:p>
    <w:p w14:paraId="07F6BFB2">
      <w:pPr>
        <w:keepNext w:val="0"/>
        <w:keepLines w:val="0"/>
        <w:pageBreakBefore w:val="0"/>
        <w:kinsoku/>
        <w:wordWrap/>
        <w:overflowPunct/>
        <w:topLinePunct w:val="0"/>
        <w:autoSpaceDE/>
        <w:autoSpaceDN/>
        <w:bidi w:val="0"/>
        <w:spacing w:line="56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十、其他需要说明的情况</w:t>
      </w:r>
    </w:p>
    <w:p w14:paraId="550858C5">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无。</w:t>
      </w:r>
    </w:p>
    <w:p w14:paraId="1013BA05">
      <w:pPr>
        <w:keepNext w:val="0"/>
        <w:keepLines w:val="0"/>
        <w:pageBreakBefore w:val="0"/>
        <w:kinsoku/>
        <w:wordWrap/>
        <w:overflowPunct/>
        <w:topLinePunct w:val="0"/>
        <w:autoSpaceDE/>
        <w:autoSpaceDN/>
        <w:bidi w:val="0"/>
        <w:spacing w:line="560" w:lineRule="exact"/>
        <w:ind w:firstLine="560" w:firstLineChars="200"/>
        <w:rPr>
          <w:rFonts w:hint="eastAsia" w:ascii="仿宋_GB2312" w:hAnsi="仿宋_GB2312" w:eastAsia="仿宋_GB2312" w:cs="仿宋_GB2312"/>
          <w:color w:val="010101"/>
          <w:kern w:val="0"/>
          <w:sz w:val="28"/>
          <w:szCs w:val="28"/>
          <w:lang w:eastAsia="zh-CN"/>
        </w:rPr>
      </w:pPr>
      <w:r>
        <w:rPr>
          <w:rFonts w:hint="eastAsia" w:ascii="仿宋_GB2312" w:hAnsi="仿宋_GB2312" w:eastAsia="仿宋_GB2312" w:cs="仿宋_GB2312"/>
          <w:color w:val="010101"/>
          <w:kern w:val="0"/>
          <w:sz w:val="28"/>
          <w:szCs w:val="28"/>
        </w:rPr>
        <w:t xml:space="preserve">                                       </w:t>
      </w:r>
      <w:r>
        <w:rPr>
          <w:rFonts w:hint="eastAsia" w:ascii="仿宋_GB2312" w:hAnsi="仿宋_GB2312" w:eastAsia="仿宋_GB2312" w:cs="仿宋_GB2312"/>
          <w:color w:val="010101"/>
          <w:kern w:val="0"/>
          <w:sz w:val="28"/>
          <w:szCs w:val="28"/>
          <w:lang w:eastAsia="zh-CN"/>
        </w:rPr>
        <w:t>何宝珍故里管理所</w:t>
      </w:r>
    </w:p>
    <w:p w14:paraId="41698363">
      <w:pPr>
        <w:pStyle w:val="5"/>
        <w:keepNext w:val="0"/>
        <w:keepLines w:val="0"/>
        <w:pageBreakBefore w:val="0"/>
        <w:kinsoku/>
        <w:wordWrap/>
        <w:overflowPunct/>
        <w:topLinePunct w:val="0"/>
        <w:autoSpaceDE/>
        <w:autoSpaceDN/>
        <w:bidi w:val="0"/>
        <w:spacing w:line="560" w:lineRule="exact"/>
      </w:pPr>
      <w:r>
        <w:rPr>
          <w:rFonts w:hint="eastAsia" w:ascii="仿宋_GB2312" w:hAnsi="仿宋_GB2312" w:eastAsia="仿宋_GB2312" w:cs="仿宋_GB2312"/>
          <w:color w:val="010101"/>
          <w:kern w:val="0"/>
          <w:sz w:val="28"/>
          <w:szCs w:val="28"/>
        </w:rPr>
        <w:t xml:space="preserve">                                           202</w:t>
      </w:r>
      <w:r>
        <w:rPr>
          <w:rFonts w:hint="eastAsia" w:ascii="仿宋_GB2312" w:hAnsi="仿宋_GB2312" w:eastAsia="仿宋_GB2312" w:cs="仿宋_GB2312"/>
          <w:color w:val="010101"/>
          <w:kern w:val="0"/>
          <w:sz w:val="28"/>
          <w:szCs w:val="28"/>
          <w:lang w:val="en-US" w:eastAsia="zh-CN"/>
        </w:rPr>
        <w:t>6</w:t>
      </w:r>
      <w:r>
        <w:rPr>
          <w:rFonts w:hint="eastAsia" w:ascii="仿宋_GB2312" w:hAnsi="仿宋_GB2312" w:eastAsia="仿宋_GB2312" w:cs="仿宋_GB2312"/>
          <w:color w:val="010101"/>
          <w:kern w:val="0"/>
          <w:sz w:val="28"/>
          <w:szCs w:val="28"/>
        </w:rPr>
        <w:t>年</w:t>
      </w:r>
      <w:r>
        <w:rPr>
          <w:rFonts w:hint="eastAsia" w:ascii="仿宋_GB2312" w:hAnsi="仿宋_GB2312" w:eastAsia="仿宋_GB2312" w:cs="仿宋_GB2312"/>
          <w:color w:val="010101"/>
          <w:kern w:val="0"/>
          <w:sz w:val="28"/>
          <w:szCs w:val="28"/>
          <w:lang w:val="en-US" w:eastAsia="zh-CN"/>
        </w:rPr>
        <w:t>9</w:t>
      </w:r>
      <w:r>
        <w:rPr>
          <w:rFonts w:hint="eastAsia" w:ascii="仿宋_GB2312" w:hAnsi="仿宋_GB2312" w:eastAsia="仿宋_GB2312" w:cs="仿宋_GB2312"/>
          <w:color w:val="010101"/>
          <w:kern w:val="0"/>
          <w:sz w:val="28"/>
          <w:szCs w:val="28"/>
        </w:rPr>
        <w:t>月</w:t>
      </w:r>
      <w:r>
        <w:rPr>
          <w:rFonts w:hint="eastAsia" w:ascii="仿宋_GB2312" w:hAnsi="仿宋_GB2312" w:eastAsia="仿宋_GB2312" w:cs="仿宋_GB2312"/>
          <w:color w:val="010101"/>
          <w:kern w:val="0"/>
          <w:sz w:val="28"/>
          <w:szCs w:val="28"/>
          <w:lang w:val="en-US" w:eastAsia="zh-CN"/>
        </w:rPr>
        <w:t>7</w:t>
      </w:r>
      <w:r>
        <w:rPr>
          <w:rFonts w:hint="eastAsia" w:ascii="仿宋_GB2312" w:hAnsi="仿宋_GB2312" w:eastAsia="仿宋_GB2312" w:cs="仿宋_GB2312"/>
          <w:color w:val="010101"/>
          <w:kern w:val="0"/>
          <w:sz w:val="28"/>
          <w:szCs w:val="28"/>
        </w:rPr>
        <w:t>日</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3NTBmNTQ3NGY5NTU5ODBkYjUwN2NiNDZkNmVmNjAifQ=="/>
  </w:docVars>
  <w:rsids>
    <w:rsidRoot w:val="00000000"/>
    <w:rsid w:val="07A42292"/>
    <w:rsid w:val="07B26B8E"/>
    <w:rsid w:val="25444665"/>
    <w:rsid w:val="298B5F35"/>
    <w:rsid w:val="3F30723E"/>
    <w:rsid w:val="4FAD7C34"/>
    <w:rsid w:val="79446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unhideWhenUsed/>
    <w:qFormat/>
    <w:uiPriority w:val="99"/>
    <w:pPr>
      <w:spacing w:after="120" w:afterLines="0"/>
    </w:pPr>
  </w:style>
  <w:style w:type="paragraph" w:styleId="5">
    <w:name w:val="endnote text"/>
    <w:basedOn w:val="1"/>
    <w:semiHidden/>
    <w:qFormat/>
    <w:uiPriority w:val="99"/>
  </w:style>
  <w:style w:type="paragraph" w:styleId="6">
    <w:name w:val="Body Text First Indent"/>
    <w:basedOn w:val="4"/>
    <w:qFormat/>
    <w:uiPriority w:val="0"/>
    <w:pPr>
      <w:spacing w:line="630" w:lineRule="exact"/>
      <w:ind w:firstLine="420" w:firstLineChars="100"/>
      <w:textAlignment w:val="bottom"/>
    </w:pPr>
    <w:rPr>
      <w:rFonts w:eastAsia="方正仿宋简体"/>
      <w:spacing w:val="6"/>
      <w:sz w:val="32"/>
      <w:szCs w:val="32"/>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1909</Words>
  <Characters>2003</Characters>
  <Lines>0</Lines>
  <Paragraphs>0</Paragraphs>
  <TotalTime>64</TotalTime>
  <ScaleCrop>false</ScaleCrop>
  <LinksUpToDate>false</LinksUpToDate>
  <CharactersWithSpaces>2091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2022-10-13T03:04:00Z</dcterms:created>
  <dc:creator>Administrator</dc:creator>
  <cp:lastModifiedBy>沉默  是无声  的力  量</cp:lastModifiedBy>
  <dcterms:modified xsi:type="dcterms:W3CDTF">2026-09-07T06:59:01Z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895D6B0BDCB4439B9E6C634F057779DD</vt:lpwstr>
  </property>
  <property fmtid="{D5CDD505-2E9C-101B-9397-08002B2CF9AE}" pid="4" name="KSOTemplateDocerSaveRecord">
    <vt:lpwstr>eyJoZGlkIjoiNmU3NTBmNTQ3NGY5NTU5ODBkYjUwN2NiNDZkNmVmNjAiLCJ1c2VySWQiOiIyNTM2NDc0MTUifQ==</vt:lpwstr>
  </property>
</Properties>
</file>