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44"/>
          <w:szCs w:val="44"/>
        </w:rPr>
      </w:pPr>
    </w:p>
    <w:p>
      <w:pPr>
        <w:jc w:val="center"/>
        <w:rPr>
          <w:rFonts w:ascii="宋体" w:hAnsi="宋体"/>
          <w:b/>
          <w:sz w:val="44"/>
          <w:szCs w:val="44"/>
        </w:rPr>
      </w:pPr>
    </w:p>
    <w:p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</w:rPr>
        <w:t>202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5</w:t>
      </w:r>
      <w:r>
        <w:rPr>
          <w:rFonts w:hint="eastAsia" w:ascii="宋体" w:hAnsi="宋体"/>
          <w:b/>
          <w:sz w:val="44"/>
          <w:szCs w:val="44"/>
        </w:rPr>
        <w:t>年道县</w:t>
      </w:r>
      <w:r>
        <w:rPr>
          <w:rFonts w:hint="eastAsia" w:ascii="宋体" w:hAnsi="宋体"/>
          <w:b/>
          <w:sz w:val="44"/>
          <w:szCs w:val="44"/>
          <w:lang w:eastAsia="zh-CN"/>
        </w:rPr>
        <w:t>自然资源</w:t>
      </w:r>
      <w:r>
        <w:rPr>
          <w:rFonts w:hint="eastAsia" w:ascii="宋体" w:hAnsi="宋体"/>
          <w:b/>
          <w:sz w:val="44"/>
          <w:szCs w:val="44"/>
        </w:rPr>
        <w:t>局</w:t>
      </w:r>
    </w:p>
    <w:p>
      <w:pPr>
        <w:jc w:val="center"/>
        <w:rPr>
          <w:rFonts w:asci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部门整体支出绩效评价报告</w:t>
      </w:r>
    </w:p>
    <w:p>
      <w:pPr>
        <w:spacing w:line="360" w:lineRule="exact"/>
        <w:jc w:val="center"/>
        <w:rPr>
          <w:rFonts w:ascii="宋体"/>
          <w:b/>
          <w:sz w:val="44"/>
          <w:szCs w:val="44"/>
        </w:rPr>
      </w:pPr>
    </w:p>
    <w:p>
      <w:pPr>
        <w:ind w:right="11" w:firstLine="602" w:firstLineChars="200"/>
        <w:rPr>
          <w:rFonts w:hint="eastAsia" w:ascii="仿宋" w:hAnsi="仿宋" w:eastAsia="仿宋"/>
          <w:b/>
          <w:sz w:val="30"/>
          <w:szCs w:val="30"/>
        </w:rPr>
      </w:pPr>
    </w:p>
    <w:p>
      <w:pPr>
        <w:ind w:right="11"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一、部门概况</w:t>
      </w:r>
    </w:p>
    <w:p>
      <w:pPr>
        <w:ind w:right="11"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（一）部门基本情况：</w:t>
      </w:r>
    </w:p>
    <w:p>
      <w:pPr>
        <w:ind w:right="11"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1</w:t>
      </w:r>
      <w:r>
        <w:rPr>
          <w:rFonts w:hint="eastAsia" w:ascii="仿宋" w:hAnsi="仿宋" w:eastAsia="仿宋"/>
          <w:sz w:val="30"/>
          <w:szCs w:val="30"/>
        </w:rPr>
        <w:t>.主要职能。</w:t>
      </w:r>
    </w:p>
    <w:p>
      <w:pPr>
        <w:spacing w:line="570" w:lineRule="atLeas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bookmarkStart w:id="0" w:name="AGENCY_NAME_TITLE3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道县自然资源局</w:t>
      </w:r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的主要职责是：</w:t>
      </w:r>
    </w:p>
    <w:p>
      <w:pPr>
        <w:spacing w:line="570" w:lineRule="atLeas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bookmarkStart w:id="1" w:name="FUNCRESP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依法履行全民所有土地、矿产、森林、草原、湿地、水等自然资源资产所有者职责和国土空间用途管制职责；负责自然资源调查监测评价；负责自然资源统一确权登记工作和规范自然资源权属管理；负责自然资源资产有偿使用工作；负责自然资源的合理开发利用；负责建立空间规划体系并实施监督；负责统筹国土空间生态修复；负责组织实施最严格的耕地保护制度；负责管理地质勘查行业和全县地质工作；负责地质灾害防治；负责矿产资源管理工作；负责测绘地理信息管理工作；负责研究拟定全县城镇体系规划的规范性文件以及相关发展战略、中长期规划和年度计划并实施；负责保障全县水资源的合理开发利用，起草相应规范性文件；承办县人民政府和上级自然资源部门交办的其它事项。</w:t>
      </w:r>
      <w:bookmarkEnd w:id="1"/>
    </w:p>
    <w:p>
      <w:pPr>
        <w:ind w:right="11"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2</w:t>
      </w:r>
      <w:r>
        <w:rPr>
          <w:rFonts w:hint="eastAsia" w:ascii="仿宋" w:hAnsi="仿宋" w:eastAsia="仿宋"/>
          <w:sz w:val="30"/>
          <w:szCs w:val="30"/>
        </w:rPr>
        <w:t>.机构情况，包括当年变动情况及原因。</w:t>
      </w:r>
    </w:p>
    <w:p>
      <w:pPr>
        <w:spacing w:line="570" w:lineRule="atLeast"/>
        <w:ind w:firstLine="640" w:firstLineChars="200"/>
        <w:rPr>
          <w:rFonts w:ascii="仿宋" w:hAnsi="仿宋" w:eastAsia="仿宋"/>
          <w:bCs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机关内设办公室、政策法规股、信访股、财务股、人事教育股、自然资源权益调查监测股、自然资源确权登记股、自然资源开发利用股等十八个内设股室。下设仙子脚自然资源所、寿雁自然资源所、清塘自然资源所等23个自然资源所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right="11"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3</w:t>
      </w:r>
      <w:r>
        <w:rPr>
          <w:rFonts w:hint="eastAsia" w:ascii="仿宋" w:hAnsi="仿宋" w:eastAsia="仿宋"/>
          <w:sz w:val="30"/>
          <w:szCs w:val="30"/>
        </w:rPr>
        <w:t>.人员情况，包括当年变动情况及原因。</w:t>
      </w:r>
    </w:p>
    <w:p>
      <w:pPr>
        <w:ind w:right="11"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20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25</w:t>
      </w:r>
      <w:r>
        <w:rPr>
          <w:rFonts w:hint="eastAsia" w:ascii="仿宋" w:hAnsi="仿宋" w:eastAsia="仿宋"/>
          <w:sz w:val="30"/>
          <w:szCs w:val="30"/>
        </w:rPr>
        <w:t>年度年末在职人员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225</w:t>
      </w:r>
      <w:r>
        <w:rPr>
          <w:rFonts w:hint="eastAsia" w:ascii="仿宋" w:hAnsi="仿宋" w:eastAsia="仿宋"/>
          <w:sz w:val="30"/>
          <w:szCs w:val="30"/>
        </w:rPr>
        <w:t>人，因退休</w:t>
      </w:r>
      <w:r>
        <w:rPr>
          <w:rFonts w:hint="eastAsia" w:ascii="仿宋" w:hAnsi="仿宋" w:eastAsia="仿宋"/>
          <w:sz w:val="30"/>
          <w:szCs w:val="30"/>
          <w:lang w:eastAsia="zh-CN"/>
        </w:rPr>
        <w:t>或调离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9</w:t>
      </w:r>
      <w:r>
        <w:rPr>
          <w:rFonts w:hint="eastAsia" w:ascii="仿宋" w:hAnsi="仿宋" w:eastAsia="仿宋"/>
          <w:sz w:val="30"/>
          <w:szCs w:val="30"/>
        </w:rPr>
        <w:t>人，较202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230</w:t>
      </w:r>
      <w:r>
        <w:rPr>
          <w:rFonts w:hint="eastAsia" w:ascii="仿宋" w:hAnsi="仿宋" w:eastAsia="仿宋"/>
          <w:sz w:val="30"/>
          <w:szCs w:val="30"/>
        </w:rPr>
        <w:t>人</w:t>
      </w:r>
      <w:r>
        <w:rPr>
          <w:rFonts w:hint="eastAsia" w:ascii="仿宋" w:hAnsi="仿宋" w:eastAsia="仿宋"/>
          <w:sz w:val="30"/>
          <w:szCs w:val="30"/>
          <w:lang w:eastAsia="zh-CN"/>
        </w:rPr>
        <w:t>减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少5</w:t>
      </w:r>
      <w:r>
        <w:rPr>
          <w:rFonts w:hint="eastAsia" w:ascii="仿宋" w:hAnsi="仿宋" w:eastAsia="仿宋"/>
          <w:sz w:val="30"/>
          <w:szCs w:val="30"/>
        </w:rPr>
        <w:t>人。</w:t>
      </w:r>
    </w:p>
    <w:p>
      <w:pPr>
        <w:ind w:right="11" w:firstLine="450" w:firstLineChars="1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（二）部门整体支出规模、使用方向和主要内容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00" w:firstLineChars="200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sz w:val="30"/>
          <w:szCs w:val="30"/>
        </w:rPr>
        <w:t>年收入支出预算执行基本情况。当年收入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34997.35</w:t>
      </w:r>
      <w:r>
        <w:rPr>
          <w:rFonts w:hint="eastAsia" w:ascii="仿宋" w:hAnsi="仿宋" w:eastAsia="仿宋"/>
          <w:sz w:val="30"/>
          <w:szCs w:val="30"/>
        </w:rPr>
        <w:t>万元，</w:t>
      </w:r>
      <w:r>
        <w:rPr>
          <w:rFonts w:hint="eastAsia" w:ascii="仿宋" w:hAnsi="仿宋" w:eastAsia="仿宋"/>
          <w:sz w:val="32"/>
          <w:szCs w:val="32"/>
        </w:rPr>
        <w:t>当年支出较上年19215.45万元增加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10823.35</w:t>
      </w:r>
      <w:r>
        <w:rPr>
          <w:rFonts w:hint="eastAsia" w:ascii="仿宋" w:hAnsi="仿宋" w:eastAsia="仿宋"/>
          <w:sz w:val="32"/>
          <w:szCs w:val="32"/>
        </w:rPr>
        <w:t>万元，增幅达5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6.33</w:t>
      </w:r>
      <w:r>
        <w:rPr>
          <w:rFonts w:hint="eastAsia"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0"/>
          <w:szCs w:val="30"/>
        </w:rPr>
        <w:t>主要是</w:t>
      </w:r>
      <w:r>
        <w:rPr>
          <w:rFonts w:hint="eastAsia" w:ascii="仿宋" w:hAnsi="仿宋" w:eastAsia="仿宋"/>
          <w:sz w:val="30"/>
          <w:szCs w:val="30"/>
          <w:lang w:eastAsia="zh-CN"/>
        </w:rPr>
        <w:t>本年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项目经费增加，征地拆迁、用地报批等项目支出增加</w:t>
      </w:r>
      <w:r>
        <w:rPr>
          <w:rFonts w:hint="eastAsia" w:ascii="仿宋" w:hAnsi="仿宋" w:eastAsia="仿宋"/>
          <w:sz w:val="30"/>
          <w:szCs w:val="30"/>
        </w:rPr>
        <w:t>。当年支出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34997.35</w:t>
      </w:r>
      <w:r>
        <w:rPr>
          <w:rFonts w:hint="eastAsia" w:ascii="仿宋" w:hAnsi="仿宋" w:eastAsia="仿宋"/>
          <w:sz w:val="30"/>
          <w:szCs w:val="30"/>
        </w:rPr>
        <w:t>万元，其中基本支出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4958.55</w:t>
      </w:r>
      <w:r>
        <w:rPr>
          <w:rFonts w:hint="eastAsia" w:ascii="仿宋" w:hAnsi="仿宋" w:eastAsia="仿宋"/>
          <w:sz w:val="30"/>
          <w:szCs w:val="30"/>
        </w:rPr>
        <w:t>万元(人员经费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2830.27</w:t>
      </w:r>
      <w:r>
        <w:rPr>
          <w:rFonts w:hint="eastAsia" w:ascii="仿宋" w:hAnsi="仿宋" w:eastAsia="仿宋"/>
          <w:sz w:val="30"/>
          <w:szCs w:val="30"/>
        </w:rPr>
        <w:t>万元，日常公用经费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2128.29</w:t>
      </w:r>
      <w:r>
        <w:rPr>
          <w:rFonts w:hint="eastAsia" w:ascii="仿宋" w:hAnsi="仿宋" w:eastAsia="仿宋"/>
          <w:sz w:val="30"/>
          <w:szCs w:val="30"/>
        </w:rPr>
        <w:t>万元)，项目支出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30038.80</w:t>
      </w:r>
      <w:r>
        <w:rPr>
          <w:rFonts w:hint="eastAsia" w:ascii="仿宋" w:hAnsi="仿宋" w:eastAsia="仿宋"/>
          <w:sz w:val="30"/>
          <w:szCs w:val="30"/>
        </w:rPr>
        <w:t>万元。当年支出较上年</w:t>
      </w:r>
      <w:r>
        <w:rPr>
          <w:rFonts w:hint="eastAsia" w:ascii="仿宋" w:hAnsi="仿宋" w:eastAsia="仿宋"/>
          <w:sz w:val="32"/>
          <w:szCs w:val="32"/>
        </w:rPr>
        <w:t>19215.45</w:t>
      </w:r>
      <w:r>
        <w:rPr>
          <w:rFonts w:hint="eastAsia" w:ascii="仿宋" w:hAnsi="仿宋" w:eastAsia="仿宋"/>
          <w:sz w:val="30"/>
          <w:szCs w:val="30"/>
        </w:rPr>
        <w:t>万元</w:t>
      </w:r>
      <w:r>
        <w:rPr>
          <w:rFonts w:hint="eastAsia" w:ascii="仿宋" w:hAnsi="仿宋" w:eastAsia="仿宋"/>
          <w:sz w:val="30"/>
          <w:szCs w:val="30"/>
          <w:lang w:eastAsia="zh-CN"/>
        </w:rPr>
        <w:t>增加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10823.35</w:t>
      </w:r>
      <w:r>
        <w:rPr>
          <w:rFonts w:hint="eastAsia" w:ascii="仿宋" w:hAnsi="仿宋" w:eastAsia="仿宋"/>
          <w:sz w:val="30"/>
          <w:szCs w:val="30"/>
        </w:rPr>
        <w:t>万元，</w:t>
      </w:r>
      <w:r>
        <w:rPr>
          <w:rFonts w:hint="eastAsia" w:ascii="仿宋" w:hAnsi="仿宋" w:eastAsia="仿宋"/>
          <w:sz w:val="30"/>
          <w:szCs w:val="30"/>
          <w:lang w:eastAsia="zh-CN"/>
        </w:rPr>
        <w:t>增</w:t>
      </w:r>
      <w:r>
        <w:rPr>
          <w:rFonts w:hint="eastAsia" w:ascii="仿宋" w:hAnsi="仿宋" w:eastAsia="仿宋"/>
          <w:sz w:val="30"/>
          <w:szCs w:val="30"/>
        </w:rPr>
        <w:t>幅达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56.33</w:t>
      </w:r>
      <w:r>
        <w:rPr>
          <w:rFonts w:hint="eastAsia" w:ascii="仿宋" w:hAnsi="仿宋" w:eastAsia="仿宋"/>
          <w:sz w:val="30"/>
          <w:szCs w:val="30"/>
        </w:rPr>
        <w:t>%，主要是</w:t>
      </w:r>
      <w:r>
        <w:rPr>
          <w:rFonts w:hint="eastAsia" w:ascii="仿宋" w:hAnsi="仿宋" w:eastAsia="仿宋"/>
          <w:sz w:val="30"/>
          <w:szCs w:val="30"/>
          <w:lang w:eastAsia="zh-CN"/>
        </w:rPr>
        <w:t>专项项目支出增加</w:t>
      </w:r>
      <w:r>
        <w:rPr>
          <w:rFonts w:hint="eastAsia" w:ascii="仿宋" w:hAnsi="仿宋" w:eastAsia="仿宋"/>
          <w:sz w:val="30"/>
          <w:szCs w:val="30"/>
        </w:rPr>
        <w:t>。</w:t>
      </w:r>
    </w:p>
    <w:p>
      <w:pPr>
        <w:numPr>
          <w:ilvl w:val="0"/>
          <w:numId w:val="1"/>
        </w:numPr>
        <w:ind w:right="11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一般公共预算支出情况</w:t>
      </w:r>
    </w:p>
    <w:p>
      <w:pPr>
        <w:ind w:right="11" w:firstLine="600" w:firstLineChars="200"/>
        <w:rPr>
          <w:rFonts w:ascii="仿宋" w:hAnsi="仿宋" w:eastAsia="仿宋"/>
          <w:color w:val="010101"/>
          <w:sz w:val="30"/>
          <w:szCs w:val="30"/>
        </w:rPr>
      </w:pPr>
      <w:r>
        <w:rPr>
          <w:rFonts w:hint="eastAsia" w:ascii="仿宋" w:hAnsi="仿宋" w:eastAsia="仿宋"/>
          <w:color w:val="010101"/>
          <w:sz w:val="30"/>
          <w:szCs w:val="30"/>
        </w:rPr>
        <w:t>（一）基本支出情况</w:t>
      </w:r>
    </w:p>
    <w:p>
      <w:pPr>
        <w:ind w:right="11"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color w:val="010101"/>
          <w:sz w:val="30"/>
          <w:szCs w:val="30"/>
        </w:rPr>
        <w:t>用于为保障我单位正常运转、完成日常工作任务而发生的支出，包括人员经费和公用经费。</w:t>
      </w:r>
    </w:p>
    <w:p>
      <w:pPr>
        <w:ind w:right="11" w:firstLine="600" w:firstLineChars="200"/>
        <w:rPr>
          <w:rFonts w:ascii="仿宋" w:hAnsi="仿宋" w:eastAsia="仿宋" w:cs="Calibri"/>
          <w:color w:val="0000FF"/>
          <w:kern w:val="1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1</w:t>
      </w:r>
      <w:r>
        <w:rPr>
          <w:rFonts w:hint="eastAsia" w:ascii="仿宋" w:hAnsi="仿宋" w:eastAsia="仿宋"/>
          <w:sz w:val="30"/>
          <w:szCs w:val="30"/>
        </w:rPr>
        <w:t>）202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5</w:t>
      </w:r>
      <w:r>
        <w:rPr>
          <w:rFonts w:ascii="仿宋" w:hAnsi="仿宋" w:eastAsia="仿宋"/>
          <w:sz w:val="30"/>
          <w:szCs w:val="30"/>
        </w:rPr>
        <w:t>年度财政拨款基本支出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4958.55</w:t>
      </w:r>
      <w:r>
        <w:rPr>
          <w:rFonts w:ascii="仿宋" w:hAnsi="仿宋" w:eastAsia="仿宋"/>
          <w:sz w:val="30"/>
          <w:szCs w:val="30"/>
        </w:rPr>
        <w:t>万元，其中：人员经费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2830.27</w:t>
      </w:r>
      <w:r>
        <w:rPr>
          <w:rFonts w:ascii="仿宋" w:hAnsi="仿宋" w:eastAsia="仿宋"/>
          <w:sz w:val="30"/>
          <w:szCs w:val="30"/>
        </w:rPr>
        <w:t>万元，占基本支出的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56.77%,</w:t>
      </w:r>
      <w:r>
        <w:rPr>
          <w:rFonts w:ascii="仿宋" w:hAnsi="仿宋" w:eastAsia="仿宋"/>
          <w:sz w:val="30"/>
          <w:szCs w:val="30"/>
        </w:rPr>
        <w:t>主要包括基本工资、津贴补贴、奖金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hint="eastAsia" w:ascii="仿宋" w:hAnsi="仿宋" w:eastAsia="仿宋"/>
          <w:sz w:val="30"/>
          <w:szCs w:val="30"/>
          <w:lang w:eastAsia="zh-CN"/>
        </w:rPr>
        <w:t>绩效工资、</w:t>
      </w:r>
      <w:r>
        <w:rPr>
          <w:rFonts w:hint="eastAsia" w:ascii="仿宋" w:hAnsi="仿宋" w:eastAsia="仿宋"/>
          <w:sz w:val="30"/>
          <w:szCs w:val="30"/>
        </w:rPr>
        <w:t>机关事业单位基本养老保险费、职工基本医疗保险缴费</w:t>
      </w:r>
      <w:r>
        <w:rPr>
          <w:rFonts w:hint="eastAsia" w:ascii="仿宋" w:hAnsi="仿宋" w:eastAsia="仿宋"/>
          <w:sz w:val="30"/>
          <w:szCs w:val="30"/>
          <w:lang w:eastAsia="zh-CN"/>
        </w:rPr>
        <w:t>、其他工资福利支出</w:t>
      </w:r>
      <w:r>
        <w:rPr>
          <w:rFonts w:ascii="仿宋" w:hAnsi="仿宋" w:eastAsia="仿宋"/>
          <w:sz w:val="30"/>
          <w:szCs w:val="30"/>
        </w:rPr>
        <w:t>；公用经费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2128.29</w:t>
      </w:r>
      <w:r>
        <w:rPr>
          <w:rFonts w:ascii="仿宋" w:hAnsi="仿宋" w:eastAsia="仿宋"/>
          <w:sz w:val="30"/>
          <w:szCs w:val="30"/>
        </w:rPr>
        <w:t>万元，占基本支出的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43.23%</w:t>
      </w:r>
      <w:r>
        <w:rPr>
          <w:rFonts w:hint="eastAsia" w:ascii="仿宋" w:hAnsi="仿宋" w:eastAsia="仿宋"/>
          <w:sz w:val="30"/>
          <w:szCs w:val="30"/>
        </w:rPr>
        <w:t>，</w:t>
      </w:r>
      <w:r>
        <w:rPr>
          <w:rFonts w:ascii="仿宋" w:hAnsi="仿宋" w:eastAsia="仿宋"/>
          <w:sz w:val="30"/>
          <w:szCs w:val="30"/>
        </w:rPr>
        <w:t>主要包括办公费、印刷费、</w:t>
      </w:r>
      <w:r>
        <w:rPr>
          <w:rFonts w:hint="eastAsia" w:ascii="仿宋" w:hAnsi="仿宋" w:eastAsia="仿宋"/>
          <w:sz w:val="30"/>
          <w:szCs w:val="30"/>
        </w:rPr>
        <w:t>水费、电</w:t>
      </w:r>
      <w:r>
        <w:rPr>
          <w:rFonts w:ascii="仿宋" w:hAnsi="仿宋" w:eastAsia="仿宋"/>
          <w:sz w:val="30"/>
          <w:szCs w:val="30"/>
        </w:rPr>
        <w:t>费</w:t>
      </w:r>
      <w:r>
        <w:rPr>
          <w:rFonts w:hint="eastAsia" w:ascii="仿宋" w:hAnsi="仿宋" w:eastAsia="仿宋"/>
          <w:sz w:val="30"/>
          <w:szCs w:val="30"/>
        </w:rPr>
        <w:t>、邮电费、差旅费、维修（护）费、公务接待费、专用材料费、劳务费、工会经费、福利费、其他交通费用。</w:t>
      </w:r>
    </w:p>
    <w:p>
      <w:pPr>
        <w:pStyle w:val="4"/>
        <w:widowControl/>
        <w:spacing w:before="0" w:beforeAutospacing="0" w:after="0" w:afterAutospacing="0"/>
        <w:ind w:right="11"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2</w:t>
      </w:r>
      <w:r>
        <w:rPr>
          <w:rFonts w:hint="eastAsia" w:ascii="仿宋" w:hAnsi="仿宋" w:eastAsia="仿宋"/>
          <w:sz w:val="30"/>
          <w:szCs w:val="30"/>
        </w:rPr>
        <w:t>）</w:t>
      </w:r>
      <w:r>
        <w:rPr>
          <w:rFonts w:ascii="仿宋" w:hAnsi="仿宋" w:eastAsia="仿宋"/>
          <w:sz w:val="30"/>
          <w:szCs w:val="30"/>
        </w:rPr>
        <w:t>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sz w:val="30"/>
          <w:szCs w:val="30"/>
        </w:rPr>
        <w:t>年“三公”经费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15.7</w:t>
      </w:r>
      <w:r>
        <w:rPr>
          <w:rFonts w:hint="eastAsia" w:ascii="仿宋" w:hAnsi="仿宋" w:eastAsia="仿宋"/>
          <w:sz w:val="30"/>
          <w:szCs w:val="30"/>
        </w:rPr>
        <w:t>万元，其中：因公出国（境）</w:t>
      </w:r>
      <w:r>
        <w:rPr>
          <w:rFonts w:ascii="仿宋" w:hAnsi="仿宋" w:eastAsia="仿宋"/>
          <w:sz w:val="30"/>
          <w:szCs w:val="30"/>
        </w:rPr>
        <w:t xml:space="preserve">0 </w:t>
      </w:r>
      <w:r>
        <w:rPr>
          <w:rFonts w:hint="eastAsia" w:ascii="仿宋" w:hAnsi="仿宋" w:eastAsia="仿宋"/>
          <w:sz w:val="30"/>
          <w:szCs w:val="30"/>
        </w:rPr>
        <w:t>万元、公务用车购置及运行维护费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11</w:t>
      </w:r>
      <w:r>
        <w:rPr>
          <w:rFonts w:hint="eastAsia" w:ascii="仿宋" w:hAnsi="仿宋" w:eastAsia="仿宋"/>
          <w:sz w:val="30"/>
          <w:szCs w:val="30"/>
        </w:rPr>
        <w:t>万元、公务接待费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4.7</w:t>
      </w:r>
      <w:r>
        <w:rPr>
          <w:rFonts w:hint="eastAsia" w:ascii="仿宋" w:hAnsi="仿宋" w:eastAsia="仿宋"/>
          <w:sz w:val="30"/>
          <w:szCs w:val="30"/>
        </w:rPr>
        <w:t>万元。</w:t>
      </w:r>
    </w:p>
    <w:p>
      <w:pPr>
        <w:pStyle w:val="4"/>
        <w:widowControl/>
        <w:spacing w:before="0" w:beforeAutospacing="0" w:after="0" w:afterAutospacing="0"/>
        <w:ind w:right="11"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color w:val="010101"/>
          <w:sz w:val="30"/>
          <w:szCs w:val="30"/>
        </w:rPr>
        <w:t>202</w:t>
      </w:r>
      <w:r>
        <w:rPr>
          <w:rFonts w:hint="eastAsia" w:ascii="仿宋" w:hAnsi="仿宋" w:eastAsia="仿宋"/>
          <w:color w:val="010101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color w:val="010101"/>
          <w:sz w:val="30"/>
          <w:szCs w:val="30"/>
        </w:rPr>
        <w:t>年为更好地贯彻落实中央厉行节约的有关规定，财务管理不断加强，年度内“三公”经费预算</w:t>
      </w:r>
      <w:r>
        <w:rPr>
          <w:rFonts w:hint="eastAsia" w:ascii="仿宋" w:hAnsi="仿宋" w:eastAsia="仿宋"/>
          <w:color w:val="010101"/>
          <w:sz w:val="30"/>
          <w:szCs w:val="30"/>
          <w:lang w:val="en-US" w:eastAsia="zh-CN"/>
        </w:rPr>
        <w:t>13</w:t>
      </w:r>
      <w:r>
        <w:rPr>
          <w:rFonts w:hint="eastAsia" w:ascii="仿宋" w:hAnsi="仿宋" w:eastAsia="仿宋"/>
          <w:color w:val="010101"/>
          <w:sz w:val="30"/>
          <w:szCs w:val="30"/>
        </w:rPr>
        <w:t>万元，</w:t>
      </w:r>
      <w:r>
        <w:rPr>
          <w:rFonts w:ascii="仿宋" w:hAnsi="仿宋" w:eastAsia="仿宋"/>
          <w:color w:val="010101"/>
          <w:sz w:val="30"/>
          <w:szCs w:val="30"/>
        </w:rPr>
        <w:t>202</w:t>
      </w:r>
      <w:r>
        <w:rPr>
          <w:rFonts w:hint="eastAsia" w:ascii="仿宋" w:hAnsi="仿宋" w:eastAsia="仿宋"/>
          <w:color w:val="010101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color w:val="010101"/>
          <w:sz w:val="30"/>
          <w:szCs w:val="30"/>
        </w:rPr>
        <w:t>年实际支出是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15.7</w:t>
      </w:r>
      <w:r>
        <w:rPr>
          <w:rFonts w:hint="eastAsia" w:ascii="仿宋" w:hAnsi="仿宋" w:eastAsia="仿宋"/>
          <w:color w:val="010101"/>
          <w:sz w:val="30"/>
          <w:szCs w:val="30"/>
        </w:rPr>
        <w:t>万元，实际支出较</w:t>
      </w:r>
      <w:r>
        <w:rPr>
          <w:rFonts w:ascii="仿宋" w:hAnsi="仿宋" w:eastAsia="仿宋"/>
          <w:color w:val="010101"/>
          <w:sz w:val="30"/>
          <w:szCs w:val="30"/>
        </w:rPr>
        <w:t>20</w:t>
      </w:r>
      <w:r>
        <w:rPr>
          <w:rFonts w:hint="eastAsia" w:ascii="仿宋" w:hAnsi="仿宋" w:eastAsia="仿宋"/>
          <w:color w:val="010101"/>
          <w:sz w:val="30"/>
          <w:szCs w:val="30"/>
        </w:rPr>
        <w:t>2</w:t>
      </w:r>
      <w:r>
        <w:rPr>
          <w:rFonts w:hint="eastAsia" w:ascii="仿宋" w:hAnsi="仿宋" w:eastAsia="仿宋"/>
          <w:color w:val="010101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color w:val="010101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53.81</w:t>
      </w:r>
      <w:r>
        <w:rPr>
          <w:rFonts w:hint="eastAsia" w:ascii="仿宋" w:hAnsi="仿宋" w:eastAsia="仿宋"/>
          <w:color w:val="010101"/>
          <w:sz w:val="30"/>
          <w:szCs w:val="30"/>
        </w:rPr>
        <w:t>万元</w:t>
      </w:r>
      <w:r>
        <w:rPr>
          <w:rFonts w:hint="eastAsia" w:ascii="仿宋" w:hAnsi="仿宋" w:eastAsia="仿宋"/>
          <w:color w:val="010101"/>
          <w:sz w:val="30"/>
          <w:szCs w:val="30"/>
          <w:lang w:val="en-US" w:eastAsia="zh-CN"/>
        </w:rPr>
        <w:t>减少</w:t>
      </w:r>
      <w:r>
        <w:rPr>
          <w:rFonts w:hint="eastAsia" w:ascii="仿宋" w:hAnsi="仿宋" w:eastAsia="仿宋"/>
          <w:color w:val="010101"/>
          <w:sz w:val="30"/>
          <w:szCs w:val="30"/>
        </w:rPr>
        <w:t>了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38.11</w:t>
      </w:r>
      <w:r>
        <w:rPr>
          <w:rFonts w:hint="eastAsia" w:ascii="仿宋" w:hAnsi="仿宋" w:eastAsia="仿宋"/>
          <w:color w:val="010101"/>
          <w:sz w:val="30"/>
          <w:szCs w:val="30"/>
        </w:rPr>
        <w:t>万元</w:t>
      </w:r>
      <w:r>
        <w:rPr>
          <w:rFonts w:hint="eastAsia" w:ascii="仿宋" w:hAnsi="仿宋" w:eastAsia="仿宋"/>
          <w:sz w:val="30"/>
          <w:szCs w:val="30"/>
          <w:lang w:eastAsia="zh-CN"/>
        </w:rPr>
        <w:t>；</w:t>
      </w:r>
      <w:r>
        <w:rPr>
          <w:rFonts w:hint="eastAsia" w:ascii="仿宋" w:hAnsi="仿宋" w:eastAsia="仿宋"/>
          <w:color w:val="010101"/>
          <w:sz w:val="30"/>
          <w:szCs w:val="30"/>
        </w:rPr>
        <w:t>实际支出较预算支出</w:t>
      </w:r>
      <w:r>
        <w:rPr>
          <w:rFonts w:hint="eastAsia" w:ascii="仿宋" w:hAnsi="仿宋" w:eastAsia="仿宋"/>
          <w:color w:val="010101"/>
          <w:sz w:val="30"/>
          <w:szCs w:val="30"/>
          <w:lang w:val="en-US" w:eastAsia="zh-CN"/>
        </w:rPr>
        <w:t>增加</w:t>
      </w:r>
      <w:r>
        <w:rPr>
          <w:rFonts w:hint="eastAsia" w:ascii="仿宋" w:hAnsi="仿宋" w:eastAsia="仿宋"/>
          <w:color w:val="010101"/>
          <w:sz w:val="30"/>
          <w:szCs w:val="30"/>
        </w:rPr>
        <w:t>了</w:t>
      </w:r>
      <w:r>
        <w:rPr>
          <w:rFonts w:hint="eastAsia" w:ascii="仿宋" w:hAnsi="仿宋" w:eastAsia="仿宋"/>
          <w:color w:val="010101"/>
          <w:sz w:val="30"/>
          <w:szCs w:val="30"/>
          <w:lang w:val="en-US" w:eastAsia="zh-CN"/>
        </w:rPr>
        <w:t>2.7</w:t>
      </w:r>
      <w:r>
        <w:rPr>
          <w:rFonts w:hint="eastAsia" w:ascii="仿宋" w:hAnsi="仿宋" w:eastAsia="仿宋"/>
          <w:color w:val="010101"/>
          <w:sz w:val="30"/>
          <w:szCs w:val="30"/>
        </w:rPr>
        <w:t>万元，</w:t>
      </w:r>
      <w:r>
        <w:rPr>
          <w:rFonts w:ascii="仿宋" w:hAnsi="仿宋" w:eastAsia="仿宋"/>
          <w:color w:val="010101"/>
          <w:sz w:val="30"/>
          <w:szCs w:val="30"/>
        </w:rPr>
        <w:t xml:space="preserve"> </w:t>
      </w:r>
      <w:r>
        <w:rPr>
          <w:rFonts w:hint="eastAsia" w:ascii="仿宋" w:hAnsi="仿宋" w:eastAsia="仿宋"/>
          <w:color w:val="010101"/>
          <w:sz w:val="30"/>
          <w:szCs w:val="30"/>
        </w:rPr>
        <w:t>“三公”经费得到有效控制。</w:t>
      </w:r>
    </w:p>
    <w:p>
      <w:pPr>
        <w:ind w:right="11"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（二）项目支出情况</w:t>
      </w:r>
    </w:p>
    <w:p>
      <w:pPr>
        <w:ind w:right="11" w:firstLine="600" w:firstLineChars="200"/>
        <w:rPr>
          <w:rFonts w:hint="eastAsia" w:ascii="仿宋" w:hAnsi="仿宋" w:eastAsia="仿宋" w:cs="宋体"/>
          <w:kern w:val="1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</w:rPr>
        <w:t>一般公共预算财政拨款项目支出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0</w:t>
      </w:r>
      <w:r>
        <w:rPr>
          <w:rFonts w:hint="eastAsia" w:ascii="仿宋" w:hAnsi="仿宋" w:eastAsia="仿宋"/>
          <w:sz w:val="30"/>
          <w:szCs w:val="30"/>
        </w:rPr>
        <w:t>万元，</w:t>
      </w:r>
      <w:r>
        <w:rPr>
          <w:rFonts w:hint="eastAsia" w:ascii="仿宋" w:hAnsi="仿宋" w:eastAsia="仿宋"/>
          <w:sz w:val="30"/>
          <w:szCs w:val="30"/>
          <w:lang w:eastAsia="zh-CN"/>
        </w:rPr>
        <w:t>本年度项目拨款未从一般公共财政拨款预算支出。</w:t>
      </w:r>
    </w:p>
    <w:p>
      <w:pPr>
        <w:pStyle w:val="4"/>
        <w:widowControl/>
        <w:spacing w:before="0" w:beforeAutospacing="0" w:after="0" w:afterAutospacing="0"/>
        <w:ind w:right="11" w:firstLine="602" w:firstLineChars="200"/>
        <w:rPr>
          <w:rFonts w:ascii="仿宋" w:hAnsi="仿宋" w:eastAsia="仿宋"/>
          <w:b/>
          <w:bCs/>
          <w:color w:val="010101"/>
          <w:sz w:val="30"/>
          <w:szCs w:val="30"/>
        </w:rPr>
      </w:pPr>
      <w:r>
        <w:rPr>
          <w:rFonts w:hint="eastAsia" w:ascii="仿宋" w:hAnsi="仿宋" w:eastAsia="仿宋"/>
          <w:b/>
          <w:bCs/>
          <w:color w:val="010101"/>
          <w:sz w:val="30"/>
          <w:szCs w:val="30"/>
        </w:rPr>
        <w:t>三、政府性基金预算支出情况</w:t>
      </w:r>
    </w:p>
    <w:p>
      <w:pPr>
        <w:ind w:right="11" w:firstLine="600" w:firstLineChars="200"/>
        <w:rPr>
          <w:rFonts w:ascii="仿宋" w:hAnsi="仿宋" w:eastAsia="仿宋"/>
          <w:b/>
          <w:bCs/>
          <w:color w:val="010101"/>
          <w:sz w:val="30"/>
          <w:szCs w:val="30"/>
        </w:rPr>
      </w:pPr>
      <w:r>
        <w:rPr>
          <w:rFonts w:ascii="仿宋" w:hAnsi="仿宋" w:eastAsia="仿宋"/>
          <w:color w:val="010101"/>
          <w:sz w:val="30"/>
          <w:szCs w:val="30"/>
        </w:rPr>
        <w:t>202</w:t>
      </w:r>
      <w:r>
        <w:rPr>
          <w:rFonts w:hint="eastAsia" w:ascii="仿宋" w:hAnsi="仿宋" w:eastAsia="仿宋"/>
          <w:color w:val="010101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color w:val="010101"/>
          <w:sz w:val="30"/>
          <w:szCs w:val="30"/>
        </w:rPr>
        <w:t>年度本单位政府性基金预算支出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30038.80</w:t>
      </w:r>
      <w:bookmarkStart w:id="4" w:name="_GoBack"/>
      <w:bookmarkEnd w:id="4"/>
      <w:r>
        <w:rPr>
          <w:rFonts w:hint="eastAsia" w:ascii="仿宋" w:hAnsi="仿宋" w:eastAsia="仿宋"/>
          <w:color w:val="010101"/>
          <w:sz w:val="30"/>
          <w:szCs w:val="30"/>
        </w:rPr>
        <w:t>万元，用于</w:t>
      </w:r>
      <w:r>
        <w:rPr>
          <w:rFonts w:hint="eastAsia" w:ascii="仿宋" w:hAnsi="仿宋" w:eastAsia="仿宋"/>
          <w:color w:val="010101"/>
          <w:sz w:val="30"/>
          <w:szCs w:val="30"/>
          <w:lang w:eastAsia="zh-CN"/>
        </w:rPr>
        <w:t>其他国有土地使用权出让收入安排的支出与征地和拆迁补偿支出</w:t>
      </w:r>
      <w:r>
        <w:rPr>
          <w:rFonts w:hint="eastAsia" w:ascii="仿宋" w:hAnsi="仿宋" w:eastAsia="仿宋"/>
          <w:color w:val="010101"/>
          <w:sz w:val="30"/>
          <w:szCs w:val="30"/>
        </w:rPr>
        <w:t>等</w:t>
      </w:r>
      <w:r>
        <w:rPr>
          <w:rFonts w:hint="eastAsia" w:ascii="仿宋" w:hAnsi="仿宋" w:eastAsia="仿宋"/>
          <w:color w:val="010101"/>
          <w:sz w:val="30"/>
          <w:szCs w:val="30"/>
          <w:lang w:eastAsia="zh-CN"/>
        </w:rPr>
        <w:t>方面</w:t>
      </w:r>
      <w:r>
        <w:rPr>
          <w:rFonts w:hint="eastAsia" w:ascii="仿宋" w:hAnsi="仿宋" w:eastAsia="仿宋"/>
          <w:color w:val="010101"/>
          <w:sz w:val="30"/>
          <w:szCs w:val="30"/>
        </w:rPr>
        <w:t>。</w:t>
      </w:r>
    </w:p>
    <w:p>
      <w:pPr>
        <w:ind w:right="11" w:firstLine="602" w:firstLineChars="200"/>
        <w:rPr>
          <w:rFonts w:ascii="仿宋" w:hAnsi="仿宋" w:eastAsia="仿宋"/>
          <w:b/>
          <w:bCs/>
          <w:color w:val="010101"/>
          <w:sz w:val="30"/>
          <w:szCs w:val="30"/>
        </w:rPr>
      </w:pPr>
      <w:r>
        <w:rPr>
          <w:rFonts w:hint="eastAsia" w:ascii="仿宋" w:hAnsi="仿宋" w:eastAsia="仿宋"/>
          <w:b/>
          <w:bCs/>
          <w:color w:val="010101"/>
          <w:sz w:val="30"/>
          <w:szCs w:val="30"/>
        </w:rPr>
        <w:t>四、国有资本经营预算支出情况</w:t>
      </w:r>
    </w:p>
    <w:p>
      <w:pPr>
        <w:ind w:right="11" w:firstLine="600" w:firstLineChars="200"/>
        <w:rPr>
          <w:rFonts w:ascii="仿宋" w:hAnsi="仿宋" w:eastAsia="仿宋"/>
          <w:color w:val="010101"/>
          <w:sz w:val="30"/>
          <w:szCs w:val="30"/>
        </w:rPr>
      </w:pPr>
      <w:r>
        <w:rPr>
          <w:rFonts w:ascii="仿宋" w:hAnsi="仿宋" w:eastAsia="仿宋"/>
          <w:color w:val="010101"/>
          <w:sz w:val="30"/>
          <w:szCs w:val="30"/>
        </w:rPr>
        <w:t>202</w:t>
      </w:r>
      <w:r>
        <w:rPr>
          <w:rFonts w:hint="eastAsia" w:ascii="仿宋" w:hAnsi="仿宋" w:eastAsia="仿宋"/>
          <w:color w:val="010101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color w:val="010101"/>
          <w:sz w:val="30"/>
          <w:szCs w:val="30"/>
        </w:rPr>
        <w:t>年度本单位无国有资本经营预算支出。</w:t>
      </w:r>
    </w:p>
    <w:p>
      <w:pPr>
        <w:ind w:right="11" w:firstLine="602" w:firstLineChars="200"/>
        <w:rPr>
          <w:rFonts w:ascii="仿宋" w:hAnsi="仿宋" w:eastAsia="仿宋"/>
          <w:b/>
          <w:color w:val="010101"/>
          <w:sz w:val="30"/>
          <w:szCs w:val="30"/>
        </w:rPr>
      </w:pPr>
      <w:r>
        <w:rPr>
          <w:rFonts w:hint="eastAsia" w:ascii="仿宋" w:hAnsi="仿宋" w:eastAsia="仿宋"/>
          <w:b/>
          <w:bCs/>
          <w:color w:val="010101"/>
          <w:sz w:val="30"/>
          <w:szCs w:val="30"/>
        </w:rPr>
        <w:t>五</w:t>
      </w:r>
      <w:r>
        <w:rPr>
          <w:rFonts w:hint="eastAsia" w:ascii="仿宋" w:hAnsi="仿宋" w:eastAsia="仿宋"/>
          <w:bCs/>
          <w:color w:val="010101"/>
          <w:sz w:val="30"/>
          <w:szCs w:val="30"/>
        </w:rPr>
        <w:t>、</w:t>
      </w:r>
      <w:r>
        <w:rPr>
          <w:rFonts w:hint="eastAsia" w:ascii="仿宋" w:hAnsi="仿宋" w:eastAsia="仿宋"/>
          <w:b/>
          <w:color w:val="010101"/>
          <w:sz w:val="30"/>
          <w:szCs w:val="30"/>
        </w:rPr>
        <w:t>社会保险基金预算支出情况</w:t>
      </w:r>
    </w:p>
    <w:p>
      <w:pPr>
        <w:ind w:right="11" w:firstLine="600" w:firstLineChars="200"/>
        <w:rPr>
          <w:rFonts w:ascii="仿宋" w:hAnsi="仿宋" w:eastAsia="仿宋"/>
          <w:bCs/>
          <w:color w:val="010101"/>
          <w:sz w:val="30"/>
          <w:szCs w:val="30"/>
        </w:rPr>
      </w:pPr>
      <w:r>
        <w:rPr>
          <w:rFonts w:ascii="仿宋" w:hAnsi="仿宋" w:eastAsia="仿宋"/>
          <w:color w:val="010101"/>
          <w:sz w:val="30"/>
          <w:szCs w:val="30"/>
        </w:rPr>
        <w:t>202</w:t>
      </w:r>
      <w:r>
        <w:rPr>
          <w:rFonts w:hint="eastAsia" w:ascii="仿宋" w:hAnsi="仿宋" w:eastAsia="仿宋"/>
          <w:color w:val="010101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color w:val="010101"/>
          <w:sz w:val="30"/>
          <w:szCs w:val="30"/>
        </w:rPr>
        <w:t>年度本单位</w:t>
      </w:r>
      <w:r>
        <w:rPr>
          <w:rFonts w:hint="eastAsia" w:ascii="仿宋" w:hAnsi="仿宋" w:eastAsia="仿宋"/>
          <w:bCs/>
          <w:color w:val="010101"/>
          <w:sz w:val="30"/>
          <w:szCs w:val="30"/>
        </w:rPr>
        <w:t>无社会保险基金预算支出。</w:t>
      </w:r>
    </w:p>
    <w:p>
      <w:pPr>
        <w:ind w:right="11" w:firstLine="602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color w:val="010101"/>
          <w:sz w:val="30"/>
          <w:szCs w:val="30"/>
        </w:rPr>
        <w:t>六、部门整体支出绩效情况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3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（一）规划引领与空间管控持续优化。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以国土空间规划为引领，强化城乡统筹和刚性管控，推动形成集约高效的生产生活生态空间。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一是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规划体系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  <w:lang w:val="en-US" w:eastAsia="zh-CN"/>
        </w:rPr>
        <w:t>进一步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完善。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县级国土空间总体规划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  <w:lang w:val="en-US" w:eastAsia="zh-CN"/>
        </w:rPr>
        <w:t>已于2024年6月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  <w:lang w:val="en-US" w:eastAsia="zh-CN"/>
        </w:rPr>
        <w:t>省政府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  <w:lang w:val="en-US" w:eastAsia="zh-CN"/>
        </w:rPr>
        <w:t>准并实施；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15个乡镇国土空间规划于2024年12月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获永州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市人民政府批复，目前蚣坝镇、四马桥镇、审章塘瑶族乡3个乡镇已入“一张图”数据库，其余乡镇正在加快建设中；12个省级示范村、30个市县级重点村已于2025年3月11日通过县人民政府批复，目前正在建立省市县重点村数据库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扎实履行好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县规划党政联席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会办公室职责。全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组织召开</w:t>
      </w:r>
      <w:r>
        <w:rPr>
          <w:rFonts w:hint="eastAsia" w:ascii="仿宋_GB2312" w:hAnsi="仿宋_GB2312" w:eastAsia="仿宋_GB2312" w:cs="仿宋_GB2312"/>
          <w:kern w:val="0"/>
          <w:sz w:val="32"/>
          <w:szCs w:val="28"/>
          <w:highlight w:val="none"/>
          <w:lang w:val="en-US" w:eastAsia="zh-CN"/>
        </w:rPr>
        <w:t>了7次县规划审查党政联席会议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8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28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8"/>
          <w:highlight w:val="none"/>
          <w:lang w:val="en-US" w:eastAsia="zh-CN"/>
        </w:rPr>
        <w:t>次专题会、</w:t>
      </w:r>
      <w:r>
        <w:rPr>
          <w:rFonts w:hint="eastAsia" w:ascii="仿宋_GB2312" w:hAnsi="仿宋_GB2312" w:eastAsia="仿宋_GB2312" w:cs="仿宋_GB2312"/>
          <w:kern w:val="0"/>
          <w:sz w:val="32"/>
          <w:szCs w:val="28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8"/>
          <w:highlight w:val="none"/>
          <w:lang w:val="en-US" w:eastAsia="zh-CN"/>
        </w:rPr>
        <w:t>次初审会，分别对45个项目、31个项目、42个建设项目及307户私人建房项目的规划进行了认真审查，保障了项目实施和民生需求，进一步提升了建筑品质和城市形象。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严格落实规划管控职责。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核发《建设工程规划许可证》86本、《建设工程规划核实合格证》117份；办结村民建房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1330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件，办结量居全市首位。对城区建设项目开展日常巡查，及时纠正、严厉打击违规建设行为，向城管执法局移交违规建设问题线索47条；开展动态巡查184次，立案查处违法案件8起，收缴罚没款183.41万元，有力维护了规划审批的权威性和一致性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highlight w:val="none"/>
          <w:lang w:val="en-US" w:eastAsia="zh-CN" w:bidi="ar"/>
        </w:rPr>
        <w:t>（二）耕地保护红线坚决守牢。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bookmarkStart w:id="2" w:name="OLE_LINK3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强化政治担当，坚持底线思维，坚决守住我县永久基本农田保护目标任务60.96万亩，耕地保护目标任务65.97万亩。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提质永久基本农田。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挤泡沫，完成永久基本农田非耕地整改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1756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亩；净生态，“回填”自然保护地永久基本农田地块33个，面积12.98公顷；优布局，拟正向优化调整永农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200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个图斑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1500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亩面积；提质量，将已建成的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5000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亩高标准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农田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划入永久基本农田。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严格落实耕地占补平衡工作。完成2个2025年耕地占补平衡项目的立项、实施，建设规模620亩，预计新增耕地560亩；完成2025年耕地恢复项目立项、实施工作，预计恢复并新增耕地2000亩；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完成2个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补充耕地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耕地指标入库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，入库耕地指标383亩，粮食产能3.83万公斤；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完成历年优质恢复耕地形成耕地指标申报工作，预计形成耕地占补平衡指标4800亩；完成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4个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社会投资补充耕地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新增耕地指标确认申报工作，预计新增耕地1889亩。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创新补充耕地开发模式。克服县财力保障紧张的不利因素，摈弃耕地恢复全部依靠乡镇、村自主实施的低效模式，创新引进道县菜篮子生鲜有限公司，集中选址弃管的果园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通过土地流转，该公司完成了一期的600亩耕地开垦。</w:t>
      </w: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健全临时用地全周期管理。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新受理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临时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用地项目4宗，正依程序进行办理；对到期的5宗临时用地，复垦验收并销号3个，正在完善农转用审批1个，走政府代为履行复垦义务程序1个。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统筹推进林耕置换、汛旱并防等工作。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结合林草湿调查工作，筛选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267块5020.44亩优质林耕互换资源，力争实现果树上山，耕地下山；申报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汛旱并防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项目12个，面积1500亩，争取省级财政资金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58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万元。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严格耕地占用，保障建房刚需。受理设施农用地、建设用地项目选址筛查82宗，优化选址32宗，减少占用耕地面积145亩；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32户村民占一般耕地建房应批尽批。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七是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擦亮农耕文明品牌。以在全省农耕文明大会上宣讲玉蟾岩农耕文明典型为突破口，会同农业农村、文旅广体部门，创新宣传教育，强化基础配套，培育特色产业，实现农耕文明新的突破和发展。</w:t>
      </w:r>
    </w:p>
    <w:bookmarkEnd w:id="2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highlight w:val="none"/>
          <w:lang w:val="en-US" w:eastAsia="zh-CN" w:bidi="ar"/>
        </w:rPr>
        <w:t>（三）矿产资源管理与生态修复扎实推进。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聚焦锂电新能源战略产业，推动矿业开发向高端化、绿色化迈进，助力打造全省重要锂电基地。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重大项目提质增效。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组建专班，按照“两全、一不”，即“全方位、全天候积极服务，企业无需要不出现”的工作机制，在矿权出让、矿权整合、矿产资源补勘等方面提供优质服务。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全力推进列入湖南省十大产业项目的紫金锂业一期500万吨/年采选项目、3万吨/年碳酸锂项目按2025年政府工作报告计划的时间如期建成并试投产。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产业集群加速培育。以采矿为基础，以锂电生产基地、循环利用中心为目标，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成功引进湖南华垣环能科技、永州市湘永锅炉节能2家企业，推进产业集群化发展，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助力我县由土地财政向产业财税转型。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生态修复技术创新。联合湖南紫金锂业创新采用“以废治废”模式，建立“企业出资、技术主导、政府监管”合作机制，回填的‌1.8万吨选矿尾砂代替传统土壤，形成“选矿尾砂、修复材料、土地再生”为闭环的矿山治理实践范本，有效破解了尾砂治理与矿山生态修复难题。该模式被评选为湖南省第三届国土空间生态修复优秀案例，推广至省内12个同类矿区，累计节约治理成本超1500万元，形成全国领先的尾砂治理范本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highlight w:val="none"/>
          <w:lang w:val="en-US" w:eastAsia="zh-CN" w:bidi="ar"/>
        </w:rPr>
        <w:t>（四）自然资源要素保障精准高效。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2"/>
          <w:sz w:val="32"/>
          <w:szCs w:val="32"/>
          <w:highlight w:val="none"/>
          <w:shd w:val="clear" w:fill="FFFFFF"/>
          <w:vertAlign w:val="baseline"/>
        </w:rPr>
        <w:t>主动对接省市重大项目和县域产业发展需求，优化土地供应结构，提升节约集约用地水平，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推动我县经济社会高质量发展。</w:t>
      </w:r>
      <w:r>
        <w:rPr>
          <w:rStyle w:val="7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-2"/>
          <w:sz w:val="32"/>
          <w:szCs w:val="32"/>
          <w:highlight w:val="none"/>
          <w:shd w:val="clear" w:fill="FFFFFF"/>
          <w:vertAlign w:val="baseline"/>
          <w:lang w:val="en-US" w:eastAsia="zh-CN"/>
        </w:rPr>
        <w:t>一是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-2"/>
          <w:sz w:val="32"/>
          <w:szCs w:val="32"/>
          <w:highlight w:val="none"/>
          <w:shd w:val="clear" w:fill="FFFFFF"/>
          <w:vertAlign w:val="baseline"/>
          <w:lang w:val="en-US" w:eastAsia="zh-CN"/>
        </w:rPr>
        <w:t>应保尽保，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2"/>
          <w:sz w:val="32"/>
          <w:szCs w:val="32"/>
          <w:highlight w:val="none"/>
          <w:shd w:val="clear" w:fill="FFFFFF"/>
          <w:vertAlign w:val="baseline"/>
        </w:rPr>
        <w:t>高效完成用地报批。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2"/>
          <w:sz w:val="32"/>
          <w:szCs w:val="32"/>
          <w:highlight w:val="none"/>
          <w:shd w:val="clear" w:fill="FFFFFF"/>
          <w:vertAlign w:val="baseline"/>
          <w:lang w:val="en-US" w:eastAsia="zh-CN"/>
        </w:rPr>
        <w:t>今年以来，我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报批紫金道顺锅炉项目、紫金污水处理厂等项目土地18宗，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面积924.6亩，报批土地面积排名全市前3，有力保障了全县重点项目顺利实施。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行动靠前，大力推进土地征储。今年以来，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完成道县国家非遗龙船中心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、上坦公路二期、湖南紫金锂多金属新材料有限公司冶炼厂项目变电站二期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土地和房屋征收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工作。征收土地面积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174.78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亩，支付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土地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补偿款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1075.08万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征收房屋6户，面积821.55平方米，支付房屋补偿款166.3501万元。拨付安置区过渡安置费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vertAlign w:val="baseline"/>
          <w:lang w:val="en-US" w:eastAsia="zh-CN"/>
        </w:rPr>
        <w:t>310.61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万元，完成三湘安居拆迁安置遗留问题整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改，拨付“135”项目补偿安置资金350.92万元。收储土地13宗，储备土地面积1505.09亩。我局申报的道县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土储债项目001号地块经省自然资源厅、省发改委、省财政厅审核，列入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土地储备专项债券项目发行清单，成功发行金额15500万元。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2026年度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土储债项目已按要求组卷上报。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出台政策，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深化土地市场化配置。我局联合县住建局、城管局出台《关于优化道县房地产开发项目规划管理的若干措施</w:t>
      </w:r>
      <w:r>
        <w:rPr>
          <w:rStyle w:val="7"/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  <w:lang w:eastAsia="zh-CN"/>
        </w:rPr>
        <w:t>（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试行</w:t>
      </w:r>
      <w:r>
        <w:rPr>
          <w:rStyle w:val="7"/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  <w:lang w:eastAsia="zh-CN"/>
        </w:rPr>
        <w:t>）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》，积极响应了“好房子”建设号召，有效刺激了道县房地产市场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-2"/>
          <w:sz w:val="32"/>
          <w:szCs w:val="32"/>
          <w:highlight w:val="none"/>
          <w:shd w:val="clear" w:fill="FFFFFF"/>
          <w:vertAlign w:val="baseline"/>
        </w:rPr>
        <w:t>企稳回暖。政策出台以来，促进商住用地成交2宗，成交额11263万元；刺激花语江南、嘉悦府、逸品璟城、云锦东方、江湾尚品等5个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-2"/>
          <w:sz w:val="32"/>
          <w:szCs w:val="32"/>
          <w:highlight w:val="none"/>
          <w:shd w:val="clear" w:fill="FFFFFF"/>
          <w:vertAlign w:val="baseline"/>
          <w:lang w:eastAsia="zh-CN"/>
        </w:rPr>
        <w:t>房地产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-2"/>
          <w:sz w:val="32"/>
          <w:szCs w:val="32"/>
          <w:highlight w:val="none"/>
          <w:shd w:val="clear" w:fill="FFFFFF"/>
          <w:vertAlign w:val="baseline"/>
        </w:rPr>
        <w:t>项目进行投资开发。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highlight w:val="none"/>
          <w:lang w:val="en-US" w:eastAsia="zh-CN" w:bidi="ar"/>
        </w:rPr>
        <w:t>（五）民生服务与权益维护用心用情。</w:t>
      </w:r>
    </w:p>
    <w:p>
      <w:pPr>
        <w:pStyle w:val="4"/>
        <w:widowControl/>
        <w:spacing w:before="0" w:beforeAutospacing="0" w:after="0" w:afterAutospacing="0"/>
        <w:ind w:right="11"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践行以人民为中心的发展思想，打通自然资源服务“最后一公里”，增强群众获得感、安全感。</w:t>
      </w:r>
      <w:bookmarkStart w:id="3" w:name="OLE_LINK4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一是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-2"/>
          <w:sz w:val="32"/>
          <w:szCs w:val="32"/>
          <w:highlight w:val="none"/>
          <w:shd w:val="clear" w:fill="FFFFFF"/>
          <w:vertAlign w:val="baseline"/>
        </w:rPr>
        <w:t>提升不动产登记便利度。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今年以来，我县颁发不动产权证书5208本，不动产登记证明4396份，办理不动产查解封业务580余笔，查询业务6200余人次。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深入开展了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全县不动产“登记难”</w:t>
      </w:r>
      <w:r>
        <w:rPr>
          <w:rFonts w:hint="eastAsia" w:ascii="仿宋_GB2312" w:hAnsi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集中整治活动和“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百日攻坚</w:t>
      </w:r>
      <w:r>
        <w:rPr>
          <w:rFonts w:hint="eastAsia" w:ascii="仿宋_GB2312" w:hAnsi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行动，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共摸排、上报省市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集中整治不动产“登记难”问题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36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个，已成功化解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36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个，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化解率100%，位列全市前列，成功化解了汽车北站、万家天府、锦江花园二期等一批历史遗留问题，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总共涉及办证群众5726户，完成户数5415户，获办证群众赠送锦旗达16面。特别是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局利用国庆中秋长假期间，联合住建、税务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、住保、政务等部门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开展“服务上门、集中攻坚”专项行动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，将不动产办证窗口送进珊瑚海小区“家门口”。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以连续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天的坚守与奉献，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将该小区办证率由节前的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21.5%提升到87.1%，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成功打通服务群众“最后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百米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”，有效化解了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业主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“登记难”问题，赢得了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群众、社会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一致好评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获永州新闻联播、湖南卫视等官方平台大力宣传推介。</w:t>
      </w:r>
      <w:bookmarkEnd w:id="3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二是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畅通群众诉求渠道。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落实首问责任制，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在局办公楼及政务中心分别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  <w:lang w:val="en-US" w:eastAsia="zh-CN"/>
        </w:rPr>
        <w:t>设置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“局长为您来解忧”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公告牌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“办不成事反映窗口”受理群众咨询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及时回应和处理群众关切，提升群众满意度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今年以来共受理信访事项152件，依法依规处置率100%。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三是</w:t>
      </w: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加强地质灾害防治。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</w:rPr>
        <w:t>坚持“人防+技防”结合，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caps w:val="0"/>
          <w:color w:val="auto"/>
          <w:spacing w:val="-2"/>
          <w:sz w:val="32"/>
          <w:szCs w:val="32"/>
          <w:highlight w:val="none"/>
          <w:shd w:val="clear" w:fill="FFFFFF"/>
          <w:vertAlign w:val="baseline"/>
          <w:lang w:val="en-US" w:eastAsia="zh-CN"/>
        </w:rPr>
        <w:t>投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caps w:val="0"/>
          <w:color w:val="000000"/>
          <w:spacing w:val="-2"/>
          <w:sz w:val="32"/>
          <w:szCs w:val="32"/>
          <w:highlight w:val="none"/>
          <w:shd w:val="clear" w:fill="FFFFFF"/>
          <w:vertAlign w:val="baseline"/>
          <w:lang w:val="en-US" w:eastAsia="zh-CN"/>
        </w:rPr>
        <w:t>入72万余元，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治理地质灾害“微治理”项目8个，对100处切坡建房施建“挡土墙”和“截排水沟”</w:t>
      </w:r>
      <w:r>
        <w:rPr>
          <w:rFonts w:hint="eastAsia" w:ascii="Times New Roman" w:hAnsi="Times New Roman" w:cs="仿宋_GB2312"/>
          <w:sz w:val="32"/>
          <w:szCs w:val="32"/>
          <w:highlight w:val="none"/>
          <w:lang w:val="en-US" w:eastAsia="zh-CN"/>
        </w:rPr>
        <w:t>，确保人民群众生命财产安全，保持连续15年未出现人员伤亡成绩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优化行政审批流程。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全面梳理自然资源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行政审批事项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，制定《道县自然资源局关于进一步优化政务服务事项办理规则的方案》，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办结时间从原先法定的150个工作日缩短为现在承诺的48工作日，提速68%；申报材料从原来的32项缩减为28项。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五是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依法依规调解山林土地权属纠纷。今年我局共收到申请土地确权的信访件共26件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从原县调纠办移交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我局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79件，土地纠纷案件共148件，今年已办结15件。受理网信、网上问政、热线电话等共28起，已办结28起。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六是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扎实推进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乡村振兴结对帮扶。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认真履行好菖路村的后盾单位乡村振兴职责，派出了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名工作队长、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名队员共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人驻村帮扶；班子成员全员参与，共计派出176名干部职工结对帮扶联系11个村414户监测户和脱贫户，较好完成帮扶任务。全年拨付菖路村4万余元，支持乡村产业振兴。</w:t>
      </w:r>
    </w:p>
    <w:p>
      <w:pPr>
        <w:pStyle w:val="4"/>
        <w:widowControl/>
        <w:spacing w:before="0" w:beforeAutospacing="0" w:after="0" w:afterAutospacing="0"/>
        <w:ind w:right="11" w:firstLine="602" w:firstLineChars="200"/>
        <w:rPr>
          <w:rFonts w:hint="eastAsia" w:ascii="仿宋" w:hAnsi="仿宋" w:eastAsia="仿宋" w:cs="宋体"/>
          <w:b/>
          <w:color w:val="000000"/>
          <w:sz w:val="30"/>
          <w:szCs w:val="30"/>
        </w:rPr>
      </w:pPr>
      <w:r>
        <w:rPr>
          <w:rFonts w:hint="eastAsia" w:ascii="仿宋" w:hAnsi="仿宋" w:eastAsia="仿宋" w:cs="宋体"/>
          <w:b/>
          <w:color w:val="000000"/>
          <w:sz w:val="30"/>
          <w:szCs w:val="30"/>
        </w:rPr>
        <w:t>八、下一步改进措施</w:t>
      </w:r>
    </w:p>
    <w:p>
      <w:pPr>
        <w:pStyle w:val="4"/>
        <w:widowControl/>
        <w:spacing w:before="0" w:beforeAutospacing="0" w:after="0" w:afterAutospacing="0"/>
        <w:ind w:right="11" w:firstLine="600" w:firstLineChars="200"/>
        <w:rPr>
          <w:rFonts w:ascii="仿宋" w:hAnsi="仿宋" w:eastAsia="仿宋" w:cs="宋体"/>
          <w:bCs/>
          <w:color w:val="000000"/>
          <w:sz w:val="30"/>
          <w:szCs w:val="30"/>
        </w:rPr>
      </w:pPr>
      <w:r>
        <w:rPr>
          <w:rFonts w:hint="eastAsia" w:ascii="仿宋" w:hAnsi="仿宋" w:eastAsia="仿宋" w:cs="宋体"/>
          <w:bCs/>
          <w:color w:val="000000"/>
          <w:sz w:val="30"/>
          <w:szCs w:val="30"/>
        </w:rPr>
        <w:t>1、</w:t>
      </w:r>
      <w:r>
        <w:rPr>
          <w:rFonts w:hint="eastAsia" w:ascii="仿宋" w:hAnsi="仿宋" w:eastAsia="仿宋" w:cs="宋体"/>
          <w:bCs/>
          <w:color w:val="010101"/>
          <w:sz w:val="32"/>
          <w:szCs w:val="32"/>
        </w:rPr>
        <w:t>规范账务处理，提高财务信息质量。</w:t>
      </w:r>
      <w:r>
        <w:rPr>
          <w:rFonts w:hint="eastAsia" w:ascii="仿宋" w:hAnsi="仿宋" w:eastAsia="仿宋" w:cs="宋体"/>
          <w:color w:val="010101"/>
          <w:sz w:val="32"/>
          <w:szCs w:val="32"/>
        </w:rPr>
        <w:t>严格按照《会计法》、《政府会计制度》等规定执行财务核算，并结合实际情况，完整、准确地披露相关信息，做到决算与预算相衔接。</w:t>
      </w:r>
      <w:r>
        <w:rPr>
          <w:rFonts w:hint="eastAsia" w:ascii="仿宋" w:hAnsi="仿宋" w:eastAsia="仿宋"/>
          <w:color w:val="010101"/>
          <w:sz w:val="30"/>
          <w:szCs w:val="30"/>
        </w:rPr>
        <w:t>财务部门应加强与各部门的沟通，了解具体的事项，合理安排资金支付，提高财务核算的准确性，加强人才队伍建设，提高业务能力水平。</w:t>
      </w:r>
    </w:p>
    <w:p>
      <w:pPr>
        <w:pStyle w:val="4"/>
        <w:widowControl/>
        <w:spacing w:before="0" w:beforeAutospacing="0" w:after="0" w:afterAutospacing="0"/>
        <w:ind w:right="11" w:firstLine="600" w:firstLineChars="200"/>
        <w:rPr>
          <w:rFonts w:hint="eastAsia" w:ascii="仿宋" w:hAnsi="仿宋" w:eastAsia="仿宋"/>
          <w:color w:val="010101"/>
          <w:sz w:val="30"/>
          <w:szCs w:val="30"/>
        </w:rPr>
      </w:pPr>
      <w:r>
        <w:rPr>
          <w:rFonts w:hint="eastAsia" w:ascii="仿宋" w:hAnsi="仿宋" w:eastAsia="仿宋"/>
          <w:bCs/>
          <w:color w:val="010101"/>
          <w:sz w:val="30"/>
          <w:szCs w:val="30"/>
        </w:rPr>
        <w:t>2、明确职责，加强项目管理。一是应针对每一个项目制定工作目标，科学编制和</w:t>
      </w:r>
      <w:r>
        <w:rPr>
          <w:rFonts w:hint="eastAsia" w:ascii="仿宋" w:hAnsi="仿宋" w:eastAsia="仿宋"/>
          <w:color w:val="010101"/>
          <w:sz w:val="30"/>
          <w:szCs w:val="30"/>
        </w:rPr>
        <w:t>细化预算，做到预算有目标，执行有细则，控制专项支出，提高资金的使用效益。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</w:t>
      </w:r>
      <w:r>
        <w:rPr>
          <w:rFonts w:ascii="仿宋" w:hAnsi="仿宋" w:eastAsia="仿宋"/>
          <w:sz w:val="32"/>
          <w:szCs w:val="32"/>
        </w:rPr>
        <w:t>通过对预算绩效管理工作的制度、流程和职责的梳理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制定适应</w:t>
      </w:r>
      <w:r>
        <w:rPr>
          <w:rFonts w:hint="eastAsia" w:ascii="仿宋" w:hAnsi="仿宋" w:eastAsia="仿宋"/>
          <w:sz w:val="32"/>
          <w:szCs w:val="32"/>
        </w:rPr>
        <w:t>单位</w:t>
      </w:r>
      <w:r>
        <w:rPr>
          <w:rFonts w:ascii="仿宋" w:hAnsi="仿宋" w:eastAsia="仿宋"/>
          <w:sz w:val="32"/>
          <w:szCs w:val="32"/>
        </w:rPr>
        <w:t>特点的预算绩效管理制度及相关实施细则，以提升预算绩效管理工作的整体规划性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</w:t>
      </w:r>
      <w:r>
        <w:rPr>
          <w:rFonts w:ascii="仿宋" w:hAnsi="仿宋" w:eastAsia="仿宋"/>
          <w:sz w:val="32"/>
          <w:szCs w:val="32"/>
        </w:rPr>
        <w:t>构建更为科学合理的财政资金绩效评价体系，合理化设置绩效目标指标体系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充分激发科技创新活力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5、</w:t>
      </w:r>
      <w:r>
        <w:rPr>
          <w:rFonts w:ascii="仿宋" w:hAnsi="仿宋" w:eastAsia="仿宋"/>
          <w:sz w:val="32"/>
          <w:szCs w:val="32"/>
        </w:rPr>
        <w:t>加强内控管理保障各项工作合规进行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通过定期绩效评价规范内控执行，并根据绩效评价结果及时纠偏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确保内控执行的有效性。</w:t>
      </w:r>
    </w:p>
    <w:p>
      <w:pPr>
        <w:widowControl/>
        <w:shd w:val="clear" w:color="auto" w:fill="FFFFFF"/>
        <w:ind w:firstLine="48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30"/>
          <w:szCs w:val="30"/>
        </w:rPr>
        <w:t>九、绩效自评结果拟应用和公开情况</w:t>
      </w:r>
    </w:p>
    <w:p>
      <w:pPr>
        <w:widowControl/>
        <w:shd w:val="clear" w:color="auto" w:fill="FFFFFF"/>
        <w:ind w:firstLine="480"/>
        <w:jc w:val="left"/>
        <w:rPr>
          <w:rFonts w:hint="eastAsia" w:ascii="微软雅黑" w:hAnsi="微软雅黑" w:eastAsia="微软雅黑" w:cs="宋体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按照要求将部门整体支出自评结果在部门门户网站进行公开，优化支出结构、完善相关办法、改进预算管理。强化结果应用，建立完善评价结果与预算调整、改进管理、完善政策挂钩机制。</w:t>
      </w:r>
    </w:p>
    <w:p>
      <w:pPr>
        <w:widowControl/>
        <w:shd w:val="clear" w:color="auto" w:fill="FFFFFF"/>
        <w:ind w:firstLine="48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30"/>
          <w:szCs w:val="30"/>
        </w:rPr>
        <w:t>十、其他需要说明的情况</w:t>
      </w:r>
    </w:p>
    <w:p>
      <w:pPr>
        <w:widowControl/>
        <w:shd w:val="clear" w:color="auto" w:fill="FFFFFF"/>
        <w:ind w:firstLine="480"/>
        <w:jc w:val="left"/>
        <w:rPr>
          <w:rFonts w:hint="eastAsia" w:ascii="微软雅黑" w:hAnsi="微软雅黑" w:eastAsia="微软雅黑" w:cs="宋体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无。</w:t>
      </w:r>
    </w:p>
    <w:p>
      <w:pPr>
        <w:pStyle w:val="4"/>
        <w:widowControl/>
        <w:spacing w:before="0" w:beforeAutospacing="0" w:after="0" w:afterAutospacing="0"/>
        <w:ind w:right="11"/>
        <w:rPr>
          <w:rFonts w:ascii="仿宋" w:hAnsi="仿宋" w:eastAsia="仿宋"/>
          <w:color w:val="010101"/>
          <w:sz w:val="30"/>
          <w:szCs w:val="30"/>
        </w:rPr>
      </w:pPr>
    </w:p>
    <w:p>
      <w:pPr>
        <w:spacing w:before="156" w:beforeLines="50" w:line="460" w:lineRule="exact"/>
        <w:ind w:right="11"/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道县</w:t>
      </w:r>
      <w:r>
        <w:rPr>
          <w:rFonts w:hint="eastAsia" w:ascii="仿宋" w:hAnsi="仿宋" w:eastAsia="仿宋"/>
          <w:sz w:val="30"/>
          <w:szCs w:val="30"/>
          <w:lang w:eastAsia="zh-CN"/>
        </w:rPr>
        <w:t>自然资源</w:t>
      </w:r>
      <w:r>
        <w:rPr>
          <w:rFonts w:hint="eastAsia" w:ascii="仿宋" w:hAnsi="仿宋" w:eastAsia="仿宋"/>
          <w:sz w:val="30"/>
          <w:szCs w:val="30"/>
        </w:rPr>
        <w:t>局</w:t>
      </w:r>
    </w:p>
    <w:p>
      <w:pPr>
        <w:spacing w:before="156" w:beforeLines="50" w:line="460" w:lineRule="exact"/>
        <w:ind w:right="11"/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2026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9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9</w:t>
      </w:r>
      <w:r>
        <w:rPr>
          <w:rFonts w:hint="eastAsia" w:ascii="仿宋" w:hAnsi="仿宋" w:eastAsia="仿宋"/>
          <w:sz w:val="30"/>
          <w:szCs w:val="30"/>
        </w:rPr>
        <w:t>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12</w:t>
    </w:r>
    <w: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AA54A8"/>
    <w:multiLevelType w:val="multilevel"/>
    <w:tmpl w:val="19AA54A8"/>
    <w:lvl w:ilvl="0" w:tentative="0">
      <w:start w:val="2"/>
      <w:numFmt w:val="japaneseCounting"/>
      <w:lvlText w:val="%1、"/>
      <w:lvlJc w:val="left"/>
      <w:pPr>
        <w:tabs>
          <w:tab w:val="left" w:pos="1316"/>
        </w:tabs>
        <w:ind w:left="1316" w:hanging="720"/>
      </w:pPr>
      <w:rPr>
        <w:rFonts w:hint="default" w:hAnsi="宋体"/>
      </w:rPr>
    </w:lvl>
    <w:lvl w:ilvl="1" w:tentative="0">
      <w:start w:val="1"/>
      <w:numFmt w:val="lowerLetter"/>
      <w:lvlText w:val="%2)"/>
      <w:lvlJc w:val="left"/>
      <w:pPr>
        <w:tabs>
          <w:tab w:val="left" w:pos="1436"/>
        </w:tabs>
        <w:ind w:left="1436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56"/>
        </w:tabs>
        <w:ind w:left="1856" w:hanging="420"/>
      </w:pPr>
    </w:lvl>
    <w:lvl w:ilvl="3" w:tentative="0">
      <w:start w:val="1"/>
      <w:numFmt w:val="decimal"/>
      <w:lvlText w:val="%4."/>
      <w:lvlJc w:val="left"/>
      <w:pPr>
        <w:tabs>
          <w:tab w:val="left" w:pos="2276"/>
        </w:tabs>
        <w:ind w:left="2276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96"/>
        </w:tabs>
        <w:ind w:left="2696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16"/>
        </w:tabs>
        <w:ind w:left="3116" w:hanging="420"/>
      </w:pPr>
    </w:lvl>
    <w:lvl w:ilvl="6" w:tentative="0">
      <w:start w:val="1"/>
      <w:numFmt w:val="decimal"/>
      <w:lvlText w:val="%7."/>
      <w:lvlJc w:val="left"/>
      <w:pPr>
        <w:tabs>
          <w:tab w:val="left" w:pos="3536"/>
        </w:tabs>
        <w:ind w:left="3536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56"/>
        </w:tabs>
        <w:ind w:left="3956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76"/>
        </w:tabs>
        <w:ind w:left="4376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7D6577B5"/>
    <w:rsid w:val="13E65F9D"/>
    <w:rsid w:val="1B851185"/>
    <w:rsid w:val="27432896"/>
    <w:rsid w:val="75770185"/>
    <w:rsid w:val="7D65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footnote text"/>
    <w:basedOn w:val="1"/>
    <w:unhideWhenUsed/>
    <w:qFormat/>
    <w:uiPriority w:val="0"/>
    <w:pPr>
      <w:snapToGrid w:val="0"/>
      <w:jc w:val="left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5121</Words>
  <Characters>5579</Characters>
  <Lines>0</Lines>
  <Paragraphs>0</Paragraphs>
  <TotalTime>2</TotalTime>
  <ScaleCrop>false</ScaleCrop>
  <LinksUpToDate>false</LinksUpToDate>
  <CharactersWithSpaces>5581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2026-09-09T04:04:00Z</dcterms:created>
  <dc:creator>smoll flyman</dc:creator>
  <cp:lastModifiedBy>水蜜桃</cp:lastModifiedBy>
  <dcterms:modified xsi:type="dcterms:W3CDTF">2026-09-11T03:06:14Z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97490D027FA94800809D3F86699E950A_11</vt:lpwstr>
  </property>
  <property fmtid="{D5CDD505-2E9C-101B-9397-08002B2CF9AE}" pid="4" name="KSOTemplateDocerSaveRecord">
    <vt:lpwstr>eyJoZGlkIjoiY2IwMDBmN2IwNTUxYmFmMTVkNTRlNWNhZTE3Y2RlZGEiLCJ1c2VySWQiOiIyNDg1MzQ5MTcifQ==</vt:lpwstr>
  </property>
</Properties>
</file>