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44FB1E">
      <w:pPr>
        <w:widowControl w:val="0"/>
        <w:autoSpaceDE w:val="0"/>
        <w:autoSpaceDN w:val="0"/>
        <w:adjustRightInd w:val="0"/>
        <w:spacing w:line="600" w:lineRule="exact"/>
        <w:ind w:firstLine="880" w:firstLineChars="200"/>
        <w:jc w:val="center"/>
        <w:rPr>
          <w:rFonts w:hint="eastAsia" w:ascii="黑体" w:hAnsi="黑体" w:eastAsia="黑体" w:cs="黑体"/>
          <w:color w:val="000000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 w:cs="黑体"/>
          <w:color w:val="000000"/>
          <w:sz w:val="44"/>
          <w:szCs w:val="44"/>
          <w:lang w:val="en-US" w:eastAsia="zh-CN" w:bidi="ar-SA"/>
        </w:rPr>
        <w:t>2025年度部门(单位)整体支出绩效自评报告</w:t>
      </w:r>
    </w:p>
    <w:p w14:paraId="7E6CF32F">
      <w:pPr>
        <w:tabs>
          <w:tab w:val="left" w:pos="6794"/>
        </w:tabs>
        <w:adjustRightInd w:val="0"/>
        <w:snapToGrid w:val="0"/>
        <w:spacing w:line="600" w:lineRule="exact"/>
        <w:ind w:firstLine="640" w:firstLineChars="200"/>
        <w:rPr>
          <w:rFonts w:hint="eastAsia" w:ascii="Calibri" w:hAnsi="Calibri" w:eastAsia="黑体" w:cs="Times New Roman"/>
          <w:sz w:val="32"/>
          <w:szCs w:val="32"/>
          <w:lang w:eastAsia="zh-CN"/>
        </w:rPr>
      </w:pPr>
      <w:r>
        <w:rPr>
          <w:rFonts w:hint="eastAsia" w:ascii="Calibri" w:hAnsi="Calibri" w:eastAsia="黑体" w:cs="Times New Roman"/>
          <w:sz w:val="32"/>
          <w:szCs w:val="32"/>
        </w:rPr>
        <w:t>一、基本情况</w:t>
      </w:r>
      <w:r>
        <w:rPr>
          <w:rFonts w:hint="eastAsia" w:ascii="Calibri" w:hAnsi="Calibri" w:eastAsia="黑体" w:cs="Times New Roman"/>
          <w:sz w:val="32"/>
          <w:szCs w:val="32"/>
          <w:lang w:eastAsia="zh-CN"/>
        </w:rPr>
        <w:tab/>
      </w:r>
    </w:p>
    <w:p w14:paraId="6EB85850">
      <w:pPr>
        <w:ind w:firstLine="640" w:firstLineChars="200"/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（一）部门基本情况</w:t>
      </w:r>
    </w:p>
    <w:p w14:paraId="2A210B27">
      <w:pPr>
        <w:ind w:firstLine="640" w:firstLineChars="200"/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1、职能职责：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道县</w:t>
      </w:r>
      <w:r>
        <w:rPr>
          <w:rFonts w:hint="eastAsia" w:ascii="仿宋_GB2312" w:hAnsi="仿宋_GB2312" w:eastAsia="仿宋_GB2312" w:cs="仿宋_GB2312"/>
          <w:sz w:val="32"/>
          <w:szCs w:val="32"/>
        </w:rPr>
        <w:t>人力资源和社会保障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局</w:t>
      </w:r>
      <w:r>
        <w:rPr>
          <w:rFonts w:hint="eastAsia" w:ascii="仿宋_GB2312" w:hAnsi="仿宋_GB2312" w:eastAsia="仿宋_GB2312" w:cs="仿宋_GB2312"/>
          <w:sz w:val="32"/>
          <w:szCs w:val="32"/>
        </w:rPr>
        <w:t>是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政府工作部门，为正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科</w:t>
      </w:r>
      <w:r>
        <w:rPr>
          <w:rFonts w:hint="eastAsia" w:ascii="仿宋_GB2312" w:hAnsi="仿宋_GB2312" w:eastAsia="仿宋_GB2312" w:cs="仿宋_GB2312"/>
          <w:sz w:val="32"/>
          <w:szCs w:val="32"/>
        </w:rPr>
        <w:t>级</w:t>
      </w: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，主要工作职能职责：</w:t>
      </w:r>
    </w:p>
    <w:p w14:paraId="4CE27EC8">
      <w:pPr>
        <w:numPr>
          <w:ilvl w:val="0"/>
          <w:numId w:val="0"/>
        </w:numPr>
        <w:ind w:firstLine="640" w:firstLineChars="200"/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（1）贯彻执行全县人力资源和社会保障事业发展政策、规划,按规定起草相关规范性文件草案并组织实施。</w:t>
      </w:r>
    </w:p>
    <w:p w14:paraId="534F582A">
      <w:pPr>
        <w:numPr>
          <w:ilvl w:val="0"/>
          <w:numId w:val="0"/>
        </w:numPr>
        <w:ind w:firstLine="640" w:firstLineChars="200"/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（2）牵头推进全县深化职称制度改革,组织实施专业技术人员管理、继续教育和博士后管理等政策,负责高层次专业技术人才选拔和培养工作,贯彻落实吸引留学人员来县工作或定居政策。组织落实技能人才培养、评价、使用和激励制度。完善职业资格制度,健全职业技能多元化评价政策。</w:t>
      </w:r>
    </w:p>
    <w:p w14:paraId="15FEF1FA">
      <w:pPr>
        <w:numPr>
          <w:ilvl w:val="0"/>
          <w:numId w:val="0"/>
        </w:numPr>
        <w:ind w:firstLine="640" w:firstLineChars="200"/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（3）会同有关部门指导全县事业单位人事制度改革,按照管理权限负责规范事业单位岗位设置、公开招聘、聘用合同等人事综合管理工作，拟订事业单位工作人员和机关工勤人员管理政策。</w:t>
      </w:r>
    </w:p>
    <w:p w14:paraId="6E82F005">
      <w:pPr>
        <w:numPr>
          <w:ilvl w:val="0"/>
          <w:numId w:val="0"/>
        </w:numPr>
        <w:ind w:firstLine="640" w:firstLineChars="200"/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（4）会同有关部门拟订、贯彻执行全县事业单位人员工资收入分配政策并组织实施,建立全县企事业单位人员工资决定、正常增长和支付保障机制。贯彻执行全省企事业单位人员福利和离退休政策并组织实施。</w:t>
      </w:r>
    </w:p>
    <w:p w14:paraId="4CC8745D">
      <w:pPr>
        <w:numPr>
          <w:ilvl w:val="0"/>
          <w:numId w:val="0"/>
        </w:numPr>
        <w:ind w:firstLine="640" w:firstLineChars="200"/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（5）承担县绩效评估与为民办实事考核办公室日常工作,具体组织实施全县所有关单位绩效评估和全县重点民生实事考核。会同有关部门组织贯彻实施国家、省、市表彰奖励制度和拟订县级表彰奖励制度,根据授权承办县级及以上表彰奖励活动相关工作,承担全县评比达标表彰有关工作。</w:t>
      </w:r>
    </w:p>
    <w:p w14:paraId="39285B49">
      <w:pPr>
        <w:numPr>
          <w:ilvl w:val="0"/>
          <w:numId w:val="0"/>
        </w:numPr>
        <w:ind w:firstLine="640" w:firstLineChars="200"/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（6）完成县委、县政府交办的其他任务。</w:t>
      </w:r>
    </w:p>
    <w:p w14:paraId="6793DA14">
      <w:pPr>
        <w:numPr>
          <w:ilvl w:val="0"/>
          <w:numId w:val="0"/>
        </w:numPr>
        <w:ind w:firstLine="640" w:firstLineChars="200"/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2、机构设置</w:t>
      </w:r>
    </w:p>
    <w:p w14:paraId="2AA0F72C">
      <w:pPr>
        <w:numPr>
          <w:ilvl w:val="0"/>
          <w:numId w:val="0"/>
        </w:numPr>
        <w:spacing w:line="520" w:lineRule="exact"/>
        <w:ind w:firstLine="960" w:firstLineChars="300"/>
        <w:rPr>
          <w:rFonts w:hint="default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道县</w:t>
      </w:r>
      <w:r>
        <w:rPr>
          <w:rFonts w:hint="eastAsia" w:ascii="仿宋_GB2312" w:hAnsi="仿宋_GB2312" w:eastAsia="仿宋_GB2312" w:cs="仿宋_GB2312"/>
          <w:sz w:val="32"/>
          <w:szCs w:val="32"/>
        </w:rPr>
        <w:t>人力资源和社会保障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局</w:t>
      </w:r>
      <w:r>
        <w:rPr>
          <w:rFonts w:hint="eastAsia" w:ascii="仿宋_GB2312" w:hAnsi="仿宋_GB2312" w:eastAsia="仿宋_GB2312" w:cs="仿宋_GB2312"/>
          <w:sz w:val="32"/>
          <w:szCs w:val="32"/>
        </w:rPr>
        <w:t>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是全额拨款行政单位，内设办公室（综合调研室）、人事教育股、行政审批股、财务审计股、法规股（信访维稳室）、促进就业与失业保险股（加挂“道县就业和农民工工作领导小组办公室”牌子）、人力资源流动管理股、职业能力建设股（教育培训股）、专业技术人员管理股（加挂“道县职称改革工作领导小组”牌子）、事业单位人事管理股、劳动关系股、工资福利与退休人员管理股、工伤保险股（加挂“道县劳动能力鉴定委员会办公室”牌子）、社会养老保险股、社会保险基金监督股等15个股室。</w:t>
      </w:r>
    </w:p>
    <w:p w14:paraId="1312A1F6">
      <w:pPr>
        <w:numPr>
          <w:ilvl w:val="0"/>
          <w:numId w:val="1"/>
        </w:numPr>
        <w:ind w:firstLine="640" w:firstLineChars="200"/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部门年度整体支出绩效目标</w:t>
      </w:r>
    </w:p>
    <w:p w14:paraId="667ECA1D">
      <w:pPr>
        <w:numPr>
          <w:ilvl w:val="0"/>
          <w:numId w:val="0"/>
        </w:numPr>
        <w:ind w:firstLine="640" w:firstLineChars="200"/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目标1：完成事业单位工作人员录用任务。</w:t>
      </w:r>
    </w:p>
    <w:p w14:paraId="79CE8160">
      <w:pPr>
        <w:numPr>
          <w:ilvl w:val="0"/>
          <w:numId w:val="0"/>
        </w:numPr>
        <w:ind w:firstLine="640" w:firstLineChars="200"/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目标2：强化劳动争议调处、做好劳动保障监察执法、做好根治欠薪工作、劳动关系协调和劳动争议处理工作。</w:t>
      </w:r>
    </w:p>
    <w:p w14:paraId="2184F7EB">
      <w:pPr>
        <w:numPr>
          <w:ilvl w:val="0"/>
          <w:numId w:val="0"/>
        </w:numPr>
        <w:ind w:firstLine="640" w:firstLineChars="200"/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目标3：做好机关、事业单位的工资福利和工作人员的退休、退职工作。　</w:t>
      </w:r>
    </w:p>
    <w:p w14:paraId="50442D20">
      <w:pPr>
        <w:numPr>
          <w:ilvl w:val="0"/>
          <w:numId w:val="2"/>
        </w:numPr>
        <w:adjustRightInd w:val="0"/>
        <w:snapToGrid w:val="0"/>
        <w:spacing w:line="600" w:lineRule="exact"/>
        <w:ind w:firstLine="640" w:firstLineChars="200"/>
        <w:rPr>
          <w:rFonts w:hint="eastAsia" w:ascii="Calibri" w:hAnsi="Calibri" w:eastAsia="黑体" w:cs="Times New Roman"/>
          <w:sz w:val="32"/>
          <w:szCs w:val="32"/>
        </w:rPr>
      </w:pPr>
      <w:r>
        <w:rPr>
          <w:rFonts w:hint="eastAsia" w:ascii="Calibri" w:hAnsi="Calibri" w:eastAsia="黑体" w:cs="Times New Roman"/>
          <w:sz w:val="32"/>
          <w:szCs w:val="32"/>
        </w:rPr>
        <w:t>一般公共预算支出情况</w:t>
      </w:r>
    </w:p>
    <w:p w14:paraId="69443819"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2025年道县人力资源和社会保障局一般公共预算支出1041.69万元，其中：基本支出819.28万元，项目支出221.41万元。</w:t>
      </w:r>
    </w:p>
    <w:p w14:paraId="128780DC"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default" w:ascii="Calibri" w:hAnsi="Calibri" w:eastAsia="黑体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(一)基本支出情况</w:t>
      </w:r>
    </w:p>
    <w:p w14:paraId="634EDFB8">
      <w:pPr>
        <w:ind w:firstLine="640" w:firstLineChars="200"/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 xml:space="preserve">2025年度财政拨款基本支出819.28万元，其中:工资福利支出592.9万元，包括基本工资326.95万元、津贴补贴116.16万元、奖金5.98万元、绩效工资29.17万元、机关事业单位基本养老保险缴费72.48万元、职工基本医疗保险42.15万元；商品和服务支出89.78万元，包括办公费10万元、印刷费10万元、水费2.4万元、电费14.3万元、邮电费1万元、物业管理费10万元、差旅费11.5万元、维修（护）费4万元、会议费1万元、培训费1万元、劳务费2万元、工会经费20万元、福利费2万元、其他商品和服务支出0.58万元；对个人和家庭的补助136.61万元，包括抚恤金18.83万元、生活补助9.23万元、奖励金108.54万元。 </w:t>
      </w:r>
    </w:p>
    <w:p w14:paraId="44E521FE">
      <w:pPr>
        <w:numPr>
          <w:ilvl w:val="0"/>
          <w:numId w:val="1"/>
        </w:numPr>
        <w:ind w:left="0" w:leftChars="0" w:firstLine="640" w:firstLineChars="200"/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项目支出情况</w:t>
      </w:r>
    </w:p>
    <w:p w14:paraId="0B960A3C">
      <w:pPr>
        <w:numPr>
          <w:ilvl w:val="0"/>
          <w:numId w:val="0"/>
        </w:numPr>
        <w:ind w:firstLine="640" w:firstLineChars="200"/>
        <w:rPr>
          <w:rFonts w:hint="default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default" w:ascii="Calibri" w:hAnsi="Calibri" w:eastAsia="仿宋_GB2312" w:cs="Times New Roman"/>
          <w:sz w:val="32"/>
          <w:szCs w:val="32"/>
          <w:lang w:val="en-US" w:eastAsia="zh-CN"/>
        </w:rPr>
        <w:t>一般公共预算财政拨款项目支出</w:t>
      </w: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222.41</w:t>
      </w:r>
      <w:r>
        <w:rPr>
          <w:rFonts w:hint="default" w:ascii="Calibri" w:hAnsi="Calibri" w:eastAsia="仿宋_GB2312" w:cs="Times New Roman"/>
          <w:sz w:val="32"/>
          <w:szCs w:val="32"/>
          <w:lang w:val="en-US" w:eastAsia="zh-CN"/>
        </w:rPr>
        <w:t>万元，</w:t>
      </w: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明细</w:t>
      </w:r>
      <w:r>
        <w:rPr>
          <w:rFonts w:hint="default" w:ascii="Calibri" w:hAnsi="Calibri" w:eastAsia="仿宋_GB2312" w:cs="Times New Roman"/>
          <w:sz w:val="32"/>
          <w:szCs w:val="32"/>
          <w:lang w:val="en-US" w:eastAsia="zh-CN"/>
        </w:rPr>
        <w:t>如下</w:t>
      </w: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：1、社会保险基金第三方审计经费8.65万元；2、事业单位工作人员培训工作经费35</w:t>
      </w:r>
      <w:r>
        <w:rPr>
          <w:rFonts w:hint="default" w:ascii="Calibri" w:hAnsi="Calibri" w:eastAsia="仿宋_GB2312" w:cs="Times New Roman"/>
          <w:sz w:val="32"/>
          <w:szCs w:val="32"/>
          <w:lang w:val="en-US" w:eastAsia="zh-CN"/>
        </w:rPr>
        <w:t>万</w:t>
      </w: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元；3、春节走访慰问费1.5万元；4、全县重点民生实事项目工作经费7万元；5、社保基金监管及仲裁办案专项工作经费10.5万元；6、车补19.99万元；7、劳动保障监察协理员工作生活补贴20万元；8、三支一扶人员工作生活补贴县级配套（核拨）75.78万元；9、三支一扶人员工作生活补贴-上级指标44万元。</w:t>
      </w:r>
    </w:p>
    <w:p w14:paraId="6B54894D">
      <w:pPr>
        <w:numPr>
          <w:ilvl w:val="0"/>
          <w:numId w:val="2"/>
        </w:numPr>
        <w:adjustRightInd w:val="0"/>
        <w:snapToGrid w:val="0"/>
        <w:spacing w:line="600" w:lineRule="exact"/>
        <w:ind w:firstLine="640" w:firstLineChars="200"/>
        <w:rPr>
          <w:rFonts w:hint="eastAsia" w:ascii="Calibri" w:hAnsi="Calibri" w:eastAsia="黑体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黑体" w:cs="Times New Roman"/>
          <w:sz w:val="32"/>
          <w:szCs w:val="32"/>
          <w:lang w:val="en-US" w:eastAsia="zh-CN"/>
        </w:rPr>
        <w:t>政府性基金预算支出情况</w:t>
      </w:r>
    </w:p>
    <w:p w14:paraId="43490C62">
      <w:pPr>
        <w:numPr>
          <w:ilvl w:val="0"/>
          <w:numId w:val="0"/>
        </w:numPr>
        <w:ind w:leftChars="200"/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 xml:space="preserve"> 2025年本单位无政府性基金预算支出。</w:t>
      </w:r>
    </w:p>
    <w:p w14:paraId="4931F466">
      <w:pPr>
        <w:numPr>
          <w:ilvl w:val="0"/>
          <w:numId w:val="2"/>
        </w:numPr>
        <w:adjustRightInd w:val="0"/>
        <w:snapToGrid w:val="0"/>
        <w:spacing w:line="600" w:lineRule="exact"/>
        <w:ind w:firstLine="640" w:firstLineChars="200"/>
        <w:rPr>
          <w:rFonts w:hint="default" w:ascii="Calibri" w:hAnsi="Calibri" w:eastAsia="黑体" w:cs="Times New Roman"/>
          <w:sz w:val="32"/>
          <w:szCs w:val="32"/>
          <w:lang w:val="en-US" w:eastAsia="zh-CN"/>
        </w:rPr>
      </w:pPr>
      <w:r>
        <w:rPr>
          <w:rFonts w:hint="default" w:ascii="Calibri" w:hAnsi="Calibri" w:eastAsia="黑体" w:cs="Times New Roman"/>
          <w:sz w:val="32"/>
          <w:szCs w:val="32"/>
          <w:lang w:val="en-US" w:eastAsia="zh-CN"/>
        </w:rPr>
        <w:t>国有资本经营预算支出情况</w:t>
      </w:r>
    </w:p>
    <w:p w14:paraId="37B724A2">
      <w:pPr>
        <w:numPr>
          <w:ilvl w:val="0"/>
          <w:numId w:val="0"/>
        </w:numPr>
        <w:ind w:firstLine="640" w:firstLineChars="200"/>
        <w:rPr>
          <w:rFonts w:hint="default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2025年本单位无国有资本经营预算支出。</w:t>
      </w:r>
    </w:p>
    <w:p w14:paraId="73D88AC7">
      <w:pPr>
        <w:numPr>
          <w:ilvl w:val="0"/>
          <w:numId w:val="2"/>
        </w:numPr>
        <w:adjustRightInd w:val="0"/>
        <w:snapToGrid w:val="0"/>
        <w:spacing w:line="600" w:lineRule="exact"/>
        <w:ind w:firstLine="640" w:firstLineChars="200"/>
        <w:rPr>
          <w:rFonts w:hint="eastAsia" w:ascii="Calibri" w:hAnsi="Calibri" w:eastAsia="黑体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黑体" w:cs="Times New Roman"/>
          <w:sz w:val="32"/>
          <w:szCs w:val="32"/>
          <w:lang w:val="en-US" w:eastAsia="zh-CN"/>
        </w:rPr>
        <w:t>社会保险基金预算支出情况</w:t>
      </w:r>
    </w:p>
    <w:p w14:paraId="4641AA93">
      <w:pPr>
        <w:numPr>
          <w:ilvl w:val="0"/>
          <w:numId w:val="0"/>
        </w:numPr>
        <w:ind w:firstLine="640" w:firstLineChars="200"/>
        <w:rPr>
          <w:rFonts w:hint="default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2025年本单位无社会保险基金预算支出。</w:t>
      </w:r>
    </w:p>
    <w:p w14:paraId="6F61DDF7">
      <w:pPr>
        <w:numPr>
          <w:ilvl w:val="0"/>
          <w:numId w:val="2"/>
        </w:numPr>
        <w:adjustRightInd w:val="0"/>
        <w:snapToGrid w:val="0"/>
        <w:spacing w:line="600" w:lineRule="exact"/>
        <w:ind w:firstLine="640" w:firstLineChars="200"/>
        <w:rPr>
          <w:rFonts w:hint="eastAsia" w:ascii="Calibri" w:hAnsi="Calibri" w:eastAsia="黑体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黑体" w:cs="Times New Roman"/>
          <w:sz w:val="32"/>
          <w:szCs w:val="32"/>
          <w:lang w:val="en-US" w:eastAsia="zh-CN"/>
        </w:rPr>
        <w:t>部门整体支出绩效情况</w:t>
      </w:r>
    </w:p>
    <w:p w14:paraId="033679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alibri" w:hAnsi="Calibri" w:eastAsia="仿宋_GB2312" w:cs="Times New Roman"/>
          <w:sz w:val="32"/>
          <w:szCs w:val="32"/>
          <w:lang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2025年</w:t>
      </w:r>
      <w:r>
        <w:rPr>
          <w:rFonts w:hint="eastAsia" w:ascii="Calibri" w:hAnsi="Calibri" w:eastAsia="仿宋_GB2312" w:cs="Times New Roman"/>
          <w:sz w:val="32"/>
          <w:szCs w:val="32"/>
          <w:lang w:eastAsia="zh-CN"/>
        </w:rPr>
        <w:t>我局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在市局精心指导下，在县委、县政府的正确领导下，我局始终坚持以习近平新时代中国特色社会主义思想为指导，全面贯彻落实党中央、国务院决策部署，认真践行以人民为中心的发展思想，坚持在发展中保障和改善民生。</w:t>
      </w:r>
      <w:r>
        <w:rPr>
          <w:rFonts w:hint="eastAsia" w:ascii="Calibri" w:hAnsi="Calibri" w:eastAsia="仿宋_GB2312" w:cs="Times New Roman"/>
          <w:sz w:val="32"/>
          <w:szCs w:val="32"/>
          <w:lang w:eastAsia="zh-CN"/>
        </w:rPr>
        <w:t>一是招聘选聘和人才引进工作有序开展，坚持“逢进必考”原则，严格报名、笔试、面试、体检、考察等程序，年内公开招聘县直单位工作人员</w:t>
      </w: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35</w:t>
      </w:r>
      <w:r>
        <w:rPr>
          <w:rFonts w:hint="eastAsia" w:ascii="Calibri" w:hAnsi="Calibri" w:eastAsia="仿宋_GB2312" w:cs="Times New Roman"/>
          <w:sz w:val="32"/>
          <w:szCs w:val="32"/>
          <w:lang w:eastAsia="zh-CN"/>
        </w:rPr>
        <w:t>名；二是规范审批职工福利，年内考核正常晋升工资</w:t>
      </w: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1.2</w:t>
      </w:r>
      <w:r>
        <w:rPr>
          <w:rFonts w:hint="eastAsia" w:ascii="Calibri" w:hAnsi="Calibri" w:eastAsia="仿宋_GB2312" w:cs="Times New Roman"/>
          <w:sz w:val="32"/>
          <w:szCs w:val="32"/>
          <w:lang w:eastAsia="zh-CN"/>
        </w:rPr>
        <w:t>万人次，办理退休手续</w:t>
      </w: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500余</w:t>
      </w:r>
      <w:r>
        <w:rPr>
          <w:rFonts w:hint="eastAsia" w:ascii="Calibri" w:hAnsi="Calibri" w:eastAsia="仿宋_GB2312" w:cs="Times New Roman"/>
          <w:sz w:val="32"/>
          <w:szCs w:val="32"/>
          <w:lang w:eastAsia="zh-CN"/>
        </w:rPr>
        <w:t>人，完成职称评审任务</w:t>
      </w: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523人次</w:t>
      </w:r>
      <w:r>
        <w:rPr>
          <w:rFonts w:hint="eastAsia" w:ascii="Calibri" w:hAnsi="Calibri" w:eastAsia="仿宋_GB2312" w:cs="Times New Roman"/>
          <w:sz w:val="32"/>
          <w:szCs w:val="32"/>
          <w:lang w:eastAsia="zh-CN"/>
        </w:rPr>
        <w:t>；三是构建新时代和谐劳动关系，受理劳资纠纷案件</w:t>
      </w: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70起</w:t>
      </w:r>
      <w:r>
        <w:rPr>
          <w:rFonts w:hint="eastAsia" w:ascii="Calibri" w:hAnsi="Calibri" w:eastAsia="仿宋_GB2312" w:cs="Times New Roman"/>
          <w:sz w:val="32"/>
          <w:szCs w:val="32"/>
          <w:lang w:eastAsia="zh-CN"/>
        </w:rPr>
        <w:t>，办结</w:t>
      </w: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65起</w:t>
      </w:r>
      <w:r>
        <w:rPr>
          <w:rFonts w:hint="eastAsia" w:ascii="Calibri" w:hAnsi="Calibri" w:eastAsia="仿宋_GB2312" w:cs="Times New Roman"/>
          <w:sz w:val="32"/>
          <w:szCs w:val="32"/>
          <w:lang w:eastAsia="zh-CN"/>
        </w:rPr>
        <w:t>。</w:t>
      </w:r>
    </w:p>
    <w:p w14:paraId="284AC9E0">
      <w:pPr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640" w:firstLineChars="200"/>
        <w:rPr>
          <w:rFonts w:hint="eastAsia" w:ascii="黑体" w:hAnsi="Calibri" w:eastAsia="黑体" w:cs="Times New Roman"/>
          <w:sz w:val="32"/>
          <w:szCs w:val="32"/>
        </w:rPr>
      </w:pPr>
      <w:r>
        <w:rPr>
          <w:rFonts w:hint="eastAsia" w:ascii="黑体" w:hAnsi="Calibri" w:eastAsia="黑体" w:cs="Times New Roman"/>
          <w:sz w:val="32"/>
          <w:szCs w:val="32"/>
        </w:rPr>
        <w:t>存在的问题及原因分析</w:t>
      </w:r>
    </w:p>
    <w:p w14:paraId="000FE9ED"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企业用工难以缓解，劳动维权压力较大，民生诉求处理较难，便民服务有待提升，相关管理制度还有待进一步完善，运转经费困难。</w:t>
      </w:r>
    </w:p>
    <w:p w14:paraId="38435C92"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="Calibri" w:hAnsi="Calibri" w:eastAsia="黑体" w:cs="Times New Roman"/>
          <w:sz w:val="32"/>
          <w:szCs w:val="32"/>
        </w:rPr>
      </w:pPr>
      <w:r>
        <w:rPr>
          <w:rFonts w:hint="eastAsia" w:ascii="黑体" w:hAnsi="Calibri" w:eastAsia="黑体" w:cs="Times New Roman"/>
          <w:sz w:val="32"/>
          <w:szCs w:val="32"/>
          <w:lang w:val="en-US" w:eastAsia="zh-CN"/>
        </w:rPr>
        <w:t>八、</w:t>
      </w:r>
      <w:r>
        <w:rPr>
          <w:rFonts w:hint="eastAsia" w:ascii="黑体" w:hAnsi="Calibri" w:eastAsia="黑体" w:cs="Times New Roman"/>
          <w:sz w:val="32"/>
          <w:szCs w:val="32"/>
        </w:rPr>
        <w:t>下一步改</w:t>
      </w:r>
      <w:r>
        <w:rPr>
          <w:rFonts w:hint="eastAsia" w:ascii="Calibri" w:hAnsi="Calibri" w:eastAsia="黑体" w:cs="Times New Roman"/>
          <w:sz w:val="32"/>
          <w:szCs w:val="32"/>
        </w:rPr>
        <w:t>进措施</w:t>
      </w:r>
    </w:p>
    <w:p w14:paraId="53293DD4"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1、加强领导，改善服务，加强队伍建设，抓好绩效评价管理部门的队伍建设和业务指导，培养部门的绩效管理队伍，建立绩效评价的长期机制。进一步明确工作职责，工作内容，成立有效的工作机制，保障项目的顺利推进。</w:t>
      </w:r>
    </w:p>
    <w:p w14:paraId="6767003B"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2、明确职责，加强项目管理。一是应针对每一个项目制定工作目标，科学编制和细化预算，做到预算有目标，执行有细则，控制专项支出，提高资金的使用效益；</w:t>
      </w:r>
    </w:p>
    <w:p w14:paraId="05A1AB79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3、财务部门应加强与各部门的沟通，了解具体的事项，合理安排资金支付，提高财务核算的准确性，加强人才队伍建设，提高业务能力水平，加强社会保障建设。</w:t>
      </w:r>
    </w:p>
    <w:p w14:paraId="4322EDB4"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="黑体" w:hAnsi="Calibri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Calibri" w:eastAsia="黑体" w:cs="Times New Roman"/>
          <w:sz w:val="32"/>
          <w:szCs w:val="32"/>
          <w:lang w:val="en-US" w:eastAsia="zh-CN"/>
        </w:rPr>
        <w:t>九、绩效自评结果拟应用和公开情况</w:t>
      </w:r>
    </w:p>
    <w:p w14:paraId="044C79AE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本年度绩效自评结果为87分，按规定时间内将2025年度专项资金绩效自评报告、整体部门支出绩效自评报告在单位预决算公开的网站公开，并接受社会监督。</w:t>
      </w:r>
    </w:p>
    <w:p w14:paraId="5A1CA63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D283B5"/>
    <w:multiLevelType w:val="singleLevel"/>
    <w:tmpl w:val="09D283B5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475B6DD"/>
    <w:multiLevelType w:val="singleLevel"/>
    <w:tmpl w:val="3475B6DD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D1637F"/>
    <w:rsid w:val="17D16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2026-09-10T00:53:00Z</dcterms:created>
  <dc:creator>肋11</dc:creator>
  <cp:lastModifiedBy>肋11</cp:lastModifiedBy>
  <dcterms:modified xsi:type="dcterms:W3CDTF">2026-09-10T00:55:30Z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2359C0A592F8441EAA6A54BE6D76110A_11</vt:lpwstr>
  </property>
  <property fmtid="{D5CDD505-2E9C-101B-9397-08002B2CF9AE}" pid="4" name="KSOTemplateDocerSaveRecord">
    <vt:lpwstr>eyJoZGlkIjoiZjZiZWFjM2EzZmNiYzVkOWRkMzgyMzFjZTNhZmJjMjciLCJ1c2VySWQiOiIyOTc0MjEwOTgifQ==</vt:lpwstr>
  </property>
</Properties>
</file>