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道县发展和改革局</w:t>
      </w:r>
      <w:r>
        <w:rPr>
          <w:rFonts w:hint="eastAsia" w:ascii="方正小标宋_GBK" w:hAnsi="方正小标宋_GBK" w:eastAsia="方正小标宋_GBK" w:cs="方正小标宋_GBK"/>
          <w:sz w:val="84"/>
          <w:szCs w:val="84"/>
        </w:rPr>
        <w:t>部门决算</w:t>
      </w:r>
    </w:p>
    <w:p>
      <w:pPr>
        <w:pStyle w:val="15"/>
        <w:jc w:val="center"/>
        <w:rPr>
          <w:rFonts w:hint="eastAsia" w:ascii="方正小标宋_GBK" w:hAns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spacing w:line="540" w:lineRule="exact"/>
        <w:jc w:val="center"/>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道县发展和改革局</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5"/>
        <w:spacing w:line="500" w:lineRule="exact"/>
        <w:rPr>
          <w:rFonts w:hint="eastAsia" w:ascii="黑体" w:hAnsi="黑体" w:eastAsia="黑体" w:cs="黑体"/>
          <w:b w:val="0"/>
          <w:bCs/>
          <w:sz w:val="28"/>
          <w:szCs w:val="28"/>
        </w:rPr>
      </w:pPr>
    </w:p>
    <w:p>
      <w:pPr>
        <w:jc w:val="center"/>
        <w:rPr>
          <w:sz w:val="72"/>
          <w:szCs w:val="72"/>
        </w:rPr>
      </w:pPr>
    </w:p>
    <w:p>
      <w:pPr>
        <w:pStyle w:val="3"/>
        <w:ind w:left="0" w:leftChars="0" w:firstLine="0" w:firstLineChars="0"/>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7"/>
        <w:rPr>
          <w:rFonts w:hint="eastAsia"/>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道县发展和改革局</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jc w:val="both"/>
        <w:rPr>
          <w:sz w:val="72"/>
          <w:szCs w:val="72"/>
        </w:rPr>
      </w:pPr>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800" w:firstLineChars="25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（一）拟订并组织实施全县国民经济和社会发展战略、中长期规划和年度计划。统筹协调相关总体规划、区域规划与专项规划,牵头组织统一规划体系建设,负责全县专项规划、区域规划</w:t>
      </w:r>
      <w:r>
        <w:rPr>
          <w:rFonts w:hint="eastAsia" w:ascii="Times New Roman" w:hAnsi="Times New Roman" w:eastAsia="仿宋_GB2312" w:cs="仿宋_GB2312"/>
          <w:sz w:val="32"/>
          <w:szCs w:val="32"/>
          <w:lang w:eastAsia="zh-CN"/>
        </w:rPr>
        <w:t>、空间规划与全市发展规划的统筹衔接。研究拟订全县国民经济和社会发展、经济体制改革和对外开放的有关制度，协调解决有关重大问题。受县人民政府委托负责向县人民代表大会提交国民经济和社会发展计划的报告。</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提出加快建设现代化经济体系、推动高质量发展的总体目标、重大任务以及相关政策措施。组织开展重大战略规划、重大政策、重大工程等评估督导，提出相关调整建议。协调促进民营经济发展，推动现代产业体系建设。</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统筹提出全县国民经济和社会发展主要目标，监测预测预警宏观经济和社会发展态势趋势，提出宏观调控政策建议。综合协调宏观经济政策，牵头研究宏观经济应对措施。调节经济运行,协调解决经济运行中的重大问题。参与拟订财政政策措施、土地政策措施等。</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负责推进和综合协调全县经济体制改革有关工作，提出相关改革建议，牵头推进供给侧结构性改革，协调推进产权制度和要素市场化配置改革。推动完善基本经济制度和现代市场体系建设，会同相关部门组织实施市场准入负面清单制度。</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(五)提出全县利用外资和境外投资的战略、规划、总量平衡和结构优化的政策措施。牵头推进实施“一带一路”建设。统筹协调走出去有关工作。负责全县全口径外债的总量控制、结构优化和监测工作。</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投资综合管理，拟订全县固定资产投资总规模、结构调控目标、政策措施，会同有关部门拟订政府投资项目审批权限和政府核准的固定资产投资项目目录。统筹安排中央、省、市、县预算内基本建设资金，按规定权限审批、核准、审核、备案重大项目。规划全县重大建设项目和生产力布局。拟订并推动落实鼓励民间投资政策措施。负责政府投资项目代建制实施的指导、协调和监督管理。指导工程咨询业发展。</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推进落实区域协调发展战略和重大政策，组织拟订相关区域规划和政策措施。统筹推进实施国家和省市县重大区域发展战略。贯彻落实国家西部开发、中部崛起、长江经济带发展的相关政策措施，统筹推进“一带一部”区域发展。协调推进两型社会建设。组织拟订和实施特殊困难地区发展规划和政策措施，组织实施易地扶贫搬迁等。组织编制并推动实施新型城镇化规划。参与研究拟订全县新型城镇化发展战略和重大政策措施，协调配合做好相关工作。制定开发区发展规划和政策措施。统筹协调区域合作和对口支援工作。</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组织拟订综合性产业政策措施。负责协调一二三产业发展的重大问题并统筹衔接相关发展规划和重大政策。协调推进重大基础设施建设,组织拟订并推动实施服务业及现代物流业发展规划和重大政策措施。综合研判消费变动趋势，拟订实施促进消费的综合性政策措施。</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推动实施创新驱动发展战略。会同相关部门拟订推进创新创业的规划和政策措施，提出创新发展和培育经济发展新动能的政策措施。研究提出产业集群发展相关政策措施。会同相关部门规划布局全县重大科技基础设施。组织拟订并推动实施高新技术产业和战略性新兴产业发展规划政策措施，协调产业升级、重大技术装备推广应用等方面的重大问题。协调促进民营经济发展，推动现代化产业体系建设。</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跟踪研判涉及经济安全、生态安全、资源安全、科技安全、社会安全等各类风险隐患，提出相关工作建议。承担经济、生态、资源等重点领域国家安全工作协调机制相关工作。负责重要商品总量平衡和宏观调控，提出重要工业品、原材料和重要农产品进出口调控建议并做好相关工作。会同有关部门拟订县级储备物资品种目录、总体发展规划。</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负责社会发展与国民经济发展的政策衔接，协调有关重大问题。组织拟订社会发展战略、总体规划，统筹推进基本公共服务体系建设和收入分配制度改革，提出促进就业、完善社会保障与经济协调发展的政策建议。</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二)推进实施可持续发展战略，推动生态文明建设和改革，协调生态环境保护与修复、能源资源节约和综合利用等工作。提出健全生态保护补偿机制的政策措施，综合协调节能环保产业和清洁生产促进有关工作。提出能源消费控制目标、任务并组织实施。</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三)拟订并组织实施有关价格政策措施，组织制定少数由县级管理的重要商品、服务价格和重要收费标准意见。监测、分析市场价格形势，组织实施价格总水平控制;管理国家、省、市、县列名管理的商品和服务价格。负责价格成本调查和监审。</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(十四)牵头组织监督公共资源交易活动。</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(十五)会同有关部门拟订推进全县经济建设与国防建设协调发展的战略和规划，协调有关重大问题。推动实施军民融合发展战略，组织编制全县国民经济动员规划，协调和组织实施全县国民经济动员有关工作。</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六)起草全县能源发展和有关监督管理的规范性文件草案，拟订并组织实施全县能源发展战略、规划和政策措施，推进全县能源体制改革，协调相关重大问题。负责全县能源行业节能和资源综合利用，参与研究全县能源消费总量控制目标建议，指导、监督能源消费总量控制工作,衔接能源生产建设和供需平衡。组织实施煤炭、石油、天然气、电力、新能源和可再生能源等能源，以及炼油、煤制燃料、燃料乙醇的产业政策措施及相关标准意见，实施对煤电油气等能源和新能源的管理。按照规定权限审批、核准、备案、审核、上报全县能源固定资产投资项目。指导协调农村能源发展工作。拟定并组织实施煤炭发展战略。负责能源预测预警，发布能源信息，参与能源运行调节和应急保障，负责县内石油和天然气储备管理工作。负责石油、天然气管道保护相关工作。组织推进全县能源重大设备研发及相关重大科技项目，指导能源科技进步和引进消化创新，组织协调相关重大示范工程和推广应用新产品、新技术、新设备。负责核电的规划、布局、审核、救援、管理等工作。组织推进全县能源对外合作，负责起草县政府对外能源战略合作政策的协议，协调能源合作中的重大问题。研究提出电力普遍服务政策的建议并监督实施，参与制定与能源相关的资源、财税、环保等政策措施，提出能源价格调整建议，参与能源有关价格执行情况监督检查。承担县能源委员会具体工作，负责全县能源发展战略决策的综合协调和服务保障，推动建立健全协调联动机制。</w:t>
      </w:r>
    </w:p>
    <w:p>
      <w:pPr>
        <w:ind w:firstLine="1120" w:firstLineChars="3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七)拟订粮食流通和物资储备管理有关规定并监督执行。拟订全县粮食市场体系建设与发展规划，承担全县粮食流通宏观调控的具体工作。拟订粮食流通和物资储备体制改革方案并组织实施。研究提出全县战略物资储备规划、全县储备品种目录的建议。根据全县储备总体发展规划和品种目录，组织实施全县战略和应急储备物资的收储、轮换和日常管理，落实有关动用计划和指令。管理全县粮食、棉花和食糖储备，负责县级储备粮棉行政管理。监测粮食和战略物资供求变化并预测预警。指导协调政策性粮食购销和粮食产销合作，保障军队粮食供应，组织实施粮食和物资储备仓储管理有关技术标准和规范。负责全县粮食流通、加工行业安全生产工作的监督管理，承担所属物资储备承储单位安全生产的监管责任。根据国家、省、市与县储备总体发展规划，统一负责储备基础设施建设和管理。拟订全县储备基础设施、粮食流通设施建设规划并组织实施，管理有关储备基础设施和粮食流通设施投资项目。负责对管理的政府储备、企业储备以及储备政策落实情况进行监督检查。负责粮食流通监督检查，负责粮食收购、储存、运输环节粮食质量安全和原粮卫生的监督管理，组织实施粮食库存检查工作。负责粮食流通行业管理，制定行业发展规划、政策措施，组织实施粮食流通和物资储备及粮食质量等有关标准意见，监督执行有关技术规范。负责实施粮食收购行政许可的有关行政管理，负责协调推进粮食产业发展有关工作。负责粮食和物资储备的对外合作与交流。</w:t>
      </w:r>
    </w:p>
    <w:p>
      <w:pPr>
        <w:ind w:firstLine="1120" w:firstLineChars="3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(十八)履行深化国防动员体制改革明确的工作职责。</w:t>
      </w:r>
    </w:p>
    <w:p>
      <w:pPr>
        <w:ind w:firstLine="1120" w:firstLineChars="3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(十九)完成县委和县政府交办的其他任务。</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32"/>
          <w:szCs w:val="32"/>
          <w:u w:val="none"/>
          <w:lang w:val="en-US" w:eastAsia="zh-CN" w:bidi="ar"/>
        </w:rPr>
        <w:t>道县发改局内设机构10个：办公室（政工股）、综合规划和社会发展股、法规股（县公共资源交易管理委员会办公室）、固定资产投资股（加挂重大项目前期工作办公室牌子）、农村经济股、工交服务业股（县国民经济动员办公室）、能源股（挂道县能源局牌子）、资源节约和环境保护股（县节能减排工作领导小组办公室，加挂县节能监察中心牌子）、重大项目稽察股、价格管理股（道县价格调节基金管理办公室）下属事业单位3个：道县重点建设工程领导小组办公室（副科级公益一类事业单位）、价格认证中心（正股级公益一类事业单位）、价格监测中心（正股级公益一类单位）。行政编制23人，事业编制17人，工勤编制2人，实有财政拨款人员42人</w:t>
      </w:r>
      <w:r>
        <w:rPr>
          <w:rFonts w:hint="eastAsia" w:ascii="仿宋" w:hAnsi="仿宋" w:eastAsia="仿宋" w:cs="仿宋"/>
          <w:i w:val="0"/>
          <w:iCs w:val="0"/>
          <w:color w:val="000000"/>
          <w:kern w:val="0"/>
          <w:sz w:val="24"/>
          <w:szCs w:val="24"/>
          <w:u w:val="none"/>
          <w:lang w:val="en-US" w:eastAsia="zh-CN" w:bidi="ar"/>
        </w:rPr>
        <w:t xml:space="preserve">。  </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决算单位构成。</w:t>
      </w:r>
      <w:r>
        <w:rPr>
          <w:rFonts w:hint="eastAsia" w:ascii="Times New Roman" w:hAnsi="Times New Roman" w:eastAsia="仿宋_GB2312" w:cs="仿宋_GB2312"/>
          <w:bCs/>
          <w:kern w:val="0"/>
          <w:sz w:val="32"/>
          <w:szCs w:val="32"/>
          <w:lang w:eastAsia="zh-CN"/>
        </w:rPr>
        <w:t>道县发展和改革局</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道县发展和改革局</w:t>
      </w:r>
      <w:r>
        <w:rPr>
          <w:rFonts w:hint="eastAsia" w:eastAsia="仿宋_GB2312"/>
          <w:sz w:val="32"/>
          <w:szCs w:val="32"/>
          <w:lang w:eastAsia="zh-CN"/>
        </w:rPr>
        <w:t>没有其他二级预算单位，只有</w:t>
      </w:r>
      <w:r>
        <w:rPr>
          <w:rFonts w:hint="eastAsia" w:ascii="Times New Roman" w:hAnsi="Times New Roman" w:eastAsia="仿宋_GB2312" w:cs="仿宋_GB2312"/>
          <w:bCs/>
          <w:kern w:val="0"/>
          <w:sz w:val="32"/>
          <w:szCs w:val="32"/>
          <w:lang w:eastAsia="zh-CN"/>
        </w:rPr>
        <w:t>道县发展和改革局</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pStyle w:val="15"/>
        <w:jc w:val="both"/>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78"/>
        <w:gridCol w:w="278"/>
        <w:gridCol w:w="753"/>
        <w:gridCol w:w="2370"/>
        <w:gridCol w:w="1050"/>
        <w:gridCol w:w="1155"/>
        <w:gridCol w:w="1566"/>
        <w:gridCol w:w="1805"/>
        <w:gridCol w:w="1189"/>
        <w:gridCol w:w="1680"/>
        <w:gridCol w:w="3304"/>
      </w:tblGrid>
      <w:tr>
        <w:tblPrEx>
          <w:tblCellMar>
            <w:top w:w="0" w:type="dxa"/>
            <w:left w:w="0" w:type="dxa"/>
            <w:bottom w:w="0" w:type="dxa"/>
            <w:right w:w="0" w:type="dxa"/>
          </w:tblCellMar>
        </w:tblPrEx>
        <w:trPr>
          <w:trHeight w:val="435" w:hRule="atLeast"/>
        </w:trPr>
        <w:tc>
          <w:tcPr>
            <w:tcW w:w="15428"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7"/>
              <w:gridCol w:w="582"/>
              <w:gridCol w:w="1334"/>
              <w:gridCol w:w="4767"/>
              <w:gridCol w:w="1546"/>
              <w:gridCol w:w="491"/>
              <w:gridCol w:w="595"/>
              <w:gridCol w:w="1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07"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8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34"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76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037"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71"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0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8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3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6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37"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07"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部门：道县发展和改革局</w:t>
                  </w:r>
                </w:p>
              </w:tc>
              <w:tc>
                <w:tcPr>
                  <w:tcW w:w="58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3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6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37"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612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99"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62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1428.91</w:t>
                  </w:r>
                </w:p>
              </w:tc>
              <w:tc>
                <w:tcPr>
                  <w:tcW w:w="4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860.59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125.35</w:t>
                  </w:r>
                </w:p>
              </w:tc>
              <w:tc>
                <w:tcPr>
                  <w:tcW w:w="4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eastAsia="zh-CN"/>
                    </w:rPr>
                    <w:t>八、社会保障和就业支出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20</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62.94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九、卫生健康支出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sz w:val="22"/>
                      <w:szCs w:val="22"/>
                      <w:u w:val="none"/>
                      <w:lang w:eastAsia="zh-CN"/>
                    </w:rPr>
                    <w:t>十一、城乡社区支出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22</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i w:val="0"/>
                      <w:color w:val="000000"/>
                      <w:kern w:val="2"/>
                      <w:sz w:val="22"/>
                      <w:szCs w:val="22"/>
                      <w:u w:val="none"/>
                      <w:lang w:val="en-US" w:eastAsia="zh-CN" w:bidi="ar-SA"/>
                    </w:rPr>
                  </w:pPr>
                  <w:r>
                    <w:rPr>
                      <w:rFonts w:hint="eastAsia" w:ascii="宋体" w:hAnsi="宋体" w:eastAsia="宋体" w:cs="宋体"/>
                      <w:b w:val="0"/>
                      <w:bCs/>
                      <w:i w:val="0"/>
                      <w:color w:val="000000"/>
                      <w:kern w:val="2"/>
                      <w:sz w:val="22"/>
                      <w:szCs w:val="22"/>
                      <w:u w:val="none"/>
                      <w:lang w:val="en-US" w:eastAsia="zh-CN" w:bidi="ar-SA"/>
                    </w:rPr>
                    <w:t>46.38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二十、粮油物资储备支出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360.96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二十三、其他支出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color w:val="000000"/>
                      <w:sz w:val="20"/>
                      <w:szCs w:val="20"/>
                      <w:u w:val="none"/>
                      <w:lang w:eastAsia="zh-CN"/>
                    </w:rPr>
                  </w:pP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1554.26</w:t>
                  </w: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6" w:type="dxa"/>
                <w:trHeight w:val="62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42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1554.26</w:t>
                  </w:r>
                </w:p>
              </w:tc>
              <w:tc>
                <w:tcPr>
                  <w:tcW w:w="4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0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1554.26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12"/>
                    <w:rPr>
                      <w:rFonts w:hint="eastAsia"/>
                      <w:lang w:val="en-US" w:eastAsia="zh-CN"/>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22" w:hRule="atLeast"/>
        </w:trPr>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123"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8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3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55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123"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eastAsia="zh-CN"/>
              </w:rPr>
              <w:t>道县发展和改革局</w:t>
            </w:r>
            <w:r>
              <w:rPr>
                <w:rFonts w:hint="eastAsia"/>
              </w:rPr>
              <w:t>　</w:t>
            </w:r>
          </w:p>
        </w:tc>
        <w:tc>
          <w:tcPr>
            <w:tcW w:w="10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6"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8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3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679"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10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本年收入合计</w:t>
            </w:r>
          </w:p>
        </w:tc>
        <w:tc>
          <w:tcPr>
            <w:tcW w:w="115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财政拨款收入</w:t>
            </w:r>
          </w:p>
        </w:tc>
        <w:tc>
          <w:tcPr>
            <w:tcW w:w="15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上级补助收入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事业收入</w:t>
            </w:r>
          </w:p>
        </w:tc>
        <w:tc>
          <w:tcPr>
            <w:tcW w:w="118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经营收入</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附属单位上缴收入</w:t>
            </w:r>
          </w:p>
        </w:tc>
        <w:tc>
          <w:tcPr>
            <w:tcW w:w="33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其他收入</w:t>
            </w:r>
          </w:p>
        </w:tc>
      </w:tr>
      <w:tr>
        <w:tblPrEx>
          <w:tblCellMar>
            <w:top w:w="0" w:type="dxa"/>
            <w:left w:w="0" w:type="dxa"/>
            <w:bottom w:w="0" w:type="dxa"/>
            <w:right w:w="0" w:type="dxa"/>
          </w:tblCellMar>
        </w:tblPrEx>
        <w:trPr>
          <w:trHeight w:val="450" w:hRule="atLeast"/>
        </w:trPr>
        <w:tc>
          <w:tcPr>
            <w:tcW w:w="130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37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05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56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18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330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309"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6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8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3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679"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1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5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1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33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CellMar>
            <w:top w:w="0" w:type="dxa"/>
            <w:left w:w="0" w:type="dxa"/>
            <w:bottom w:w="0" w:type="dxa"/>
            <w:right w:w="0" w:type="dxa"/>
          </w:tblCellMar>
        </w:tblPrEx>
        <w:trPr>
          <w:trHeight w:val="450" w:hRule="atLeast"/>
        </w:trPr>
        <w:tc>
          <w:tcPr>
            <w:tcW w:w="3679"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b/>
                <w:bCs/>
                <w:i w:val="0"/>
                <w:iCs w:val="0"/>
                <w:color w:val="000000"/>
                <w:kern w:val="0"/>
                <w:sz w:val="22"/>
                <w:szCs w:val="22"/>
                <w:u w:val="none"/>
                <w:lang w:val="en-US" w:eastAsia="zh-CN" w:bidi="ar"/>
              </w:rPr>
              <w:t>1554.26</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b/>
                <w:bCs/>
                <w:i w:val="0"/>
                <w:iCs w:val="0"/>
                <w:color w:val="000000"/>
                <w:kern w:val="0"/>
                <w:sz w:val="22"/>
                <w:szCs w:val="22"/>
                <w:u w:val="none"/>
                <w:lang w:val="en-US" w:eastAsia="zh-CN" w:bidi="ar"/>
              </w:rPr>
              <w:t>1554.26</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2010401</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657.61</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657.61</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741"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2290493</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rPr>
              <w:t>其他政府性基金债务收入安排的支出</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78.97</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78.97</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2220401</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储备粮油补贴</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131.56</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131.56</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2010499</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202.98</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202.98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lang w:val="en-US" w:eastAsia="zh-CN"/>
              </w:rPr>
            </w:pPr>
            <w:r>
              <w:rPr>
                <w:rFonts w:hint="eastAsia"/>
                <w:lang w:val="en-US" w:eastAsia="zh-CN"/>
              </w:rPr>
              <w:t>2080505</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lang w:val="en-US" w:eastAsia="zh-CN"/>
              </w:rPr>
            </w:pPr>
            <w:r>
              <w:rPr>
                <w:rFonts w:hint="eastAsia"/>
                <w:lang w:val="en-US" w:eastAsia="zh-CN"/>
              </w:rPr>
              <w:t>机关事业单位基本养老保险缴</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lang w:val="en-US" w:eastAsia="zh-CN"/>
              </w:rPr>
              <w:t>45.16</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lang w:val="en-US" w:eastAsia="zh-CN"/>
              </w:rPr>
              <w:t>45.16</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eastAsia="zh-CN"/>
              </w:rPr>
            </w:pPr>
            <w:r>
              <w:rPr>
                <w:rFonts w:hint="eastAsia"/>
                <w:lang w:val="en-US" w:eastAsia="zh-CN"/>
              </w:rPr>
              <w:t>2101101</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lang w:val="en-US" w:eastAsia="zh-CN"/>
              </w:rPr>
            </w:pPr>
            <w:r>
              <w:rPr>
                <w:rFonts w:hint="eastAsia"/>
                <w:lang w:val="en-US" w:eastAsia="zh-CN"/>
              </w:rPr>
              <w:t>行政单位医疗</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lang w:val="en-US" w:eastAsia="zh-CN"/>
              </w:rPr>
              <w:t>26.5</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lang w:val="en-US" w:eastAsia="zh-CN"/>
              </w:rPr>
              <w:t>26.5</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lang w:val="en-US" w:eastAsia="zh-CN"/>
              </w:rPr>
            </w:pPr>
            <w:r>
              <w:rPr>
                <w:rFonts w:hint="eastAsia"/>
                <w:lang w:val="en-US" w:eastAsia="zh-CN"/>
              </w:rPr>
              <w:t>2080801</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lang w:val="en-US" w:eastAsia="zh-CN"/>
              </w:rPr>
            </w:pPr>
            <w:r>
              <w:rPr>
                <w:rFonts w:hint="eastAsia"/>
                <w:lang w:val="en-US" w:eastAsia="zh-CN"/>
              </w:rPr>
              <w:t>死亡抚恤</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lang w:val="en-US" w:eastAsia="zh-CN"/>
              </w:rPr>
              <w:t>17.78</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lang w:val="en-US" w:eastAsia="zh-CN"/>
              </w:rPr>
              <w:t>17.78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eastAsia="zh-CN"/>
              </w:rPr>
            </w:pPr>
            <w:r>
              <w:rPr>
                <w:rFonts w:hint="eastAsia"/>
                <w:lang w:val="en-US" w:eastAsia="zh-CN"/>
              </w:rPr>
              <w:t>2220199</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lang w:val="en-US" w:eastAsia="zh-CN"/>
              </w:rPr>
            </w:pPr>
            <w:r>
              <w:rPr>
                <w:rFonts w:hint="eastAsia"/>
                <w:lang w:val="en-US" w:eastAsia="zh-CN"/>
              </w:rPr>
              <w:t>其他粮油物资事务支出</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lang w:val="en-US" w:eastAsia="zh-CN"/>
              </w:rPr>
              <w:t>229.39</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lang w:val="en-US" w:eastAsia="zh-CN"/>
              </w:rPr>
              <w:t>229.39</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lang w:val="en-US" w:eastAsia="zh-CN"/>
              </w:rPr>
              <w:t>2120899</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eastAsiaTheme="minorEastAsia"/>
                <w:lang w:val="en-US" w:eastAsia="zh-CN"/>
              </w:rPr>
            </w:pPr>
            <w:r>
              <w:rPr>
                <w:rFonts w:hint="eastAsia"/>
                <w:lang w:val="en-US" w:eastAsia="zh-CN"/>
              </w:rPr>
              <w:t>其他国有土地使用权出让收入安排的支出</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lang w:val="en-US" w:eastAsia="zh-CN"/>
              </w:rPr>
              <w:t>46.38</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lang w:val="en-US" w:eastAsia="zh-CN"/>
              </w:rPr>
              <w:t>46.38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3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2299999</w:t>
            </w:r>
          </w:p>
        </w:tc>
        <w:tc>
          <w:tcPr>
            <w:tcW w:w="23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sz w:val="24"/>
                <w:szCs w:val="24"/>
                <w:lang w:eastAsia="zh-CN"/>
              </w:rPr>
            </w:pPr>
            <w:r>
              <w:rPr>
                <w:rFonts w:hint="eastAsia" w:ascii="宋体" w:hAnsi="宋体" w:eastAsia="宋体" w:cs="宋体"/>
                <w:sz w:val="24"/>
                <w:szCs w:val="24"/>
                <w:lang w:eastAsia="zh-CN"/>
              </w:rPr>
              <w:t>其他支出</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sz w:val="24"/>
                <w:szCs w:val="24"/>
                <w:lang w:val="en-US" w:eastAsia="zh-CN"/>
              </w:rPr>
              <w:t>117.93</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117.93</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615" w:hRule="atLeast"/>
        </w:trPr>
        <w:tc>
          <w:tcPr>
            <w:tcW w:w="15428" w:type="dxa"/>
            <w:gridSpan w:val="11"/>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tbl>
      <w:tblPr>
        <w:tblStyle w:val="9"/>
        <w:tblW w:w="15604" w:type="dxa"/>
        <w:tblInd w:w="93" w:type="dxa"/>
        <w:tblLayout w:type="fixed"/>
        <w:tblCellMar>
          <w:top w:w="0" w:type="dxa"/>
          <w:left w:w="108" w:type="dxa"/>
          <w:bottom w:w="0" w:type="dxa"/>
          <w:right w:w="108" w:type="dxa"/>
        </w:tblCellMar>
      </w:tblPr>
      <w:tblGrid>
        <w:gridCol w:w="1249"/>
        <w:gridCol w:w="374"/>
        <w:gridCol w:w="263"/>
        <w:gridCol w:w="3083"/>
        <w:gridCol w:w="525"/>
        <w:gridCol w:w="1215"/>
        <w:gridCol w:w="1305"/>
        <w:gridCol w:w="1635"/>
        <w:gridCol w:w="1770"/>
        <w:gridCol w:w="1320"/>
        <w:gridCol w:w="2865"/>
      </w:tblGrid>
      <w:tr>
        <w:tblPrEx>
          <w:tblCellMar>
            <w:top w:w="0" w:type="dxa"/>
            <w:left w:w="108" w:type="dxa"/>
            <w:bottom w:w="0" w:type="dxa"/>
            <w:right w:w="108" w:type="dxa"/>
          </w:tblCellMar>
        </w:tblPrEx>
        <w:trPr>
          <w:trHeight w:val="747" w:hRule="atLeast"/>
        </w:trPr>
        <w:tc>
          <w:tcPr>
            <w:tcW w:w="15604"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62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08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0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65"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623"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60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lang w:eastAsia="zh-CN"/>
              </w:rPr>
              <w:t>道县发展和改革局</w:t>
            </w:r>
            <w:r>
              <w:rPr>
                <w:rFonts w:hint="eastAsia" w:ascii="宋体" w:hAnsi="宋体" w:eastAsia="宋体" w:cs="宋体"/>
                <w:kern w:val="0"/>
                <w:sz w:val="24"/>
                <w:szCs w:val="24"/>
              </w:rPr>
              <w:t>　</w:t>
            </w:r>
          </w:p>
        </w:tc>
        <w:tc>
          <w:tcPr>
            <w:tcW w:w="121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0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65"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5494"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21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本年支出合计</w:t>
            </w:r>
          </w:p>
        </w:tc>
        <w:tc>
          <w:tcPr>
            <w:tcW w:w="130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基本支出</w:t>
            </w:r>
          </w:p>
        </w:tc>
        <w:tc>
          <w:tcPr>
            <w:tcW w:w="163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项目支出</w:t>
            </w:r>
          </w:p>
        </w:tc>
        <w:tc>
          <w:tcPr>
            <w:tcW w:w="17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上缴上级支出</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经营支出</w:t>
            </w:r>
          </w:p>
        </w:tc>
        <w:tc>
          <w:tcPr>
            <w:tcW w:w="28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CellMar>
            <w:top w:w="0" w:type="dxa"/>
            <w:left w:w="108" w:type="dxa"/>
            <w:bottom w:w="0" w:type="dxa"/>
            <w:right w:w="108" w:type="dxa"/>
          </w:tblCellMar>
        </w:tblPrEx>
        <w:trPr>
          <w:trHeight w:val="595" w:hRule="atLeast"/>
        </w:trPr>
        <w:tc>
          <w:tcPr>
            <w:tcW w:w="1886"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608" w:type="dxa"/>
            <w:gridSpan w:val="2"/>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2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63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28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88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360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8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45" w:hRule="atLeast"/>
        </w:trPr>
        <w:tc>
          <w:tcPr>
            <w:tcW w:w="5494"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21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30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3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7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32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86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CellMar>
            <w:top w:w="0" w:type="dxa"/>
            <w:left w:w="108" w:type="dxa"/>
            <w:bottom w:w="0" w:type="dxa"/>
            <w:right w:w="108" w:type="dxa"/>
          </w:tblCellMar>
        </w:tblPrEx>
        <w:trPr>
          <w:trHeight w:val="595" w:hRule="atLeast"/>
        </w:trPr>
        <w:tc>
          <w:tcPr>
            <w:tcW w:w="5494"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1554.26</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757.77</w:t>
            </w: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796.49</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val="0"/>
                <w:bCs w:val="0"/>
                <w:kern w:val="0"/>
                <w:sz w:val="24"/>
                <w:szCs w:val="24"/>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val="0"/>
                <w:bCs w:val="0"/>
                <w:kern w:val="0"/>
                <w:sz w:val="24"/>
                <w:szCs w:val="24"/>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val="0"/>
                <w:bCs w:val="0"/>
                <w:kern w:val="0"/>
                <w:sz w:val="24"/>
                <w:szCs w:val="24"/>
              </w:rPr>
            </w:pPr>
          </w:p>
        </w:tc>
      </w:tr>
      <w:tr>
        <w:tblPrEx>
          <w:tblCellMar>
            <w:top w:w="0" w:type="dxa"/>
            <w:left w:w="108" w:type="dxa"/>
            <w:bottom w:w="0" w:type="dxa"/>
            <w:right w:w="108" w:type="dxa"/>
          </w:tblCellMar>
        </w:tblPrEx>
        <w:trPr>
          <w:trHeight w:val="417"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2010401</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657.61</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657.61</w:t>
            </w: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2290493</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其他政府性基金债务收入安排的支出</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78.97</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78.97</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2220401</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储备粮油补贴</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131.56</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131.56</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2010499</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202.98</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28.5</w:t>
            </w: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174.48</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机关事业单位基本养老保险缴</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45.16</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45.16</w:t>
            </w: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行政单位医疗</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26.5</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26.5</w:t>
            </w: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340"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死亡抚恤</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17.78</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17.78</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2220199</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其他粮油物资事务支出</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229.39</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229.39</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9"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2120899</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其他国有土地使用权出让收入安排的支出</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46.38</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lang w:val="en-US" w:eastAsia="zh-CN"/>
              </w:rPr>
              <w:t>46.38</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30" w:hRule="atLeast"/>
        </w:trPr>
        <w:tc>
          <w:tcPr>
            <w:tcW w:w="124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2299999</w:t>
            </w:r>
          </w:p>
        </w:tc>
        <w:tc>
          <w:tcPr>
            <w:tcW w:w="4245" w:type="dxa"/>
            <w:gridSpan w:val="4"/>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其他支出</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117.93</w:t>
            </w:r>
          </w:p>
        </w:tc>
        <w:tc>
          <w:tcPr>
            <w:tcW w:w="13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6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117.93</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828" w:hRule="atLeast"/>
        </w:trPr>
        <w:tc>
          <w:tcPr>
            <w:tcW w:w="15604"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left"/>
        <w:rPr>
          <w:rFonts w:ascii="Times New Roman" w:hAnsi="Times New Roman" w:eastAsia="黑体" w:cs="Times New Roman"/>
          <w:bCs/>
          <w:kern w:val="0"/>
          <w:sz w:val="32"/>
          <w:szCs w:val="32"/>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3411"/>
        <w:gridCol w:w="632"/>
        <w:gridCol w:w="435"/>
        <w:gridCol w:w="1573"/>
        <w:gridCol w:w="1394"/>
        <w:gridCol w:w="1394"/>
        <w:gridCol w:w="1573"/>
      </w:tblGrid>
      <w:tr>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lang w:eastAsia="zh-CN"/>
              </w:rPr>
              <w:t>道县发展和改革局</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741"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栏    次</w:t>
            </w:r>
          </w:p>
        </w:tc>
        <w:tc>
          <w:tcPr>
            <w:tcW w:w="436" w:type="dxa"/>
            <w:tcBorders>
              <w:top w:val="nil"/>
              <w:left w:val="nil"/>
              <w:bottom w:val="single" w:color="auto" w:sz="4" w:space="0"/>
              <w:right w:val="single" w:color="auto" w:sz="4" w:space="0"/>
            </w:tcBorders>
            <w:shd w:val="clear" w:color="auto" w:fill="FFFFFF"/>
            <w:noWrap/>
            <w:vAlign w:val="center"/>
          </w:tcPr>
          <w:p>
            <w:pPr>
              <w:jc w:val="center"/>
              <w:rPr>
                <w:rFonts w:hint="eastAsia" w:ascii="宋体" w:hAnsi="宋体" w:eastAsia="宋体" w:cs="宋体"/>
                <w:i w:val="0"/>
                <w:color w:val="000000"/>
                <w:kern w:val="2"/>
                <w:sz w:val="24"/>
                <w:szCs w:val="24"/>
                <w:u w:val="none"/>
                <w:lang w:val="en-US" w:eastAsia="zh-CN" w:bidi="ar-SA"/>
              </w:rPr>
            </w:pPr>
          </w:p>
        </w:tc>
        <w:tc>
          <w:tcPr>
            <w:tcW w:w="1078"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1</w:t>
            </w:r>
          </w:p>
        </w:tc>
        <w:tc>
          <w:tcPr>
            <w:tcW w:w="341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栏    次</w:t>
            </w:r>
          </w:p>
        </w:tc>
        <w:tc>
          <w:tcPr>
            <w:tcW w:w="1067" w:type="dxa"/>
            <w:gridSpan w:val="2"/>
            <w:tcBorders>
              <w:top w:val="nil"/>
              <w:left w:val="nil"/>
              <w:bottom w:val="single" w:color="auto" w:sz="4" w:space="0"/>
              <w:right w:val="single" w:color="auto" w:sz="4" w:space="0"/>
            </w:tcBorders>
            <w:shd w:val="clear" w:color="auto" w:fill="FFFFFF"/>
            <w:noWrap/>
            <w:vAlign w:val="center"/>
          </w:tcPr>
          <w:p>
            <w:pPr>
              <w:jc w:val="center"/>
              <w:rPr>
                <w:rFonts w:hint="eastAsia" w:ascii="宋体" w:hAnsi="宋体" w:eastAsia="宋体" w:cs="宋体"/>
                <w:i w:val="0"/>
                <w:color w:val="000000"/>
                <w:kern w:val="2"/>
                <w:sz w:val="24"/>
                <w:szCs w:val="24"/>
                <w:u w:val="none"/>
                <w:lang w:val="en-US" w:eastAsia="zh-CN" w:bidi="ar-SA"/>
              </w:rPr>
            </w:pP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1428.91</w:t>
            </w:r>
          </w:p>
        </w:tc>
        <w:tc>
          <w:tcPr>
            <w:tcW w:w="341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860.59</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860.59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125.35</w:t>
            </w:r>
          </w:p>
        </w:tc>
        <w:tc>
          <w:tcPr>
            <w:tcW w:w="341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四、上级补助收入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eastAsia="zh-CN"/>
              </w:rPr>
              <w:t>八、社会保障和就业支出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20</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62.94</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62.94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117"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五、事业收入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九、卫生健康支出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26.5</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26.5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六、经营收入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sz w:val="22"/>
                <w:szCs w:val="22"/>
                <w:u w:val="none"/>
                <w:lang w:eastAsia="zh-CN"/>
              </w:rPr>
              <w:t>十一、城乡社区支出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22</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b w:val="0"/>
                <w:bCs/>
                <w:i w:val="0"/>
                <w:color w:val="000000"/>
                <w:kern w:val="2"/>
                <w:sz w:val="22"/>
                <w:szCs w:val="22"/>
                <w:u w:val="none"/>
                <w:lang w:val="en-US" w:eastAsia="zh-CN" w:bidi="ar-SA"/>
              </w:rPr>
            </w:pPr>
            <w:r>
              <w:rPr>
                <w:rFonts w:hint="eastAsia" w:ascii="宋体" w:hAnsi="宋体" w:eastAsia="宋体" w:cs="宋体"/>
                <w:b w:val="0"/>
                <w:bCs/>
                <w:i w:val="0"/>
                <w:color w:val="000000"/>
                <w:kern w:val="2"/>
                <w:sz w:val="22"/>
                <w:szCs w:val="22"/>
                <w:u w:val="none"/>
                <w:lang w:val="en-US" w:eastAsia="zh-CN" w:bidi="ar-SA"/>
              </w:rPr>
              <w:t>46.38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46.38</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七、附属单位上缴收入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eastAsia="zh-CN"/>
              </w:rPr>
              <w:t>二十、粮油物资储备支出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360.96</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360.96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八、其他收入</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eastAsia="zh-CN"/>
              </w:rPr>
              <w:t>二十三、其他支出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196.89</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117.93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78.97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0"/>
                <w:szCs w:val="20"/>
                <w:u w:val="none"/>
                <w:lang w:val="en-US" w:eastAsia="zh-CN" w:bidi="ar-SA"/>
              </w:rPr>
            </w:pP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i w:val="0"/>
                <w:color w:val="000000"/>
                <w:kern w:val="2"/>
                <w:sz w:val="20"/>
                <w:szCs w:val="20"/>
                <w:u w:val="none"/>
                <w:lang w:val="en-US" w:eastAsia="zh-CN" w:bidi="ar-SA"/>
              </w:rPr>
            </w:pP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b w:val="0"/>
                <w:bCs/>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b w:val="0"/>
                <w:bCs/>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1554.26</w:t>
            </w: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23</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1554.26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结余分配</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1554.26</w:t>
            </w:r>
          </w:p>
        </w:tc>
        <w:tc>
          <w:tcPr>
            <w:tcW w:w="341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b w:val="0"/>
                <w:bCs/>
                <w:i w:val="0"/>
                <w:color w:val="000000"/>
                <w:kern w:val="2"/>
                <w:sz w:val="22"/>
                <w:szCs w:val="22"/>
                <w:u w:val="none"/>
                <w:lang w:val="en-US" w:eastAsia="zh-CN" w:bidi="ar-SA"/>
              </w:rPr>
            </w:pPr>
            <w:r>
              <w:rPr>
                <w:rFonts w:hint="eastAsia" w:ascii="宋体" w:hAnsi="宋体" w:eastAsia="宋体" w:cs="宋体"/>
                <w:b w:val="0"/>
                <w:bCs/>
                <w:i w:val="0"/>
                <w:color w:val="000000"/>
                <w:sz w:val="22"/>
                <w:szCs w:val="22"/>
                <w:u w:val="none"/>
                <w:lang w:val="en-US" w:eastAsia="zh-CN"/>
              </w:rPr>
              <w:t>1554.26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lang w:eastAsia="zh-CN"/>
        </w:rPr>
        <w:t>道县发展和改革局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1428.91</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757.77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671.14</w:t>
            </w: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657.61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657.61</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2220401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储备粮油补贴</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131.56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131.56</w:t>
            </w: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202.98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28.5</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174.48</w:t>
            </w: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机关事业单位基本养老保险缴</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45.16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45.16</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行政单位医疗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26.5</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26.5</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17.78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17.78</w:t>
            </w: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2220199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其他粮油物资事务支出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229.39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229.39</w:t>
            </w: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2299999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其他支出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117.93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117.93</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fixed"/>
        <w:tblCellMar>
          <w:top w:w="0" w:type="dxa"/>
          <w:left w:w="108" w:type="dxa"/>
          <w:bottom w:w="0" w:type="dxa"/>
          <w:right w:w="108" w:type="dxa"/>
        </w:tblCellMar>
      </w:tblPr>
      <w:tblGrid>
        <w:gridCol w:w="945"/>
        <w:gridCol w:w="238"/>
        <w:gridCol w:w="89"/>
        <w:gridCol w:w="1480"/>
        <w:gridCol w:w="1670"/>
        <w:gridCol w:w="146"/>
        <w:gridCol w:w="1034"/>
        <w:gridCol w:w="1185"/>
        <w:gridCol w:w="2523"/>
        <w:gridCol w:w="108"/>
        <w:gridCol w:w="1014"/>
        <w:gridCol w:w="840"/>
        <w:gridCol w:w="139"/>
        <w:gridCol w:w="1661"/>
        <w:gridCol w:w="1335"/>
        <w:gridCol w:w="885"/>
        <w:gridCol w:w="60"/>
      </w:tblGrid>
      <w:tr>
        <w:tblPrEx>
          <w:tblCellMar>
            <w:top w:w="0" w:type="dxa"/>
            <w:left w:w="108" w:type="dxa"/>
            <w:bottom w:w="0" w:type="dxa"/>
            <w:right w:w="108" w:type="dxa"/>
          </w:tblCellMar>
        </w:tblPrEx>
        <w:trPr>
          <w:gridAfter w:val="1"/>
          <w:wAfter w:w="60" w:type="dxa"/>
          <w:trHeight w:val="726" w:hRule="atLeast"/>
        </w:trPr>
        <w:tc>
          <w:tcPr>
            <w:tcW w:w="15292" w:type="dxa"/>
            <w:gridSpan w:val="16"/>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道县发展和改革局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gridAfter w:val="1"/>
          <w:wAfter w:w="60" w:type="dxa"/>
          <w:trHeight w:val="1103" w:hRule="atLeast"/>
        </w:trPr>
        <w:tc>
          <w:tcPr>
            <w:tcW w:w="12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5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5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2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135"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584.62</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166.55</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275.04</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14</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84.59</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11.8</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103.04</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19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15.26</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45.16</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11.8</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2.57</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4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26.5</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24</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6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19.12</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15.91</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6.6</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5.13</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37</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6.6</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4.99</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34.63</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90"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442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591.22</w:t>
            </w:r>
          </w:p>
        </w:tc>
        <w:tc>
          <w:tcPr>
            <w:tcW w:w="8805" w:type="dxa"/>
            <w:gridSpan w:val="8"/>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公用经费合计</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1"/>
                <w:szCs w:val="18"/>
                <w:lang w:val="en-US" w:eastAsia="zh-CN" w:bidi="ar-SA"/>
              </w:rPr>
            </w:pPr>
            <w:r>
              <w:rPr>
                <w:rFonts w:hint="eastAsia" w:ascii="宋体" w:hAnsi="宋体" w:eastAsia="宋体" w:cs="宋体"/>
                <w:color w:val="000000"/>
                <w:kern w:val="0"/>
                <w:szCs w:val="18"/>
                <w:lang w:val="en-US" w:eastAsia="zh-CN"/>
              </w:rPr>
              <w:t>166.55</w:t>
            </w:r>
            <w:r>
              <w:rPr>
                <w:rFonts w:hint="eastAsia" w:ascii="宋体" w:hAnsi="宋体" w:eastAsia="宋体" w:cs="宋体"/>
                <w:color w:val="000000"/>
                <w:kern w:val="0"/>
                <w:szCs w:val="18"/>
              </w:rPr>
              <w:t>　</w:t>
            </w:r>
          </w:p>
        </w:tc>
      </w:tr>
      <w:tr>
        <w:tblPrEx>
          <w:tblCellMar>
            <w:top w:w="0" w:type="dxa"/>
            <w:left w:w="108" w:type="dxa"/>
            <w:bottom w:w="0" w:type="dxa"/>
            <w:right w:w="108" w:type="dxa"/>
          </w:tblCellMar>
        </w:tblPrEx>
        <w:trPr>
          <w:gridAfter w:val="1"/>
          <w:wAfter w:w="60" w:type="dxa"/>
          <w:trHeight w:val="284" w:hRule="exact"/>
        </w:trPr>
        <w:tc>
          <w:tcPr>
            <w:tcW w:w="15292" w:type="dxa"/>
            <w:gridSpan w:val="16"/>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352"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5"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56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81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3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9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6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80" w:type="dxa"/>
            <w:gridSpan w:val="3"/>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94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56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道县发展和改革局</w:t>
            </w:r>
          </w:p>
        </w:tc>
        <w:tc>
          <w:tcPr>
            <w:tcW w:w="181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3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9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6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80" w:type="dxa"/>
            <w:gridSpan w:val="3"/>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18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2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1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5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19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11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125.35</w:t>
            </w: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125.35</w:t>
            </w: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125.35</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83"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pPr>
              <w:keepNext w:val="0"/>
              <w:keepLines w:val="0"/>
              <w:widowControl/>
              <w:suppressLineNumbers w:val="0"/>
              <w:jc w:val="left"/>
              <w:textAlignment w:val="center"/>
              <w:rPr>
                <w:rFonts w:hint="default" w:ascii="宋体" w:hAnsi="宋体" w:eastAsia="宋体" w:cs="宋体"/>
                <w:kern w:val="2"/>
                <w:sz w:val="24"/>
                <w:szCs w:val="24"/>
                <w:lang w:val="en-US" w:eastAsia="zh-CN" w:bidi="ar-SA"/>
              </w:rPr>
            </w:pPr>
            <w:r>
              <w:rPr>
                <w:rFonts w:hint="eastAsia"/>
                <w:lang w:val="en-US" w:eastAsia="zh-CN"/>
              </w:rPr>
              <w:t>2120899</w:t>
            </w:r>
          </w:p>
        </w:tc>
        <w:tc>
          <w:tcPr>
            <w:tcW w:w="1569"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lang w:val="en-US" w:eastAsia="zh-CN"/>
              </w:rPr>
              <w:t>其他国有土地使用权出让收入安排的支出</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46.38</w:t>
            </w: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46.38</w:t>
            </w: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rPr>
            </w:pPr>
            <w:r>
              <w:rPr>
                <w:rFonts w:hint="eastAsia" w:ascii="宋体" w:hAnsi="宋体" w:eastAsia="宋体" w:cs="宋体"/>
                <w:sz w:val="24"/>
                <w:szCs w:val="24"/>
                <w:lang w:val="en-US" w:eastAsia="zh-CN"/>
              </w:rPr>
              <w:t>46.38</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83"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2290493</w:t>
            </w:r>
          </w:p>
        </w:tc>
        <w:tc>
          <w:tcPr>
            <w:tcW w:w="1569"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其他政府性基金债务收入安排的支出</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78.97</w:t>
            </w: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78.97</w:t>
            </w: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78.97</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15352"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pPr>
        <w:widowControl/>
        <w:jc w:val="center"/>
        <w:rPr>
          <w:rFonts w:hint="eastAsia" w:ascii="Times New Roman" w:hAnsi="Times New Roman" w:eastAsia="方正小标宋_GBK" w:cs="Times New Roman"/>
          <w:color w:val="000000"/>
          <w:kern w:val="0"/>
          <w:sz w:val="36"/>
          <w:szCs w:val="36"/>
          <w:lang w:val="en-US" w:eastAsia="zh-CN"/>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道县发展和改革局</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p>
      <w:pPr>
        <w:pStyle w:val="12"/>
        <w:rPr>
          <w:rFonts w:hint="eastAsia" w:ascii="Times New Roman" w:hAnsi="Times New Roman" w:eastAsia="方正小标宋_GBK" w:cs="Times New Roman"/>
          <w:color w:val="000000"/>
          <w:kern w:val="0"/>
          <w:sz w:val="36"/>
          <w:szCs w:val="36"/>
        </w:rPr>
      </w:pPr>
    </w:p>
    <w:p>
      <w:pPr>
        <w:pStyle w:val="12"/>
        <w:rPr>
          <w:rFonts w:hint="eastAsia" w:ascii="Times New Roman" w:hAnsi="Times New Roman" w:eastAsia="方正小标宋_GBK" w:cs="Times New Roman"/>
          <w:color w:val="000000"/>
          <w:kern w:val="0"/>
          <w:sz w:val="36"/>
          <w:szCs w:val="36"/>
        </w:rPr>
      </w:pPr>
    </w:p>
    <w:p>
      <w:pPr>
        <w:pStyle w:val="12"/>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909"/>
        <w:gridCol w:w="915"/>
        <w:gridCol w:w="959"/>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0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9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95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90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道县发展和改革局</w:t>
            </w:r>
          </w:p>
        </w:tc>
        <w:tc>
          <w:tcPr>
            <w:tcW w:w="9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95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1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iCs/>
                <w:color w:val="000000"/>
                <w:sz w:val="22"/>
                <w:szCs w:val="22"/>
                <w:u w:val="none"/>
                <w:lang w:val="en-US" w:eastAsia="zh-CN"/>
              </w:rPr>
            </w:pPr>
            <w:r>
              <w:rPr>
                <w:rFonts w:hint="eastAsia" w:ascii="宋体" w:hAnsi="宋体" w:eastAsia="宋体" w:cs="宋体"/>
                <w:i/>
                <w:iCs/>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iCs/>
                <w:color w:val="000000"/>
                <w:sz w:val="22"/>
                <w:szCs w:val="22"/>
                <w:u w:val="none"/>
                <w:lang w:val="en-US" w:eastAsia="zh-CN"/>
              </w:rPr>
            </w:pPr>
            <w:r>
              <w:rPr>
                <w:rFonts w:hint="eastAsia" w:ascii="宋体" w:hAnsi="宋体" w:eastAsia="宋体" w:cs="宋体"/>
                <w:i/>
                <w:iCs/>
                <w:color w:val="00000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4.99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4.99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4.99</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2025年度收、支决算总计1554.26万元。预算2025年度收、支决算总计1554.26万元。与上年决算相比减少684.66万元，减少30%，主要是因为厉行节俭</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1554.26</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1554.26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1554.26</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757.77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49</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796.49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51</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1554.26</w:t>
      </w:r>
      <w:r>
        <w:rPr>
          <w:rFonts w:hint="eastAsia" w:ascii="Times New Roman" w:hAnsi="Times New Roman" w:eastAsia="仿宋_GB2312"/>
          <w:sz w:val="32"/>
          <w:szCs w:val="32"/>
        </w:rPr>
        <w:t>万元。与上年决算相比减少684.66万元，减少30%，主要是因为厉行节俭</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1428.91</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92</w:t>
      </w:r>
      <w:r>
        <w:rPr>
          <w:rFonts w:hint="eastAsia" w:ascii="Times New Roman" w:hAnsi="Times New Roman" w:eastAsia="仿宋_GB2312"/>
          <w:sz w:val="32"/>
          <w:szCs w:val="32"/>
        </w:rPr>
        <w:t>%，与上年决算相比减少684.66万元，减少30%，主要是因为厉行节俭</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1428.91</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860.59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社会保障就业支出</w:t>
      </w:r>
      <w:r>
        <w:rPr>
          <w:rFonts w:hint="eastAsia" w:ascii="Times New Roman" w:hAnsi="Times New Roman" w:eastAsia="仿宋_GB2312"/>
          <w:sz w:val="32"/>
          <w:szCs w:val="32"/>
          <w:lang w:val="en-US" w:eastAsia="zh-CN"/>
        </w:rPr>
        <w:t>62.94万元</w:t>
      </w:r>
      <w:r>
        <w:rPr>
          <w:rFonts w:hint="eastAsia" w:ascii="Times New Roman" w:hAnsi="Times New Roman" w:eastAsia="仿宋_GB2312"/>
          <w:sz w:val="32"/>
          <w:szCs w:val="32"/>
          <w:lang w:eastAsia="zh-CN"/>
        </w:rPr>
        <w:t>，占比</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lang w:val="en-US" w:eastAsia="zh-CN"/>
        </w:rPr>
        <w:t>26.5万元，占比2%；粮油物资储备支出360.96万元，占比25%；</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lang w:val="en-US" w:eastAsia="zh-CN"/>
        </w:rPr>
        <w:t>117.92万元，占9%。</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757.77</w:t>
      </w:r>
      <w:r>
        <w:rPr>
          <w:rFonts w:hint="eastAsia" w:ascii="Times New Roman" w:hAnsi="Times New Roman" w:eastAsia="仿宋_GB2312"/>
          <w:sz w:val="32"/>
          <w:szCs w:val="32"/>
        </w:rPr>
        <w:t>万元，其中</w:t>
      </w:r>
      <w:r>
        <w:rPr>
          <w:rFonts w:hint="eastAsia" w:ascii="Times New Roman" w:hAnsi="Times New Roman" w:eastAsia="仿宋_GB2312"/>
          <w:b w:val="0"/>
          <w:bCs w:val="0"/>
          <w:sz w:val="32"/>
          <w:szCs w:val="32"/>
        </w:rPr>
        <w:t>人员经费</w:t>
      </w:r>
      <w:r>
        <w:rPr>
          <w:rFonts w:hint="eastAsia" w:ascii="Times New Roman" w:hAnsi="Times New Roman" w:eastAsia="仿宋_GB2312"/>
          <w:b w:val="0"/>
          <w:bCs w:val="0"/>
          <w:sz w:val="32"/>
          <w:szCs w:val="32"/>
          <w:lang w:val="en-US" w:eastAsia="zh-CN"/>
        </w:rPr>
        <w:t>584.62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77</w:t>
      </w:r>
      <w:r>
        <w:rPr>
          <w:rFonts w:hint="eastAsia" w:ascii="Times New Roman" w:hAnsi="Times New Roman" w:eastAsia="仿宋_GB2312"/>
          <w:sz w:val="32"/>
          <w:szCs w:val="32"/>
        </w:rPr>
        <w:t>%,主要包括</w:t>
      </w:r>
      <w:r>
        <w:rPr>
          <w:rFonts w:hint="eastAsia" w:ascii="Times New Roman" w:hAnsi="Times New Roman" w:eastAsia="仿宋_GB2312"/>
          <w:sz w:val="32"/>
          <w:szCs w:val="32"/>
          <w:lang w:val="en-US" w:eastAsia="zh-CN"/>
        </w:rPr>
        <w:t>：基本工资275.04万元，津贴补贴84.59万元，奖金103.04万元，绩效工资15.26万元，基本养老保险缴费45.16万元，医疗保险缴费26.5万元，住房公积金19.12万元，其他工资福利支出15.91万，对个人和家庭的支出6.6万元。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val="0"/>
          <w:bCs w:val="0"/>
          <w:sz w:val="32"/>
          <w:szCs w:val="32"/>
        </w:rPr>
        <w:t>公用经费</w:t>
      </w:r>
      <w:r>
        <w:rPr>
          <w:rFonts w:hint="eastAsia" w:ascii="Times New Roman" w:hAnsi="Times New Roman" w:eastAsia="仿宋_GB2312"/>
          <w:b w:val="0"/>
          <w:bCs w:val="0"/>
          <w:sz w:val="32"/>
          <w:szCs w:val="32"/>
          <w:lang w:val="en-US" w:eastAsia="zh-CN"/>
        </w:rPr>
        <w:t>166.55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用于发改日常办公工作开支。其中：办公费14万元，印刷费11.81万元，水费1万元，电费11.8万元，邮电费2.57万元，差旅费24.01万元，劳务费5.13万元，工会经费37万元，福利费11万元，公务用车运行及维护费4.99万元，其他交通费34.63万元,其他商品和服务支出5.92万元</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17.18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出差增加，差旅费增加；发改系统气排球活动在道县举行，工会活动增加，工会开支增加</w:t>
      </w:r>
      <w:r>
        <w:rPr>
          <w:rFonts w:hint="eastAsia" w:ascii="Times New Roman" w:hAnsi="Times New Roman" w:eastAsia="仿宋_GB2312"/>
          <w:sz w:val="32"/>
          <w:szCs w:val="32"/>
          <w:lang w:val="en-US"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4.99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63</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厉行节俭</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4.99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车辆减少</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持平</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4.99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4.99</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万元，（单位本级或某二级机构）更新公务用车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4.99</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eastAsia="zh-CN"/>
        </w:rPr>
        <w:t>车辆用油、保险、维修</w:t>
      </w:r>
      <w:r>
        <w:rPr>
          <w:rFonts w:hint="eastAsia" w:ascii="Times New Roman" w:hAnsi="Times New Roman" w:eastAsia="仿宋_GB2312"/>
          <w:sz w:val="32"/>
          <w:szCs w:val="32"/>
        </w:rPr>
        <w:t>支出，截止202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5"/>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125.35</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125.35</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125.35</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国有土地使用权出让收入安排的支出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其他国有土地使用权出让收入安排的支出</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46.38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46.38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严格按预算金额拨付款项。</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其他政府性基金及对应专项债务收入安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其他政府性基金债务收入安排的支出</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78.97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78.97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严格按预算金额拨付款项。</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757.77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，机关运行经费</w:t>
      </w:r>
      <w:r>
        <w:rPr>
          <w:rFonts w:hint="eastAsia" w:ascii="Times New Roman" w:hAnsi="Times New Roman" w:eastAsia="仿宋_GB2312"/>
          <w:sz w:val="32"/>
          <w:szCs w:val="32"/>
        </w:rPr>
        <w:t>是指为保障单位机构正常运转、完成日常工作任务而发生的各项支出，包括用于基本工资、津贴补贴等人员经费以及办公费、印刷费、水电费、办公设备购置等日常工作运转经费。</w:t>
      </w:r>
    </w:p>
    <w:p>
      <w:pPr>
        <w:pStyle w:val="15"/>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工资福利支出。全年工资福利预算支出共计</w:t>
      </w:r>
      <w:r>
        <w:rPr>
          <w:rFonts w:hint="eastAsia" w:ascii="Times New Roman" w:hAnsi="Times New Roman" w:eastAsia="仿宋_GB2312"/>
          <w:sz w:val="32"/>
          <w:szCs w:val="32"/>
          <w:lang w:val="en-US" w:eastAsia="zh-CN"/>
        </w:rPr>
        <w:t>584.62</w:t>
      </w:r>
      <w:r>
        <w:rPr>
          <w:rFonts w:hint="eastAsia" w:ascii="Times New Roman" w:hAnsi="Times New Roman" w:eastAsia="仿宋_GB2312"/>
          <w:sz w:val="32"/>
          <w:szCs w:val="32"/>
        </w:rPr>
        <w:t>万元，其中：</w:t>
      </w:r>
      <w:r>
        <w:rPr>
          <w:rFonts w:hint="eastAsia" w:ascii="Times New Roman" w:hAnsi="Times New Roman" w:eastAsia="仿宋_GB2312"/>
          <w:sz w:val="32"/>
          <w:szCs w:val="32"/>
          <w:lang w:val="en-US" w:eastAsia="zh-CN"/>
        </w:rPr>
        <w:t>基本工资275.04万元，津贴补贴84.59万元，奖金103.04万元，绩效工资15.26万元，基本养老保险缴费45.16万元，医疗保险缴费26.5万元，住房公积金19.12万元，其他工资福利支出15.91万，对个人和家庭的支出6.6万元</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95.24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厉行节俭。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2.一般商品和服务支出。商品和服务支出共计</w:t>
      </w:r>
      <w:r>
        <w:rPr>
          <w:rFonts w:hint="eastAsia" w:ascii="Times New Roman" w:hAnsi="Times New Roman" w:eastAsia="仿宋_GB2312"/>
          <w:sz w:val="32"/>
          <w:szCs w:val="32"/>
          <w:lang w:val="en-US" w:eastAsia="zh-CN"/>
        </w:rPr>
        <w:t>166.55</w:t>
      </w:r>
      <w:r>
        <w:rPr>
          <w:rFonts w:hint="eastAsia" w:ascii="Times New Roman" w:hAnsi="Times New Roman" w:eastAsia="仿宋_GB2312"/>
          <w:sz w:val="32"/>
          <w:szCs w:val="32"/>
        </w:rPr>
        <w:t>万元，用于发改日常办公工作开支。其中：</w:t>
      </w:r>
      <w:r>
        <w:rPr>
          <w:rFonts w:hint="eastAsia" w:ascii="Times New Roman" w:hAnsi="Times New Roman" w:eastAsia="仿宋_GB2312"/>
          <w:sz w:val="32"/>
          <w:szCs w:val="32"/>
          <w:lang w:val="en-US" w:eastAsia="zh-CN"/>
        </w:rPr>
        <w:t>办公费14万元，印刷费11.81万元，水费1万元，电费11.8万元，邮电费2.57万元，差旅费24.01万元，劳务费5.13万元，工会经费37万元，福利费11万元，公务用车运行及维护费4.99万元，其他交通费34.63万元,其他商品和服务支出5.92万元</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17.18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出差增加，差旅费增加；发改系统气排球活动在道县举行，工会活动增加，工会开支增加。</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没有</w:t>
      </w:r>
      <w:r>
        <w:rPr>
          <w:rFonts w:hint="eastAsia" w:ascii="Times New Roman" w:hAnsi="Times New Roman" w:eastAsia="仿宋_GB2312"/>
          <w:sz w:val="32"/>
          <w:szCs w:val="32"/>
        </w:rPr>
        <w:t>举办节庆、晚会、论坛、赛事活动。</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33</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33</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33</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33</w:t>
      </w:r>
      <w:r>
        <w:rPr>
          <w:rFonts w:hint="eastAsia" w:ascii="Times New Roman" w:hAnsi="Times New Roman" w:eastAsia="仿宋_GB2312"/>
          <w:color w:val="auto"/>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年度绩效情况的说明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我单位组织对202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年度部门整体支出和专项资金实施了全覆盖性的绩效评价，撰写了整体绩效评价报告，纳入202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 xml:space="preserve">年部门整体支出绩效目标的金额为 </w:t>
      </w:r>
      <w:r>
        <w:rPr>
          <w:rFonts w:hint="eastAsia" w:ascii="Times New Roman" w:hAnsi="Times New Roman" w:eastAsia="仿宋_GB2312"/>
          <w:sz w:val="32"/>
          <w:szCs w:val="32"/>
          <w:lang w:val="en-US" w:eastAsia="zh-CN"/>
        </w:rPr>
        <w:t>1554.26</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757.77</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796.49</w:t>
      </w:r>
      <w:r>
        <w:rPr>
          <w:rFonts w:hint="eastAsia" w:ascii="Times New Roman" w:hAnsi="Times New Roman" w:eastAsia="仿宋_GB2312"/>
          <w:sz w:val="32"/>
          <w:szCs w:val="32"/>
        </w:rPr>
        <w:t>万元，自评覆盖率达到100%，绩效自评结果显示，上述项目支出绩效情况较为理想，均达到了项目申请时设定的各项绩效目标。</w:t>
      </w:r>
    </w:p>
    <w:p>
      <w:pPr>
        <w:pStyle w:val="15"/>
        <w:keepNext w:val="0"/>
        <w:keepLines w:val="0"/>
        <w:pageBreakBefore w:val="0"/>
        <w:widowControl w:val="0"/>
        <w:numPr>
          <w:ilvl w:val="0"/>
          <w:numId w:val="3"/>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overflowPunct w:val="0"/>
        <w:spacing w:line="660" w:lineRule="exact"/>
        <w:ind w:firstLine="640" w:firstLineChars="200"/>
        <w:rPr>
          <w:rFonts w:eastAsia="仿宋_GB2312"/>
          <w:sz w:val="32"/>
          <w:szCs w:val="32"/>
        </w:rPr>
      </w:pPr>
      <w:r>
        <w:rPr>
          <w:rFonts w:hint="default" w:ascii="Times New Roman" w:hAnsi="Times New Roman" w:eastAsia="仿宋_GB2312" w:cs="Times New Roman"/>
          <w:b w:val="0"/>
          <w:bCs w:val="0"/>
          <w:sz w:val="32"/>
          <w:szCs w:val="32"/>
          <w:highlight w:val="none"/>
          <w:lang w:val="en-US" w:eastAsia="zh-CN"/>
        </w:rPr>
        <w:t>部门重点工作计划</w:t>
      </w:r>
      <w:r>
        <w:rPr>
          <w:rFonts w:hint="eastAsia" w:ascii="Times New Roman" w:hAnsi="Times New Roman" w:eastAsia="仿宋_GB2312" w:cs="Times New Roman"/>
          <w:b w:val="0"/>
          <w:bCs w:val="0"/>
          <w:sz w:val="32"/>
          <w:szCs w:val="32"/>
          <w:highlight w:val="none"/>
          <w:lang w:val="en-US" w:eastAsia="zh-CN"/>
        </w:rPr>
        <w:t>：</w:t>
      </w:r>
      <w:r>
        <w:rPr>
          <w:rFonts w:hint="eastAsia" w:ascii="Times New Roman" w:hAnsi="Times New Roman" w:eastAsia="仿宋_GB2312"/>
          <w:sz w:val="32"/>
          <w:szCs w:val="32"/>
        </w:rPr>
        <w:t>确保了干部职工工资正常发放和机关的正常运转，维护稳定；部门重点工作计划：全力实施规划计划保目标。</w:t>
      </w:r>
      <w:r>
        <w:rPr>
          <w:rFonts w:eastAsia="仿宋_GB2312"/>
          <w:sz w:val="32"/>
          <w:szCs w:val="32"/>
        </w:rPr>
        <w:t>2025年，是“十四五”规划的收官之年，也是“十五五”规划的布局之年，全局上下要切实提高政治站位，始终坚持以习近平新时代中国特色社会主义思想为指导，全面贯彻落实党的二十大和二十届二中</w:t>
      </w:r>
      <w:r>
        <w:rPr>
          <w:rFonts w:hint="eastAsia" w:eastAsia="仿宋_GB2312"/>
          <w:sz w:val="32"/>
          <w:szCs w:val="32"/>
        </w:rPr>
        <w:t>、三中</w:t>
      </w:r>
      <w:r>
        <w:rPr>
          <w:rFonts w:eastAsia="仿宋_GB2312"/>
          <w:sz w:val="32"/>
          <w:szCs w:val="32"/>
        </w:rPr>
        <w:t>全会精神，深刻领悟“两个确立”的决定性意义，不断增强“四个意识”，坚定“四个自信”，自觉做到“两个维护”，认真贯彻落实县委经济工作会议和县政府工作报告部署的重点工作任务，大力实施“1251”行动计划、“一千五百”和“四个十”，紧密结合发改实际，认真细化工作方案、政策举措，推进一系列新的重大改革、出台一系列新的重大政策、铺排一系列新的重点项目。</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1</w:t>
      </w:r>
      <w:r>
        <w:rPr>
          <w:rFonts w:eastAsia="楷体_GB2312"/>
          <w:b/>
          <w:bCs/>
          <w:sz w:val="32"/>
          <w:szCs w:val="32"/>
        </w:rPr>
        <w:t>）</w:t>
      </w:r>
      <w:r>
        <w:rPr>
          <w:rFonts w:hint="eastAsia" w:eastAsia="楷体_GB2312"/>
          <w:b/>
          <w:bCs/>
          <w:sz w:val="32"/>
          <w:szCs w:val="32"/>
        </w:rPr>
        <w:t>聚</w:t>
      </w:r>
      <w:r>
        <w:rPr>
          <w:rFonts w:eastAsia="楷体_GB2312"/>
          <w:b/>
          <w:bCs/>
          <w:sz w:val="32"/>
          <w:szCs w:val="32"/>
        </w:rPr>
        <w:t>力跑项争资</w:t>
      </w:r>
      <w:r>
        <w:rPr>
          <w:rFonts w:hint="eastAsia" w:eastAsia="楷体_GB2312"/>
          <w:b/>
          <w:bCs/>
          <w:sz w:val="32"/>
          <w:szCs w:val="32"/>
        </w:rPr>
        <w:t>，做好政策研究</w:t>
      </w:r>
      <w:r>
        <w:rPr>
          <w:rFonts w:eastAsia="楷体_GB2312"/>
          <w:b/>
          <w:bCs/>
          <w:sz w:val="32"/>
          <w:szCs w:val="32"/>
        </w:rPr>
        <w:t>。</w:t>
      </w:r>
      <w:r>
        <w:rPr>
          <w:rFonts w:eastAsia="仿宋_GB2312"/>
          <w:sz w:val="32"/>
          <w:szCs w:val="32"/>
        </w:rPr>
        <w:t>深入学习研究国家一揽子增量政策清单，准确把握国家投资政策倾向和动态，瞄准国家政策支持的方向，主动对接上级政策，组织业务骨干深入学习中央、省、市及本行业项目申报的通知或文件精神，深刻领会各类投资政策文件精神。凝聚共识，形成合力，盯紧看牢国家政策导向，科学分析研判，加强向上汇报对接，做好做实跑项争资文章。</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2</w:t>
      </w:r>
      <w:r>
        <w:rPr>
          <w:rFonts w:eastAsia="楷体_GB2312"/>
          <w:b/>
          <w:bCs/>
          <w:sz w:val="32"/>
          <w:szCs w:val="32"/>
        </w:rPr>
        <w:t>）</w:t>
      </w:r>
      <w:r>
        <w:rPr>
          <w:rFonts w:hint="eastAsia" w:eastAsia="楷体_GB2312"/>
          <w:b/>
          <w:bCs/>
          <w:sz w:val="32"/>
          <w:szCs w:val="32"/>
        </w:rPr>
        <w:t>聚力围绕</w:t>
      </w:r>
      <w:r>
        <w:rPr>
          <w:rFonts w:eastAsia="楷体_GB2312"/>
          <w:b/>
          <w:bCs/>
          <w:sz w:val="32"/>
          <w:szCs w:val="32"/>
        </w:rPr>
        <w:t>投资</w:t>
      </w:r>
      <w:r>
        <w:rPr>
          <w:rFonts w:hint="eastAsia" w:eastAsia="楷体_GB2312"/>
          <w:b/>
          <w:bCs/>
          <w:sz w:val="32"/>
          <w:szCs w:val="32"/>
        </w:rPr>
        <w:t>，做</w:t>
      </w:r>
      <w:r>
        <w:rPr>
          <w:rFonts w:eastAsia="楷体_GB2312"/>
          <w:b/>
          <w:bCs/>
          <w:sz w:val="32"/>
          <w:szCs w:val="32"/>
        </w:rPr>
        <w:t>好项目建设。</w:t>
      </w:r>
      <w:r>
        <w:rPr>
          <w:rFonts w:eastAsia="仿宋_GB2312"/>
          <w:sz w:val="32"/>
          <w:szCs w:val="32"/>
        </w:rPr>
        <w:t>认真研判全年投资形势，强化工作举措，会同统计部门做好投资计划的研判和铺排，加强对行业主管部门和项目单位的业务指导，确保完成全年投资增长5%的目标。建立健全“一个项目、一套班子、一个方案、一个目标、一抓到底”的工作机制，全程跟踪服务推进重点项目。优化“双学双比”方案，</w:t>
      </w:r>
      <w:r>
        <w:rPr>
          <w:rFonts w:hint="eastAsia" w:eastAsia="仿宋_GB2312"/>
          <w:sz w:val="32"/>
          <w:szCs w:val="32"/>
        </w:rPr>
        <w:t>2025年争取到位资金60亿元以上，</w:t>
      </w:r>
      <w:r>
        <w:rPr>
          <w:rFonts w:eastAsia="仿宋_GB2312"/>
          <w:sz w:val="32"/>
          <w:szCs w:val="32"/>
        </w:rPr>
        <w:t>着力解决到位资金的项目推进实施慢问题，特别是专项债项目。做好项目“蓄水池”，</w:t>
      </w:r>
      <w:r>
        <w:rPr>
          <w:rFonts w:hint="eastAsia" w:eastAsia="仿宋_GB2312"/>
          <w:sz w:val="32"/>
          <w:szCs w:val="32"/>
        </w:rPr>
        <w:t>谋划包装400亿元总投资、200亿元资金申请目标，</w:t>
      </w:r>
      <w:r>
        <w:rPr>
          <w:rFonts w:eastAsia="仿宋_GB2312"/>
          <w:sz w:val="32"/>
          <w:szCs w:val="32"/>
        </w:rPr>
        <w:t>重点抓好2025年储备项目各类前期手续办理</w:t>
      </w:r>
      <w:r>
        <w:rPr>
          <w:rFonts w:hint="eastAsia" w:eastAsia="仿宋_GB2312"/>
          <w:sz w:val="32"/>
          <w:szCs w:val="32"/>
        </w:rPr>
        <w:t>，其中计划全县铺排重点项目120个以上，包括申报单体省重点项目1个、市重点项目25个以上</w:t>
      </w:r>
      <w:r>
        <w:rPr>
          <w:rFonts w:eastAsia="仿宋_GB2312"/>
          <w:sz w:val="32"/>
          <w:szCs w:val="32"/>
        </w:rPr>
        <w:t>。抓好城市地下管网及设施实施方案（2024-2028年）编制工作。</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3</w:t>
      </w:r>
      <w:r>
        <w:rPr>
          <w:rFonts w:eastAsia="楷体_GB2312"/>
          <w:b/>
          <w:bCs/>
          <w:sz w:val="32"/>
          <w:szCs w:val="32"/>
        </w:rPr>
        <w:t>）</w:t>
      </w:r>
      <w:r>
        <w:rPr>
          <w:rFonts w:hint="eastAsia" w:eastAsia="楷体_GB2312"/>
          <w:b/>
          <w:bCs/>
          <w:sz w:val="32"/>
          <w:szCs w:val="32"/>
        </w:rPr>
        <w:t>聚力</w:t>
      </w:r>
      <w:r>
        <w:rPr>
          <w:rFonts w:eastAsia="楷体_GB2312"/>
          <w:b/>
          <w:bCs/>
          <w:sz w:val="32"/>
          <w:szCs w:val="32"/>
        </w:rPr>
        <w:t>营商环境</w:t>
      </w:r>
      <w:r>
        <w:rPr>
          <w:rFonts w:hint="eastAsia" w:eastAsia="楷体_GB2312"/>
          <w:b/>
          <w:bCs/>
          <w:sz w:val="32"/>
          <w:szCs w:val="32"/>
        </w:rPr>
        <w:t>，做好改革创新</w:t>
      </w:r>
      <w:r>
        <w:rPr>
          <w:rFonts w:eastAsia="楷体_GB2312"/>
          <w:b/>
          <w:bCs/>
          <w:sz w:val="32"/>
          <w:szCs w:val="32"/>
        </w:rPr>
        <w:t>。</w:t>
      </w:r>
      <w:r>
        <w:rPr>
          <w:rFonts w:eastAsia="仿宋_GB2312"/>
          <w:sz w:val="32"/>
          <w:szCs w:val="32"/>
        </w:rPr>
        <w:t>成立县优化营商环境事务中心。持续深化“放管服”改革，持续擦亮“身在湖南，办事不难；人在道县，承诺兑现”服务品牌。深入推进“互联网+政务服务”，落实“高效办成一件事”，着力打造一流政务服务平台，切实转变干部作风，坚决查处一批“吃拿卡要”“慵懒散慢”等案件，切实解决“只踩刹车、不加油门”“不问不办、不催慢办”等问题。企业优惠政策兑现实行限时审批制，对少数未落实的惠企政策进行跟踪督办落实，开展政府违约失信问题专项整治行动，持续开展“走下去、送解优”专项行动和“陪伴企业办事走流程”活动。大力推进监管能力提升行动，全面推进法治监管、信用监管、智慧监管；持续推进公正文明执法。</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4</w:t>
      </w:r>
      <w:r>
        <w:rPr>
          <w:rFonts w:eastAsia="楷体_GB2312"/>
          <w:b/>
          <w:bCs/>
          <w:sz w:val="32"/>
          <w:szCs w:val="32"/>
        </w:rPr>
        <w:t>）</w:t>
      </w:r>
      <w:r>
        <w:rPr>
          <w:rFonts w:hint="eastAsia" w:eastAsia="楷体_GB2312"/>
          <w:b/>
          <w:bCs/>
          <w:sz w:val="32"/>
          <w:szCs w:val="32"/>
        </w:rPr>
        <w:t>聚力</w:t>
      </w:r>
      <w:r>
        <w:rPr>
          <w:rFonts w:eastAsia="楷体_GB2312"/>
          <w:b/>
          <w:bCs/>
          <w:sz w:val="32"/>
          <w:szCs w:val="32"/>
        </w:rPr>
        <w:t>粮食能源</w:t>
      </w:r>
      <w:r>
        <w:rPr>
          <w:rFonts w:hint="eastAsia" w:eastAsia="楷体_GB2312"/>
          <w:b/>
          <w:bCs/>
          <w:sz w:val="32"/>
          <w:szCs w:val="32"/>
        </w:rPr>
        <w:t>，做好安全</w:t>
      </w:r>
      <w:r>
        <w:rPr>
          <w:rFonts w:eastAsia="楷体_GB2312"/>
          <w:b/>
          <w:bCs/>
          <w:sz w:val="32"/>
          <w:szCs w:val="32"/>
        </w:rPr>
        <w:t>发展。</w:t>
      </w:r>
      <w:r>
        <w:rPr>
          <w:rFonts w:eastAsia="仿宋_GB2312"/>
          <w:sz w:val="32"/>
          <w:szCs w:val="32"/>
        </w:rPr>
        <w:t>成立道县粮食和物资储备事务中心，</w:t>
      </w:r>
      <w:r>
        <w:rPr>
          <w:rFonts w:hint="eastAsia" w:eastAsia="仿宋_GB2312"/>
          <w:sz w:val="32"/>
          <w:szCs w:val="32"/>
        </w:rPr>
        <w:t>做好县级储备粮轮换4900吨和收购4900吨任务，</w:t>
      </w:r>
      <w:r>
        <w:rPr>
          <w:rFonts w:eastAsia="仿宋_GB2312"/>
          <w:sz w:val="32"/>
          <w:szCs w:val="32"/>
        </w:rPr>
        <w:t>衔接好县宏天公司与县国投集团的合作事宜，争取道县宏天公司2.5万吨粮食储备库及应急能力建设项目早日开工。</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5</w:t>
      </w:r>
      <w:r>
        <w:rPr>
          <w:rFonts w:eastAsia="楷体_GB2312"/>
          <w:b/>
          <w:bCs/>
          <w:sz w:val="32"/>
          <w:szCs w:val="32"/>
        </w:rPr>
        <w:t>）</w:t>
      </w:r>
      <w:r>
        <w:rPr>
          <w:rFonts w:hint="eastAsia" w:eastAsia="楷体_GB2312"/>
          <w:b/>
          <w:bCs/>
          <w:sz w:val="32"/>
          <w:szCs w:val="32"/>
        </w:rPr>
        <w:t>聚力</w:t>
      </w:r>
      <w:r>
        <w:rPr>
          <w:rFonts w:eastAsia="楷体_GB2312"/>
          <w:b/>
          <w:bCs/>
          <w:sz w:val="32"/>
          <w:szCs w:val="32"/>
        </w:rPr>
        <w:t>易地搬迁</w:t>
      </w:r>
      <w:r>
        <w:rPr>
          <w:rFonts w:hint="eastAsia" w:eastAsia="楷体_GB2312"/>
          <w:b/>
          <w:bCs/>
          <w:sz w:val="32"/>
          <w:szCs w:val="32"/>
        </w:rPr>
        <w:t>，做好</w:t>
      </w:r>
      <w:r>
        <w:rPr>
          <w:rFonts w:eastAsia="楷体_GB2312"/>
          <w:b/>
          <w:bCs/>
          <w:sz w:val="32"/>
          <w:szCs w:val="32"/>
        </w:rPr>
        <w:t>后续扶持。</w:t>
      </w:r>
      <w:r>
        <w:rPr>
          <w:rFonts w:eastAsia="仿宋_GB2312"/>
          <w:sz w:val="32"/>
          <w:szCs w:val="32"/>
        </w:rPr>
        <w:t>进一步细化完善后续帮扶实施方案，围绕产业发展规划、发展措施、发展目标和脱贫成效等狠抓落实，力争每个项目实施乡镇因地制宜发展1个后续产业项目。</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6</w:t>
      </w:r>
      <w:r>
        <w:rPr>
          <w:rFonts w:eastAsia="楷体_GB2312"/>
          <w:b/>
          <w:bCs/>
          <w:sz w:val="32"/>
          <w:szCs w:val="32"/>
        </w:rPr>
        <w:t>）</w:t>
      </w:r>
      <w:r>
        <w:rPr>
          <w:rFonts w:hint="eastAsia" w:eastAsia="楷体_GB2312"/>
          <w:b/>
          <w:bCs/>
          <w:sz w:val="32"/>
          <w:szCs w:val="32"/>
        </w:rPr>
        <w:t>聚力</w:t>
      </w:r>
      <w:r>
        <w:rPr>
          <w:rFonts w:eastAsia="楷体_GB2312"/>
          <w:b/>
          <w:bCs/>
          <w:sz w:val="32"/>
          <w:szCs w:val="32"/>
        </w:rPr>
        <w:t>公共资源</w:t>
      </w:r>
      <w:r>
        <w:rPr>
          <w:rFonts w:hint="eastAsia" w:eastAsia="楷体_GB2312"/>
          <w:b/>
          <w:bCs/>
          <w:sz w:val="32"/>
          <w:szCs w:val="32"/>
        </w:rPr>
        <w:t>，做好问题</w:t>
      </w:r>
      <w:r>
        <w:rPr>
          <w:rFonts w:eastAsia="楷体_GB2312"/>
          <w:b/>
          <w:bCs/>
          <w:sz w:val="32"/>
          <w:szCs w:val="32"/>
        </w:rPr>
        <w:t>治理。</w:t>
      </w:r>
      <w:r>
        <w:rPr>
          <w:rFonts w:eastAsia="仿宋_GB2312"/>
          <w:sz w:val="32"/>
          <w:szCs w:val="32"/>
        </w:rPr>
        <w:t>深入推进全县公共资源交易领域突出问题专项整治工作，坚持整体联动，合力抓好招投标监管工作，正确处理部门之间、系统之间、依法与发展的关系，保证政策的统一和政令畅通。推进招投标工作监管标准化、规范化进程。协助上级发改部门抓好招投标诚信体系建设，规范招投标当事人行为。深入研究招投标工作，加强制度建设，不断规范招投标、招标代理活动，实现以管理促进规范，以规范促公平、以公平促发展。</w:t>
      </w:r>
    </w:p>
    <w:p>
      <w:pPr>
        <w:overflowPunct w:val="0"/>
        <w:spacing w:line="660" w:lineRule="exact"/>
        <w:ind w:firstLine="640" w:firstLineChars="200"/>
        <w:rPr>
          <w:rFonts w:eastAsia="仿宋_GB2312"/>
          <w:sz w:val="32"/>
          <w:szCs w:val="32"/>
        </w:rPr>
      </w:pPr>
      <w:r>
        <w:rPr>
          <w:rFonts w:eastAsia="楷体_GB2312"/>
          <w:b/>
          <w:bCs/>
          <w:sz w:val="32"/>
          <w:szCs w:val="32"/>
        </w:rPr>
        <w:t>（</w:t>
      </w:r>
      <w:r>
        <w:rPr>
          <w:rFonts w:hint="eastAsia" w:eastAsia="楷体_GB2312"/>
          <w:b/>
          <w:bCs/>
          <w:sz w:val="32"/>
          <w:szCs w:val="32"/>
          <w:lang w:val="en-US" w:eastAsia="zh-CN"/>
        </w:rPr>
        <w:t>7</w:t>
      </w:r>
      <w:r>
        <w:rPr>
          <w:rFonts w:eastAsia="楷体_GB2312"/>
          <w:b/>
          <w:bCs/>
          <w:sz w:val="32"/>
          <w:szCs w:val="32"/>
        </w:rPr>
        <w:t>）</w:t>
      </w:r>
      <w:r>
        <w:rPr>
          <w:rFonts w:hint="eastAsia" w:eastAsia="楷体_GB2312"/>
          <w:b/>
          <w:bCs/>
          <w:sz w:val="32"/>
          <w:szCs w:val="32"/>
        </w:rPr>
        <w:t>聚力</w:t>
      </w:r>
      <w:r>
        <w:rPr>
          <w:rFonts w:eastAsia="楷体_GB2312"/>
          <w:b/>
          <w:bCs/>
          <w:sz w:val="32"/>
          <w:szCs w:val="32"/>
        </w:rPr>
        <w:t>国防动员</w:t>
      </w:r>
      <w:r>
        <w:rPr>
          <w:rFonts w:hint="eastAsia" w:eastAsia="楷体_GB2312"/>
          <w:b/>
          <w:bCs/>
          <w:sz w:val="32"/>
          <w:szCs w:val="32"/>
        </w:rPr>
        <w:t>，做好时刻准备</w:t>
      </w:r>
      <w:r>
        <w:rPr>
          <w:rFonts w:eastAsia="楷体_GB2312"/>
          <w:b/>
          <w:bCs/>
          <w:sz w:val="32"/>
          <w:szCs w:val="32"/>
        </w:rPr>
        <w:t>。</w:t>
      </w:r>
      <w:r>
        <w:rPr>
          <w:rFonts w:eastAsia="仿宋_GB2312"/>
          <w:sz w:val="32"/>
          <w:szCs w:val="32"/>
        </w:rPr>
        <w:t>持续深化习</w:t>
      </w:r>
      <w:r>
        <w:rPr>
          <w:rFonts w:hint="eastAsia" w:eastAsia="仿宋_GB2312"/>
          <w:sz w:val="32"/>
          <w:szCs w:val="32"/>
        </w:rPr>
        <w:t>主席关于</w:t>
      </w:r>
      <w:r>
        <w:rPr>
          <w:rFonts w:eastAsia="仿宋_GB2312"/>
          <w:sz w:val="32"/>
          <w:szCs w:val="32"/>
        </w:rPr>
        <w:t>国防动员</w:t>
      </w:r>
      <w:r>
        <w:rPr>
          <w:rFonts w:hint="eastAsia" w:eastAsia="仿宋_GB2312"/>
          <w:sz w:val="32"/>
          <w:szCs w:val="32"/>
        </w:rPr>
        <w:t>重要</w:t>
      </w:r>
      <w:r>
        <w:rPr>
          <w:rFonts w:eastAsia="仿宋_GB2312"/>
          <w:sz w:val="32"/>
          <w:szCs w:val="32"/>
        </w:rPr>
        <w:t>论述学习成果转化，推动国防动员工作高质量发展。加强对新兴领域潜力资源的挖掘和整合,特别是大数据、人工智能等领域。加强县域国防动员潜力数据指标调查统计，切实掌握本地区国防动员能力建设现状，做实年度国防动员能力评估工作，为备战实战提供坚强国防后盾力量支撑。加强针对性训练，结合实战化要求设置训练内容，提高人防专业队伍在复杂条件下的作战能力和应急救援能力。完善人防专业队伍装备配备，提高装备信息化水平。</w:t>
      </w:r>
      <w:r>
        <w:rPr>
          <w:rFonts w:hint="eastAsia" w:eastAsia="仿宋_GB2312"/>
          <w:sz w:val="32"/>
          <w:szCs w:val="32"/>
        </w:rPr>
        <w:t>加强人民防空警报智能化建设，提高县城区警报器覆盖率，</w:t>
      </w:r>
      <w:r>
        <w:rPr>
          <w:rFonts w:eastAsia="仿宋_GB2312"/>
          <w:sz w:val="32"/>
          <w:szCs w:val="32"/>
        </w:rPr>
        <w:t>增加演练频次，拓展演练内容，加强与周边地区的协同演练，提高跨区域动员和协同作战能力。</w:t>
      </w:r>
    </w:p>
    <w:p>
      <w:pPr>
        <w:overflowPunct w:val="0"/>
        <w:spacing w:line="660" w:lineRule="exact"/>
        <w:ind w:firstLine="640" w:firstLineChars="200"/>
        <w:rPr>
          <w:rFonts w:hint="eastAsia" w:ascii="楷体_GB2312" w:hAnsi="仿宋" w:eastAsia="楷体_GB2312"/>
          <w:b/>
          <w:sz w:val="32"/>
          <w:szCs w:val="32"/>
        </w:rPr>
      </w:pPr>
      <w:r>
        <w:rPr>
          <w:rFonts w:eastAsia="楷体_GB2312"/>
          <w:b/>
          <w:bCs/>
          <w:sz w:val="32"/>
          <w:szCs w:val="32"/>
        </w:rPr>
        <w:t>（</w:t>
      </w:r>
      <w:r>
        <w:rPr>
          <w:rFonts w:hint="eastAsia" w:eastAsia="楷体_GB2312"/>
          <w:b/>
          <w:bCs/>
          <w:sz w:val="32"/>
          <w:szCs w:val="32"/>
          <w:lang w:val="en-US" w:eastAsia="zh-CN"/>
        </w:rPr>
        <w:t>8</w:t>
      </w:r>
      <w:r>
        <w:rPr>
          <w:rFonts w:eastAsia="楷体_GB2312"/>
          <w:b/>
          <w:bCs/>
          <w:sz w:val="32"/>
          <w:szCs w:val="32"/>
        </w:rPr>
        <w:t>）</w:t>
      </w:r>
      <w:r>
        <w:rPr>
          <w:rFonts w:hint="eastAsia" w:eastAsia="楷体_GB2312"/>
          <w:b/>
          <w:bCs/>
          <w:sz w:val="32"/>
          <w:szCs w:val="32"/>
        </w:rPr>
        <w:t>聚力规划编制，</w:t>
      </w:r>
      <w:r>
        <w:rPr>
          <w:rFonts w:eastAsia="楷体_GB2312"/>
          <w:b/>
          <w:bCs/>
          <w:sz w:val="32"/>
          <w:szCs w:val="32"/>
        </w:rPr>
        <w:t>做好“十五五”规划编制工作。</w:t>
      </w:r>
      <w:r>
        <w:rPr>
          <w:rFonts w:eastAsia="仿宋_GB2312"/>
          <w:sz w:val="32"/>
          <w:szCs w:val="32"/>
        </w:rPr>
        <w:t>持续深化重大问题研究，做好“十五五”规划编制工作。</w:t>
      </w:r>
      <w:r>
        <w:rPr>
          <w:rFonts w:eastAsia="楷体_GB2312"/>
          <w:b/>
          <w:bCs/>
          <w:sz w:val="32"/>
          <w:szCs w:val="32"/>
        </w:rPr>
        <w:t>与此同时，</w:t>
      </w:r>
      <w:r>
        <w:rPr>
          <w:rFonts w:eastAsia="仿宋_GB2312"/>
          <w:sz w:val="32"/>
          <w:szCs w:val="32"/>
        </w:rPr>
        <w:t>加强民生保障，重点谋划争取县域紧密型医共体项目，推动县中医院整体搬迁项目全面完工投入运营，县妇幼保健院整体搬迁、县城南托育服务中心等项目加快建成。成立县价格认证与信息监测中心，适时启动道县城区自来水价格和城区出租车运行价格的成本监审工作，按程序组织召开听证会，继续做好重要民生商品保供稳价工作，守住兜牢社会民生底线。</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5"/>
        <w:ind w:firstLine="620" w:firstLineChars="200"/>
        <w:jc w:val="both"/>
        <w:rPr>
          <w:rFonts w:ascii="仿宋" w:hAnsi="仿宋" w:eastAsia="仿宋" w:cs="仿宋"/>
          <w:i w:val="0"/>
          <w:iCs w:val="0"/>
          <w:caps w:val="0"/>
          <w:color w:val="000000"/>
          <w:spacing w:val="0"/>
          <w:sz w:val="31"/>
          <w:szCs w:val="31"/>
          <w:shd w:val="clear" w:fill="FFFFFF"/>
        </w:rPr>
      </w:pPr>
      <w:r>
        <w:rPr>
          <w:rFonts w:ascii="仿宋" w:hAnsi="仿宋" w:eastAsia="仿宋" w:cs="仿宋"/>
          <w:i w:val="0"/>
          <w:iCs w:val="0"/>
          <w:caps w:val="0"/>
          <w:color w:val="000000"/>
          <w:spacing w:val="0"/>
          <w:sz w:val="31"/>
          <w:szCs w:val="31"/>
          <w:shd w:val="clear" w:fill="FFFFFF"/>
        </w:rPr>
        <w:t>预算绩效管理工作有待加强。虽然开展了预算绩效管理工作，但仍存在一些不足：一是绩效目标编制不规范。目标设立不够明确、细化、量化，使用定性指标较多，数量指标较少，部门整体支出自评质量也不高。二是绩效管理理念有待进一步增强。虽然预算单位对绩效的理念有了一定的了解，但长期以来形成的“重安排，轻监督；重使用，轻绩效”的思想短期内还存在，认为只要资金使用合法合规就行，忽视了财政资金的使用绩效。</w:t>
      </w:r>
    </w:p>
    <w:p>
      <w:pPr>
        <w:pStyle w:val="15"/>
        <w:ind w:firstLine="620" w:firstLineChars="200"/>
        <w:jc w:val="both"/>
        <w:rPr>
          <w:rFonts w:hint="eastAsia" w:ascii="仿宋" w:hAnsi="仿宋" w:eastAsia="仿宋" w:cs="仿宋"/>
          <w:i w:val="0"/>
          <w:iCs w:val="0"/>
          <w:caps w:val="0"/>
          <w:color w:val="000000"/>
          <w:spacing w:val="0"/>
          <w:sz w:val="31"/>
          <w:szCs w:val="31"/>
          <w:shd w:val="clear" w:fill="FFFFFF"/>
          <w:lang w:eastAsia="zh-CN"/>
        </w:rPr>
      </w:pPr>
      <w:r>
        <w:rPr>
          <w:rFonts w:ascii="仿宋" w:hAnsi="仿宋" w:eastAsia="仿宋" w:cs="仿宋"/>
          <w:i w:val="0"/>
          <w:iCs w:val="0"/>
          <w:caps w:val="0"/>
          <w:color w:val="000000"/>
          <w:spacing w:val="0"/>
          <w:sz w:val="31"/>
          <w:szCs w:val="31"/>
          <w:shd w:val="clear" w:fill="FFFFFF"/>
        </w:rPr>
        <w:t>财务制度不够完善，业务素质有待提高，加强相关工作人员绩效目标管理业务知识的学习培训，进一步改进和完善指标设置，逐步建立更科学、更具指向性、可量化的指标体系。一是尽可能分解细化项目计划或项目方案，提高预算和执行科学性：二是强化项目执行跟踪，加强资金绩效管理；三是完善相应制度，加强内控体系建设。</w:t>
      </w:r>
    </w:p>
    <w:p>
      <w:pPr>
        <w:pStyle w:val="15"/>
        <w:jc w:val="both"/>
        <w:rPr>
          <w:rFonts w:hint="eastAsia" w:ascii="方正小标宋_GBK" w:hAnsi="方正小标宋_GBK" w:eastAsia="方正小标宋_GBK" w:cs="方正小标宋_GBK"/>
          <w:sz w:val="72"/>
          <w:szCs w:val="72"/>
        </w:rPr>
      </w:pPr>
    </w:p>
    <w:p>
      <w:pPr>
        <w:pStyle w:val="15"/>
        <w:jc w:val="both"/>
        <w:rPr>
          <w:rFonts w:hint="eastAsia" w:ascii="方正小标宋_GBK" w:hAnsi="方正小标宋_GBK" w:eastAsia="方正小标宋_GBK" w:cs="方正小标宋_GBK"/>
          <w:sz w:val="72"/>
          <w:szCs w:val="72"/>
        </w:rPr>
      </w:pPr>
    </w:p>
    <w:p>
      <w:pPr>
        <w:pStyle w:val="15"/>
        <w:jc w:val="both"/>
        <w:rPr>
          <w:rFonts w:hint="eastAsia" w:ascii="方正小标宋_GBK" w:hAnsi="方正小标宋_GBK" w:eastAsia="方正小标宋_GBK" w:cs="方正小标宋_GBK"/>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5"/>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1. 一般公共预算财政拨款：指财政当年拨付的资金。</w:t>
      </w:r>
    </w:p>
    <w:p>
      <w:pPr>
        <w:pStyle w:val="15"/>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2. 基本支出：指为保障机构正常运转、完成日常工作任务而发生的人员支出和公用支出。</w:t>
      </w:r>
    </w:p>
    <w:p>
      <w:pPr>
        <w:pStyle w:val="15"/>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3. 项目支出：指在基本支出以外为完成相关行政任务和事业发展目标所发生的支出。</w:t>
      </w:r>
    </w:p>
    <w:p>
      <w:pPr>
        <w:pStyle w:val="15"/>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4. “三公”经费：指通过财政拨款资金安排的因公出国(境)费、公务用车购置及运行费和公务接待费支出。其中：因公出国(境)费指单位工作人员公务出国(境)的往返机票费、住宿费、伙食费、培训费等支出;公务用车购置及运行费指单位购置公务用车支出及公务用车使用过程中发生的租用费、燃料费、维修费、过路过桥费、保险费等支出;公务接待费指单位按规定开支的各类公务接待支出。</w:t>
      </w:r>
    </w:p>
    <w:p>
      <w:pPr>
        <w:pStyle w:val="15"/>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5. 机关运行经费：是指为保障行政单位(包括实行公务员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5"/>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6. 年末结转和结余：指本年度或以前年度预算安排、因客观条件发生变化无法按原计划实施，需要延迟到以后年度按有关规定继续使用的资金，既包括财政拨款结转和结余，也包括事业收入、其他收入的结转和结余。</w:t>
      </w:r>
    </w:p>
    <w:p>
      <w:pPr>
        <w:pStyle w:val="15"/>
        <w:ind w:firstLine="620" w:firstLineChars="200"/>
        <w:jc w:val="both"/>
        <w:rPr>
          <w:rFonts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lang w:val="en-US" w:eastAsia="zh-CN"/>
        </w:rPr>
        <w:t xml:space="preserve">  </w:t>
      </w:r>
    </w:p>
    <w:p>
      <w:pPr>
        <w:pStyle w:val="15"/>
        <w:ind w:firstLine="620" w:firstLineChars="200"/>
        <w:jc w:val="both"/>
        <w:rPr>
          <w:rFonts w:ascii="仿宋" w:hAnsi="仿宋" w:eastAsia="仿宋" w:cs="仿宋"/>
          <w:i w:val="0"/>
          <w:iCs w:val="0"/>
          <w:caps w:val="0"/>
          <w:color w:val="000000"/>
          <w:spacing w:val="0"/>
          <w:sz w:val="31"/>
          <w:szCs w:val="31"/>
          <w:shd w:val="clear" w:fill="FFFFFF"/>
        </w:rPr>
      </w:pPr>
    </w:p>
    <w:p>
      <w:pPr>
        <w:pStyle w:val="15"/>
        <w:jc w:val="center"/>
        <w:rPr>
          <w:sz w:val="72"/>
          <w:szCs w:val="72"/>
        </w:rPr>
      </w:pPr>
    </w:p>
    <w:p>
      <w:pPr>
        <w:pStyle w:val="15"/>
        <w:jc w:val="center"/>
        <w:rPr>
          <w:sz w:val="72"/>
          <w:szCs w:val="72"/>
        </w:rPr>
      </w:pPr>
    </w:p>
    <w:p>
      <w:pPr>
        <w:pStyle w:val="15"/>
        <w:jc w:val="center"/>
        <w:rPr>
          <w:sz w:val="72"/>
          <w:szCs w:val="72"/>
        </w:rPr>
      </w:pPr>
    </w:p>
    <w:p>
      <w:pP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5"/>
        <w:ind w:firstLine="4900" w:firstLineChars="700"/>
        <w:jc w:val="both"/>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1280" w:firstLineChars="400"/>
        <w:rPr>
          <w:rFonts w:hint="eastAsia" w:ascii="Times New Roman" w:hAnsi="Times New Roman" w:eastAsia="仿宋_GB2312"/>
          <w:sz w:val="32"/>
          <w:szCs w:val="32"/>
          <w:lang w:val="en-US" w:eastAsia="zh-CN"/>
        </w:rPr>
      </w:pPr>
      <w:bookmarkStart w:id="3" w:name="_GoBack"/>
      <w:bookmarkEnd w:id="3"/>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2025年度道县发展和改革局整体支出绩效自评报告。</w:t>
      </w:r>
    </w:p>
    <w:p>
      <w:pPr>
        <w:tabs>
          <w:tab w:val="left" w:pos="6757"/>
        </w:tabs>
        <w:bidi w:val="0"/>
        <w:jc w:val="left"/>
        <w:rPr>
          <w:lang w:val="en-US" w:eastAsia="zh-CN"/>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0DAA9B"/>
    <w:multiLevelType w:val="singleLevel"/>
    <w:tmpl w:val="C90DAA9B"/>
    <w:lvl w:ilvl="0" w:tentative="0">
      <w:start w:val="2"/>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86963EE"/>
    <w:multiLevelType w:val="singleLevel"/>
    <w:tmpl w:val="486963EE"/>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86150"/>
    <w:rsid w:val="00FB462F"/>
    <w:rsid w:val="00FE16FA"/>
    <w:rsid w:val="00FE328A"/>
    <w:rsid w:val="00FE6269"/>
    <w:rsid w:val="00FF5CD6"/>
    <w:rsid w:val="01626374"/>
    <w:rsid w:val="031D5663"/>
    <w:rsid w:val="03AA4003"/>
    <w:rsid w:val="0422003D"/>
    <w:rsid w:val="050F3A20"/>
    <w:rsid w:val="06043E9E"/>
    <w:rsid w:val="078F59E9"/>
    <w:rsid w:val="0A7315F2"/>
    <w:rsid w:val="0AD16319"/>
    <w:rsid w:val="10613C9B"/>
    <w:rsid w:val="122D739D"/>
    <w:rsid w:val="13B9495B"/>
    <w:rsid w:val="147316DF"/>
    <w:rsid w:val="14CA62B3"/>
    <w:rsid w:val="14FE5F5C"/>
    <w:rsid w:val="15A5287C"/>
    <w:rsid w:val="162B2D81"/>
    <w:rsid w:val="18F7519C"/>
    <w:rsid w:val="19704F4F"/>
    <w:rsid w:val="19E723E9"/>
    <w:rsid w:val="19F3005A"/>
    <w:rsid w:val="1A4345BF"/>
    <w:rsid w:val="1D97DEFF"/>
    <w:rsid w:val="1DFF72E5"/>
    <w:rsid w:val="1EFC6F07"/>
    <w:rsid w:val="1F4A34C4"/>
    <w:rsid w:val="210135E6"/>
    <w:rsid w:val="25325E0A"/>
    <w:rsid w:val="272F6449"/>
    <w:rsid w:val="27A05D4F"/>
    <w:rsid w:val="285A12A4"/>
    <w:rsid w:val="292542D5"/>
    <w:rsid w:val="294E7410"/>
    <w:rsid w:val="29E4351B"/>
    <w:rsid w:val="2A487432"/>
    <w:rsid w:val="2AF61758"/>
    <w:rsid w:val="2D145EC5"/>
    <w:rsid w:val="2D8A43D9"/>
    <w:rsid w:val="2FDF85B8"/>
    <w:rsid w:val="2FFFEE04"/>
    <w:rsid w:val="302C588D"/>
    <w:rsid w:val="31774C75"/>
    <w:rsid w:val="322C54F0"/>
    <w:rsid w:val="34DF85B0"/>
    <w:rsid w:val="358A32CD"/>
    <w:rsid w:val="35E40815"/>
    <w:rsid w:val="364F61C0"/>
    <w:rsid w:val="39C65C3D"/>
    <w:rsid w:val="3B8F36BC"/>
    <w:rsid w:val="3BFD221A"/>
    <w:rsid w:val="3C125CC6"/>
    <w:rsid w:val="3FC96FE3"/>
    <w:rsid w:val="406D7664"/>
    <w:rsid w:val="42204EB5"/>
    <w:rsid w:val="42AC04F6"/>
    <w:rsid w:val="451A5BEB"/>
    <w:rsid w:val="46B1432D"/>
    <w:rsid w:val="47A520E4"/>
    <w:rsid w:val="47B916EB"/>
    <w:rsid w:val="491FF225"/>
    <w:rsid w:val="4C3C0B3D"/>
    <w:rsid w:val="4C7E1155"/>
    <w:rsid w:val="4FF43C08"/>
    <w:rsid w:val="4FFD214C"/>
    <w:rsid w:val="50D67951"/>
    <w:rsid w:val="530F0D59"/>
    <w:rsid w:val="54880DC3"/>
    <w:rsid w:val="55833339"/>
    <w:rsid w:val="56D402F0"/>
    <w:rsid w:val="5777D4F5"/>
    <w:rsid w:val="57FD7AB2"/>
    <w:rsid w:val="581F559B"/>
    <w:rsid w:val="59B61F2F"/>
    <w:rsid w:val="59DD8326"/>
    <w:rsid w:val="5DEF592A"/>
    <w:rsid w:val="5E257683"/>
    <w:rsid w:val="5E420235"/>
    <w:rsid w:val="5F0A18A0"/>
    <w:rsid w:val="5F4B3119"/>
    <w:rsid w:val="5F944AC0"/>
    <w:rsid w:val="5FC6BB1E"/>
    <w:rsid w:val="5FEF1413"/>
    <w:rsid w:val="5FF720F1"/>
    <w:rsid w:val="608B57CD"/>
    <w:rsid w:val="615D0D1C"/>
    <w:rsid w:val="6208709F"/>
    <w:rsid w:val="62696274"/>
    <w:rsid w:val="657D4B0B"/>
    <w:rsid w:val="66903B07"/>
    <w:rsid w:val="66AB0D07"/>
    <w:rsid w:val="676B4CB5"/>
    <w:rsid w:val="67FF5C0B"/>
    <w:rsid w:val="68993147"/>
    <w:rsid w:val="691D79E9"/>
    <w:rsid w:val="6EFC0924"/>
    <w:rsid w:val="6FB74722"/>
    <w:rsid w:val="6FD50935"/>
    <w:rsid w:val="6FEF8B7E"/>
    <w:rsid w:val="713A2FED"/>
    <w:rsid w:val="71991C88"/>
    <w:rsid w:val="71A6591B"/>
    <w:rsid w:val="72C25CBE"/>
    <w:rsid w:val="737D59BA"/>
    <w:rsid w:val="748D1686"/>
    <w:rsid w:val="77C37683"/>
    <w:rsid w:val="79BD47BC"/>
    <w:rsid w:val="79FF515B"/>
    <w:rsid w:val="7A6259E6"/>
    <w:rsid w:val="7AFA4CCB"/>
    <w:rsid w:val="7C7E0232"/>
    <w:rsid w:val="7CAD6D69"/>
    <w:rsid w:val="7CED360A"/>
    <w:rsid w:val="7CFB7AD5"/>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1">
    <w:name w:val="page number"/>
    <w:basedOn w:val="10"/>
    <w:qFormat/>
    <w:uiPriority w:val="0"/>
  </w:style>
  <w:style w:type="paragraph" w:customStyle="1" w:styleId="12">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3">
    <w:name w:val="页眉 Char"/>
    <w:basedOn w:val="10"/>
    <w:link w:val="6"/>
    <w:qFormat/>
    <w:uiPriority w:val="99"/>
    <w:rPr>
      <w:sz w:val="18"/>
      <w:szCs w:val="18"/>
    </w:rPr>
  </w:style>
  <w:style w:type="character" w:customStyle="1" w:styleId="14">
    <w:name w:val="页脚 Char"/>
    <w:basedOn w:val="10"/>
    <w:link w:val="5"/>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0"/>
    <w:link w:val="4"/>
    <w:semiHidden/>
    <w:qFormat/>
    <w:uiPriority w:val="99"/>
    <w:rPr>
      <w:sz w:val="18"/>
      <w:szCs w:val="18"/>
    </w:rPr>
  </w:style>
  <w:style w:type="character" w:customStyle="1" w:styleId="18">
    <w:name w:val="font01"/>
    <w:basedOn w:val="10"/>
    <w:qFormat/>
    <w:uiPriority w:val="0"/>
    <w:rPr>
      <w:rFonts w:hint="eastAsia" w:ascii="宋体" w:hAnsi="宋体" w:eastAsia="宋体" w:cs="宋体"/>
      <w:color w:val="000000"/>
      <w:sz w:val="22"/>
      <w:szCs w:val="22"/>
      <w:u w:val="none"/>
    </w:rPr>
  </w:style>
  <w:style w:type="character" w:customStyle="1" w:styleId="19">
    <w:name w:val="font21"/>
    <w:basedOn w:val="10"/>
    <w:qFormat/>
    <w:uiPriority w:val="0"/>
    <w:rPr>
      <w:rFonts w:hint="eastAsia" w:ascii="宋体" w:hAnsi="宋体" w:eastAsia="宋体" w:cs="宋体"/>
      <w:color w:val="000000"/>
      <w:sz w:val="24"/>
      <w:szCs w:val="24"/>
      <w:u w:val="none"/>
    </w:rPr>
  </w:style>
  <w:style w:type="character" w:customStyle="1" w:styleId="20">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12222</Words>
  <Characters>13978</Characters>
  <Lines>63</Lines>
  <Paragraphs>18</Paragraphs>
  <TotalTime>17</TotalTime>
  <ScaleCrop>false</ScaleCrop>
  <LinksUpToDate>false</LinksUpToDate>
  <CharactersWithSpaces>14810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2026-09-11T02:21:24Z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BDFEF67BE60E4950BAF8B882BC5B5120_12</vt:lpwstr>
  </property>
  <property fmtid="{D5CDD505-2E9C-101B-9397-08002B2CF9AE}" pid="4" name="KSOTemplateDocerSaveRecord">
    <vt:lpwstr>eyJoZGlkIjoiNDEyYTkxZWFhMjMzZDY2NTJiNzAzZDNkMTJlN2NmYjMiLCJ1c2VySWQiOiI2NjAzNzQ3NTEifQ==</vt:lpwstr>
  </property>
</Properties>
</file>