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道县科学技术协会</w:t>
      </w: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道县科学技术协会</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道县科学技术协会</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 xml:space="preserve">、开展学术交流，活跃学术思想，促进学科发展，推动自主创新。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2、依照《中华人民共和国科学技术普及法》，弘扬科学精神，普及科学知识，传播科学思想和科学方法。捍卫科学尊严，推广先进技术，开展青少年科学技术教育活动，提高全民科学素质。</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3、反映科学技术工作者的建议、意见和诉求，维护科学技术工作者的合法权益。促进学术道德建设和学风建设。</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4、组织科学技术工作者参与国家科学技术政策、法规制定和国家事务的政治协商、科学决策、民主监督工作。</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5、表彰奖励优秀科学技术工作者，举荐人才。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6、开展科学论证、咨询服务，提出政策建议，促进科学技术成果的转化；接受委托承担项目评估、成果鉴定，参与技术标准制定等。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7、开展民间国际科学技术交流活动，促进国际科学技术合作，发展同国内外的科学技术团体和科学技术工作者的友好交往。</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8、开展继续教育和培训工作。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9、兴办符合中国科学技术协会宗旨的社会公益性事业。</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rPr>
        <w:t>道县科学技术协会</w:t>
      </w:r>
      <w:r>
        <w:rPr>
          <w:rFonts w:hint="eastAsia" w:ascii="Times New Roman" w:hAnsi="Times New Roman" w:eastAsia="仿宋_GB2312" w:cs="仿宋_GB2312"/>
          <w:bCs/>
          <w:kern w:val="0"/>
          <w:sz w:val="32"/>
          <w:szCs w:val="32"/>
        </w:rPr>
        <w:t>内设机构包括：我单位为正科级</w:t>
      </w:r>
      <w:r>
        <w:rPr>
          <w:rFonts w:hint="eastAsia" w:ascii="Times New Roman" w:hAnsi="Times New Roman" w:eastAsia="仿宋_GB2312" w:cs="仿宋_GB2312"/>
          <w:bCs/>
          <w:kern w:val="0"/>
          <w:sz w:val="32"/>
          <w:szCs w:val="32"/>
          <w:lang w:val="en-US" w:eastAsia="zh-CN"/>
        </w:rPr>
        <w:t>参照公务员管理</w:t>
      </w:r>
      <w:r>
        <w:rPr>
          <w:rFonts w:hint="eastAsia" w:ascii="Times New Roman" w:hAnsi="Times New Roman" w:eastAsia="仿宋_GB2312" w:cs="仿宋_GB2312"/>
          <w:bCs/>
          <w:kern w:val="0"/>
          <w:sz w:val="32"/>
          <w:szCs w:val="32"/>
        </w:rPr>
        <w:t>全额拨款</w:t>
      </w:r>
      <w:r>
        <w:rPr>
          <w:rFonts w:hint="eastAsia" w:ascii="Times New Roman" w:hAnsi="Times New Roman" w:eastAsia="仿宋_GB2312" w:cs="仿宋_GB2312"/>
          <w:bCs/>
          <w:kern w:val="0"/>
          <w:sz w:val="32"/>
          <w:szCs w:val="32"/>
          <w:lang w:val="en-US" w:eastAsia="zh-CN"/>
        </w:rPr>
        <w:t>事业</w:t>
      </w:r>
      <w:r>
        <w:rPr>
          <w:rFonts w:hint="eastAsia" w:ascii="Times New Roman" w:hAnsi="Times New Roman" w:eastAsia="仿宋_GB2312" w:cs="仿宋_GB2312"/>
          <w:bCs/>
          <w:kern w:val="0"/>
          <w:sz w:val="32"/>
          <w:szCs w:val="32"/>
        </w:rPr>
        <w:t>单位，内设办公室</w:t>
      </w:r>
      <w:r>
        <w:rPr>
          <w:rFonts w:hint="eastAsia" w:ascii="Times New Roman" w:hAnsi="Times New Roman" w:eastAsia="仿宋_GB2312" w:cs="仿宋_GB2312"/>
          <w:bCs/>
          <w:kern w:val="0"/>
          <w:sz w:val="32"/>
          <w:szCs w:val="32"/>
          <w:lang w:val="en-US" w:eastAsia="zh-CN"/>
        </w:rPr>
        <w:t>一个机构。</w:t>
      </w:r>
    </w:p>
    <w:p>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道县科学技术协会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道县科学技术协会</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道县科学技术协会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22.95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46.66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6.97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2.89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79.47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79.47</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道县科学技术协会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73"/>
        <w:gridCol w:w="1913"/>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2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91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27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913"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79.47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79.47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2050299</w:t>
            </w:r>
          </w:p>
        </w:tc>
        <w:tc>
          <w:tcPr>
            <w:tcW w:w="19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2059999</w:t>
            </w:r>
          </w:p>
        </w:tc>
        <w:tc>
          <w:tcPr>
            <w:tcW w:w="19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15.82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15.82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2060101</w:t>
            </w:r>
          </w:p>
        </w:tc>
        <w:tc>
          <w:tcPr>
            <w:tcW w:w="19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2060199</w:t>
            </w:r>
          </w:p>
        </w:tc>
        <w:tc>
          <w:tcPr>
            <w:tcW w:w="19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其他科学技术管理事务支出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3.63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3.63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2060702</w:t>
            </w:r>
          </w:p>
        </w:tc>
        <w:tc>
          <w:tcPr>
            <w:tcW w:w="19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科普活动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28.27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28.27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2060703</w:t>
            </w:r>
          </w:p>
        </w:tc>
        <w:tc>
          <w:tcPr>
            <w:tcW w:w="19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青少年科技活动</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7.63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 xml:space="preserve">7.63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2080505</w:t>
            </w:r>
          </w:p>
        </w:tc>
        <w:tc>
          <w:tcPr>
            <w:tcW w:w="19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xml:space="preserve">5.31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xml:space="preserve">5.31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2080801</w:t>
            </w:r>
          </w:p>
        </w:tc>
        <w:tc>
          <w:tcPr>
            <w:tcW w:w="19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xml:space="preserve">1.66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xml:space="preserve">1.66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27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2101102</w:t>
            </w:r>
          </w:p>
        </w:tc>
        <w:tc>
          <w:tcPr>
            <w:tcW w:w="19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xml:space="preserve">2.89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0"/>
                <w:sz w:val="22"/>
                <w:szCs w:val="22"/>
                <w:u w:val="none"/>
                <w:lang w:val="en-US" w:eastAsia="zh-CN" w:bidi="ar"/>
              </w:rPr>
            </w:pPr>
            <w:r>
              <w:rPr>
                <w:rFonts w:hint="eastAsia" w:ascii="宋体" w:hAnsi="宋体" w:eastAsia="宋体" w:cs="宋体"/>
                <w:i w:val="0"/>
                <w:iCs w:val="0"/>
                <w:color w:val="262626"/>
                <w:kern w:val="0"/>
                <w:sz w:val="22"/>
                <w:szCs w:val="22"/>
                <w:u w:val="none"/>
                <w:lang w:val="en-US" w:eastAsia="zh-CN" w:bidi="ar"/>
              </w:rPr>
              <w:t xml:space="preserve">2.89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道县科学技术协会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7" w:type="pct"/>
        <w:jc w:val="center"/>
        <w:tblLayout w:type="fixed"/>
        <w:tblCellMar>
          <w:top w:w="0" w:type="dxa"/>
          <w:left w:w="108" w:type="dxa"/>
          <w:bottom w:w="0" w:type="dxa"/>
          <w:right w:w="108" w:type="dxa"/>
        </w:tblCellMar>
      </w:tblPr>
      <w:tblGrid>
        <w:gridCol w:w="1236"/>
        <w:gridCol w:w="2523"/>
        <w:gridCol w:w="1877"/>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87"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3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8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79.47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43.57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35.90</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3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887"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7.14</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3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2059999</w:t>
            </w:r>
          </w:p>
        </w:tc>
        <w:tc>
          <w:tcPr>
            <w:tcW w:w="887"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15.82</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15.82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3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2060101</w:t>
            </w:r>
          </w:p>
        </w:tc>
        <w:tc>
          <w:tcPr>
            <w:tcW w:w="887"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7.12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7.12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3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2060199</w:t>
            </w:r>
          </w:p>
        </w:tc>
        <w:tc>
          <w:tcPr>
            <w:tcW w:w="887"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其他科学技术管理事务支出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3.63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3.63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3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2060702</w:t>
            </w:r>
          </w:p>
        </w:tc>
        <w:tc>
          <w:tcPr>
            <w:tcW w:w="887"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科普活动</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28.27</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28.27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3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2060703</w:t>
            </w:r>
          </w:p>
        </w:tc>
        <w:tc>
          <w:tcPr>
            <w:tcW w:w="88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青少年科技活动</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7.63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3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88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5.31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5.31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52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1.66</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1.66</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23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2101102</w:t>
            </w:r>
          </w:p>
        </w:tc>
        <w:tc>
          <w:tcPr>
            <w:tcW w:w="252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2.89</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2.89</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道县科学技术协会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711"/>
        <w:gridCol w:w="2636"/>
        <w:gridCol w:w="616"/>
        <w:gridCol w:w="711"/>
        <w:gridCol w:w="1678"/>
        <w:gridCol w:w="1801"/>
        <w:gridCol w:w="1935"/>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22.95</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22.95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46.66</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46.66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6.97</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color w:val="000000"/>
                <w:sz w:val="22"/>
                <w:lang w:val="en-US" w:eastAsia="zh-CN"/>
              </w:rPr>
              <w:t>6.97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bidi="ar"/>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b w:val="0"/>
                <w:bCs/>
                <w:color w:val="000000"/>
                <w:sz w:val="22"/>
                <w:lang w:val="en-US" w:eastAsia="zh-CN"/>
              </w:rPr>
              <w:t>2.89</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b w:val="0"/>
                <w:bCs/>
                <w:color w:val="000000"/>
                <w:sz w:val="22"/>
                <w:lang w:val="en-US" w:eastAsia="zh-CN"/>
              </w:rPr>
              <w:t>2.89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79.47</w:t>
            </w:r>
          </w:p>
        </w:tc>
        <w:tc>
          <w:tcPr>
            <w:tcW w:w="1678" w:type="dxa"/>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79.47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79.47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道县科学技术协会</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79.47</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43.57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35.90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15.82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15.82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2060101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2060199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其他科学技术管理事务支出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2060702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科普活动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28.27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28.27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2060703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青少年科技活动</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2.89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道县科学技术协会</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34.79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7.12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12.59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8.26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5.67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36.45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7.12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道县科学技术协会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道县科学技术协会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道县科学技术协会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说明：我单位没有使用财政拨款“三公”经费预算安排的支出，故本表无数据。</w:t>
      </w:r>
    </w:p>
    <w:p>
      <w:pPr>
        <w:pStyle w:val="2"/>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14.25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相关费用减少</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科学技术支出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社会保障和就业支出、卫生健康支出</w:t>
      </w:r>
      <w:r>
        <w:rPr>
          <w:rFonts w:hint="eastAsia" w:ascii="Times New Roman" w:hAnsi="Times New Roman" w:eastAsia="仿宋_GB2312" w:cs="Times New Roman"/>
          <w:sz w:val="32"/>
          <w:szCs w:val="32"/>
          <w:lang w:eastAsia="zh-CN"/>
        </w:rPr>
        <w:t>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43.57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54.82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45.18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14.25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相关费用减少</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14.25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相关费用减少</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万元，主要用于以下方面：</w:t>
      </w:r>
      <w:bookmarkStart w:id="3" w:name="OLE_LINK3"/>
      <w:r>
        <w:rPr>
          <w:rFonts w:hint="eastAsia" w:ascii="Times New Roman" w:hAnsi="Times New Roman" w:eastAsia="仿宋_GB2312"/>
          <w:sz w:val="32"/>
          <w:szCs w:val="32"/>
          <w:lang w:val="en-US" w:eastAsia="zh-CN"/>
        </w:rPr>
        <w:t>科学技术</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46.66</w:t>
      </w:r>
      <w:r>
        <w:rPr>
          <w:rFonts w:hint="eastAsia" w:ascii="Times New Roman" w:hAnsi="Times New Roman" w:eastAsia="仿宋_GB2312"/>
          <w:sz w:val="32"/>
          <w:szCs w:val="32"/>
        </w:rPr>
        <w:t>万元</w:t>
      </w:r>
      <w:bookmarkEnd w:id="3"/>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58.71</w:t>
      </w:r>
      <w:r>
        <w:rPr>
          <w:rFonts w:hint="eastAsia" w:ascii="Times New Roman" w:hAnsi="Times New Roman" w:eastAsia="仿宋_GB2312"/>
          <w:sz w:val="32"/>
          <w:szCs w:val="32"/>
        </w:rPr>
        <w:t>%；教育（类）支出</w:t>
      </w:r>
      <w:r>
        <w:rPr>
          <w:rFonts w:hint="eastAsia" w:ascii="Times New Roman" w:hAnsi="Times New Roman" w:eastAsia="仿宋_GB2312"/>
          <w:sz w:val="32"/>
          <w:szCs w:val="32"/>
          <w:lang w:val="en-US" w:eastAsia="zh-CN"/>
        </w:rPr>
        <w:t>22.95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28.88</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6.97万元，占8.77%；卫生健康支出2.89万元，占3.64%。</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bookmarkStart w:id="4" w:name="OLE_LINK6"/>
      <w:r>
        <w:rPr>
          <w:rFonts w:hint="eastAsia" w:ascii="Times New Roman" w:hAnsi="Times New Roman" w:eastAsia="仿宋_GB2312"/>
          <w:sz w:val="32"/>
          <w:szCs w:val="32"/>
          <w:lang w:val="en-US" w:eastAsia="zh-CN"/>
        </w:rPr>
        <w:t>教育支出</w:t>
      </w:r>
      <w:bookmarkStart w:id="5" w:name="OLE_LINK8"/>
      <w:r>
        <w:rPr>
          <w:rFonts w:hint="eastAsia" w:ascii="Times New Roman" w:hAnsi="Times New Roman" w:eastAsia="仿宋_GB2312"/>
          <w:sz w:val="32"/>
          <w:szCs w:val="32"/>
          <w:lang w:val="en-US" w:eastAsia="zh-CN"/>
        </w:rPr>
        <w:t>（类）</w:t>
      </w:r>
      <w:bookmarkEnd w:id="5"/>
      <w:r>
        <w:rPr>
          <w:rFonts w:hint="eastAsia" w:ascii="Times New Roman" w:hAnsi="Times New Roman" w:eastAsia="仿宋_GB2312"/>
          <w:sz w:val="32"/>
          <w:szCs w:val="32"/>
          <w:lang w:val="en-US" w:eastAsia="zh-CN"/>
        </w:rPr>
        <w:t>普通教育</w:t>
      </w:r>
      <w:bookmarkStart w:id="6" w:name="OLE_LINK9"/>
      <w:r>
        <w:rPr>
          <w:rFonts w:hint="eastAsia" w:ascii="Times New Roman" w:hAnsi="Times New Roman" w:eastAsia="仿宋_GB2312"/>
          <w:sz w:val="32"/>
          <w:szCs w:val="32"/>
          <w:lang w:val="en-US" w:eastAsia="zh-CN"/>
        </w:rPr>
        <w:t>（款）</w:t>
      </w:r>
      <w:bookmarkEnd w:id="6"/>
      <w:r>
        <w:rPr>
          <w:rFonts w:hint="eastAsia" w:ascii="Times New Roman" w:hAnsi="Times New Roman" w:eastAsia="仿宋_GB2312"/>
          <w:sz w:val="32"/>
          <w:szCs w:val="32"/>
          <w:lang w:val="en-US" w:eastAsia="zh-CN"/>
        </w:rPr>
        <w:t>其他普通教育支出</w:t>
      </w:r>
      <w:bookmarkEnd w:id="4"/>
      <w:bookmarkStart w:id="7" w:name="OLE_LINK10"/>
      <w:r>
        <w:rPr>
          <w:rFonts w:hint="eastAsia" w:ascii="Times New Roman" w:hAnsi="Times New Roman" w:eastAsia="仿宋_GB2312"/>
          <w:sz w:val="32"/>
          <w:szCs w:val="32"/>
          <w:lang w:val="en-US" w:eastAsia="zh-CN"/>
        </w:rPr>
        <w:t>（项）</w:t>
      </w:r>
      <w:bookmarkEnd w:id="7"/>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7.14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7.14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w:t>
      </w:r>
      <w:r>
        <w:rPr>
          <w:rFonts w:hint="eastAsia" w:ascii="Times New Roman" w:hAnsi="Times New Roman" w:eastAsia="仿宋_GB2312"/>
          <w:sz w:val="32"/>
          <w:szCs w:val="32"/>
          <w:lang w:val="en-US" w:eastAsia="zh-CN"/>
        </w:rPr>
        <w:t>教育支出</w:t>
      </w:r>
      <w:bookmarkStart w:id="8" w:name="OLE_LINK7"/>
      <w:r>
        <w:rPr>
          <w:rFonts w:hint="eastAsia" w:ascii="Times New Roman" w:hAnsi="Times New Roman" w:eastAsia="仿宋_GB2312"/>
          <w:sz w:val="32"/>
          <w:szCs w:val="32"/>
          <w:lang w:val="en-US" w:eastAsia="zh-CN"/>
        </w:rPr>
        <w:t>（类）其他教育支出（款）其他教育支出</w:t>
      </w:r>
      <w:bookmarkEnd w:id="8"/>
      <w:r>
        <w:rPr>
          <w:rFonts w:hint="eastAsia" w:ascii="Times New Roman" w:hAnsi="Times New Roman" w:eastAsia="仿宋_GB2312"/>
          <w:sz w:val="32"/>
          <w:szCs w:val="32"/>
          <w:lang w:val="en-US" w:eastAsia="zh-CN"/>
        </w:rPr>
        <w:t>（项）</w:t>
      </w:r>
      <w:r>
        <w:rPr>
          <w:rFonts w:hint="eastAsia" w:ascii="Times New Roman" w:hAnsi="Times New Roman" w:eastAsia="仿宋_GB2312"/>
          <w:sz w:val="32"/>
          <w:szCs w:val="32"/>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bookmarkStart w:id="9" w:name="OLE_LINK11"/>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15.82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15.82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bookmarkEnd w:id="9"/>
    <w:p>
      <w:pPr>
        <w:pStyle w:val="12"/>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Times New Roman" w:hAnsi="Times New Roman" w:eastAsia="仿宋_GB2312"/>
          <w:sz w:val="32"/>
          <w:szCs w:val="32"/>
          <w:lang w:val="en-US" w:eastAsia="zh-CN"/>
        </w:rPr>
      </w:pPr>
      <w:bookmarkStart w:id="10" w:name="OLE_LINK12"/>
      <w:r>
        <w:rPr>
          <w:rFonts w:hint="eastAsia" w:ascii="Times New Roman" w:hAnsi="Times New Roman" w:eastAsia="仿宋_GB2312"/>
          <w:sz w:val="32"/>
          <w:szCs w:val="32"/>
        </w:rPr>
        <w:t>科学技术支出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w:t>
      </w:r>
      <w:r>
        <w:rPr>
          <w:rFonts w:hint="eastAsia" w:ascii="Times New Roman" w:hAnsi="Times New Roman" w:eastAsia="仿宋_GB2312"/>
          <w:sz w:val="32"/>
          <w:szCs w:val="32"/>
          <w:lang w:eastAsia="zh-CN"/>
        </w:rPr>
        <w:t>）</w:t>
      </w:r>
      <w:bookmarkEnd w:id="10"/>
      <w:r>
        <w:rPr>
          <w:rFonts w:hint="eastAsia" w:ascii="Times New Roman" w:hAnsi="Times New Roman" w:eastAsia="仿宋_GB2312"/>
          <w:sz w:val="32"/>
          <w:szCs w:val="32"/>
        </w:rPr>
        <w:t>科学技术管理事务</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款</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行政运行（项）。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bookmarkStart w:id="11" w:name="OLE_LINK13"/>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7.12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科学技术支出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科学技术管理事务</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款</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其他科学技术管理事务支出（项）。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3.63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3.63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bookmarkEnd w:id="11"/>
    <w:p>
      <w:pPr>
        <w:pStyle w:val="12"/>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Times New Roman" w:hAnsi="Times New Roman" w:eastAsia="仿宋_GB2312"/>
          <w:sz w:val="32"/>
          <w:szCs w:val="32"/>
          <w:lang w:val="en-US" w:eastAsia="zh-CN"/>
        </w:rPr>
      </w:pPr>
      <w:bookmarkStart w:id="12" w:name="OLE_LINK14"/>
      <w:r>
        <w:rPr>
          <w:rFonts w:hint="eastAsia" w:ascii="Times New Roman" w:hAnsi="Times New Roman" w:eastAsia="仿宋_GB2312"/>
          <w:sz w:val="32"/>
          <w:szCs w:val="32"/>
        </w:rPr>
        <w:t>科学技术支出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科学技术普及（款）</w:t>
      </w:r>
      <w:bookmarkEnd w:id="12"/>
      <w:r>
        <w:rPr>
          <w:rFonts w:hint="eastAsia" w:ascii="Times New Roman" w:hAnsi="Times New Roman" w:eastAsia="仿宋_GB2312"/>
          <w:sz w:val="32"/>
          <w:szCs w:val="32"/>
          <w:lang w:val="en-US" w:eastAsia="zh-CN"/>
        </w:rPr>
        <w:t>青少年科技活动</w:t>
      </w:r>
      <w:bookmarkStart w:id="13" w:name="OLE_LINK15"/>
      <w:r>
        <w:rPr>
          <w:rFonts w:hint="eastAsia" w:ascii="Times New Roman" w:hAnsi="Times New Roman" w:eastAsia="仿宋_GB2312"/>
          <w:sz w:val="32"/>
          <w:szCs w:val="32"/>
          <w:lang w:val="en-US" w:eastAsia="zh-CN"/>
        </w:rPr>
        <w:t>（项）</w:t>
      </w:r>
      <w:bookmarkEnd w:id="13"/>
      <w:r>
        <w:rPr>
          <w:rFonts w:hint="eastAsia" w:ascii="Times New Roman" w:hAnsi="Times New Roman" w:eastAsia="仿宋_GB2312"/>
          <w:sz w:val="32"/>
          <w:szCs w:val="32"/>
          <w:lang w:val="en-US" w:eastAsia="zh-CN"/>
        </w:rPr>
        <w:t>。</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7.63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7.63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科学技术支出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科学技术普及（款）科普活动（项）。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bookmarkStart w:id="14" w:name="OLE_LINK16"/>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28.27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28.27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bookmarkEnd w:id="14"/>
    <w:p>
      <w:pPr>
        <w:pStyle w:val="12"/>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default" w:ascii="Times New Roman" w:hAnsi="Times New Roman" w:eastAsia="仿宋_GB2312"/>
          <w:sz w:val="32"/>
          <w:szCs w:val="32"/>
          <w:lang w:val="en-US" w:eastAsia="zh-CN"/>
        </w:rPr>
      </w:pPr>
      <w:bookmarkStart w:id="15" w:name="OLE_LINK17"/>
      <w:r>
        <w:rPr>
          <w:rFonts w:hint="default"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lang w:val="en-US" w:eastAsia="zh-CN"/>
        </w:rPr>
        <w:t>（类）</w:t>
      </w:r>
      <w:r>
        <w:rPr>
          <w:rFonts w:hint="default"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lang w:val="en-US" w:eastAsia="zh-CN"/>
        </w:rPr>
        <w:t>（款）</w:t>
      </w:r>
      <w:r>
        <w:rPr>
          <w:rFonts w:hint="default"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lang w:val="en-US" w:eastAsia="zh-CN"/>
        </w:rPr>
        <w:t>（项）。</w:t>
      </w:r>
    </w:p>
    <w:bookmarkEnd w:id="15"/>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bookmarkStart w:id="16" w:name="OLE_LINK18"/>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5.31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5.31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bookmarkEnd w:id="16"/>
    <w:p>
      <w:pPr>
        <w:pStyle w:val="12"/>
        <w:keepNext w:val="0"/>
        <w:keepLines w:val="0"/>
        <w:pageBreakBefore w:val="0"/>
        <w:widowControl w:val="0"/>
        <w:numPr>
          <w:ilvl w:val="0"/>
          <w:numId w:val="1"/>
        </w:numPr>
        <w:kinsoku/>
        <w:wordWrap/>
        <w:overflowPunct/>
        <w:topLinePunct w:val="0"/>
        <w:bidi w:val="0"/>
        <w:snapToGrid/>
        <w:spacing w:line="600" w:lineRule="exact"/>
        <w:ind w:left="880" w:leftChars="0" w:firstLine="0" w:firstLineChars="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lang w:val="en-US" w:eastAsia="zh-CN"/>
        </w:rPr>
        <w:t>（类）抚恤（款）死亡抚恤（项）。</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default" w:ascii="Times New Roman" w:hAnsi="Times New Roman" w:eastAsia="仿宋_GB2312"/>
          <w:sz w:val="32"/>
          <w:szCs w:val="32"/>
          <w:lang w:val="en-US" w:eastAsia="zh-CN"/>
        </w:rPr>
      </w:pPr>
      <w:r>
        <w:rPr>
          <w:rFonts w:hint="default" w:ascii="Times New Roman" w:hAnsi="Times New Roman" w:eastAsia="仿宋_GB2312"/>
          <w:sz w:val="32"/>
          <w:szCs w:val="32"/>
          <w:lang w:val="en-US" w:eastAsia="zh-CN"/>
        </w:rPr>
        <w:t>卫生健康支出(类)行政事业单位医疗</w:t>
      </w:r>
      <w:r>
        <w:rPr>
          <w:rFonts w:hint="eastAsia" w:ascii="Times New Roman" w:hAnsi="Times New Roman" w:eastAsia="仿宋_GB2312"/>
          <w:sz w:val="32"/>
          <w:szCs w:val="32"/>
          <w:lang w:val="en-US" w:eastAsia="zh-CN"/>
        </w:rPr>
        <w:t>（款）事业单位医疗（项）。</w:t>
      </w:r>
    </w:p>
    <w:p>
      <w:pPr>
        <w:pStyle w:val="12"/>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2.89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2.89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科学技术支出</w:t>
      </w:r>
      <w:r>
        <w:rPr>
          <w:rFonts w:hint="eastAsia" w:ascii="Times New Roman" w:hAnsi="Times New Roman" w:eastAsia="仿宋_GB2312" w:cs="Times New Roman"/>
          <w:sz w:val="32"/>
          <w:szCs w:val="32"/>
        </w:rPr>
        <w:t>方面的支出占财政拨款支出总额的比重较高，主要是：</w:t>
      </w:r>
      <w:r>
        <w:rPr>
          <w:rFonts w:hint="eastAsia" w:ascii="Times New Roman" w:hAnsi="Times New Roman" w:eastAsia="仿宋_GB2312" w:cs="Times New Roman"/>
          <w:sz w:val="32"/>
          <w:szCs w:val="32"/>
          <w:lang w:val="en-US" w:eastAsia="zh-CN"/>
        </w:rPr>
        <w:t>科普活动</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28.27</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35.57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支持各类实体及数字化科普场所的运行、建设和提质升级，举办科技展览、科普讲座、知识竞赛、科技创新竞赛</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43.57</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36.45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83.66</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12.59万元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8.26万元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2.18万元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绩效工资3万元、机关事业单位基本养老保险缴费5.67万元、职工基本医疗保险缴费3.09万元、抚恤金1.66万元等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16.34</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2.16万元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1.16万元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0.5万元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工会经</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2.24万元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其他交通费用0.5万元、其他商品和服务支出0.56万元等。</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道县科学技术协会</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1.24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严格落实“过紧日子”要求，主动压减开支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7.12</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17.59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严格</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机关运行经费</w:t>
      </w:r>
      <w:r>
        <w:rPr>
          <w:rFonts w:hint="eastAsia"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；举办等节庆、晚会、论坛、赛事活动，开支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道县科学技术协会</w:t>
      </w:r>
      <w:r>
        <w:rPr>
          <w:rFonts w:ascii="Times New Roman" w:hAnsi="Times New Roman" w:eastAsia="仿宋_GB2312" w:cs="Times New Roman"/>
          <w:color w:val="auto"/>
          <w:sz w:val="32"/>
          <w:szCs w:val="32"/>
        </w:rPr>
        <w:t>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79.47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79.47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部门整体支出</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val="en-US" w:eastAsia="zh-CN"/>
        </w:rPr>
        <w:t>成功举办青少年科技创新大赛</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val="en-US" w:eastAsia="zh-CN"/>
        </w:rPr>
        <w:t>精心组织全国中学生五项学科竞赛和永州市太空机器人大赛；三是联动开展系列科普活动；四是创新举办“全国科普月”主场活动；五是有效实施“会县结对乡村行”项目；六是建成省科技新闻学会道县服务站；七是用心服务科技工作者</w:t>
      </w: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sz w:val="32"/>
          <w:szCs w:val="32"/>
          <w:lang w:val="en-US" w:eastAsia="zh-CN"/>
        </w:rPr>
        <w:t>由于项目指标下达时间较晚，少部分资金未能及时拨付使用</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lang w:val="en-US" w:eastAsia="zh-CN"/>
        </w:rPr>
        <w:t>内控制度需进一步完善，随着资金管理改革的进一步推进，我单位内部机构进行了相应的优化，建立健全了财务管理制度、固定资产管理制度、费用报销规程等制度，但仍需进一步强化财务约束监督体制</w:t>
      </w:r>
      <w:r>
        <w:rPr>
          <w:rFonts w:ascii="Times New Roman" w:hAnsi="Times New Roman" w:eastAsia="仿宋_GB2312" w:cs="Times New Roman"/>
          <w:sz w:val="32"/>
          <w:szCs w:val="32"/>
        </w:rPr>
        <w:t>。下一步改进措施：一是</w:t>
      </w:r>
      <w:r>
        <w:rPr>
          <w:rFonts w:hint="eastAsia" w:ascii="仿宋_GB2312" w:hAnsi="仿宋_GB2312" w:eastAsia="仿宋_GB2312" w:cs="仿宋_GB2312"/>
          <w:sz w:val="32"/>
          <w:szCs w:val="32"/>
          <w:lang w:val="en-US" w:eastAsia="zh-CN"/>
        </w:rPr>
        <w:t>加强队伍建设及相关业务知识，严格执行预算，提高预算编制的科学性及合理性,为资金管理及绩效评价工作开展创造更好的条件</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lang w:val="en-US" w:eastAsia="zh-CN"/>
        </w:rPr>
        <w:t>严格按照绩效管理及考核相关规定，加强绩效管理，将绩效工作细化、量化，做准基本支出预算，做全项目支出预算</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b/>
          <w:bCs/>
          <w:kern w:val="0"/>
          <w:sz w:val="32"/>
          <w:szCs w:val="32"/>
        </w:rPr>
        <w:t>（</w:t>
      </w:r>
      <w:r>
        <w:rPr>
          <w:rFonts w:hint="eastAsia" w:ascii="Times New Roman" w:hAnsi="Times New Roman" w:eastAsia="仿宋_GB2312" w:cs="Times New Roman"/>
          <w:sz w:val="32"/>
          <w:szCs w:val="32"/>
          <w:lang w:val="en-US" w:eastAsia="zh-CN"/>
        </w:rPr>
        <w:t>道县科学技术协会2025年度部门整体支出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sz w:val="32"/>
          <w:szCs w:val="32"/>
          <w:lang w:val="en-US" w:eastAsia="zh-CN"/>
        </w:rPr>
        <w:t>由于项目指标下达时间较晚，少部分资金未能及时拨付使用</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lang w:val="en-US" w:eastAsia="zh-CN"/>
        </w:rPr>
        <w:t>内控制度需进一步完善，随着资金管理改革的进一步推进，我单位内部机构进行了相应的优化，建立健全了财务管理制度、固定资产管理制度、费用报销规程等制度，但仍需进一步强化财务约束监督体制</w:t>
      </w:r>
      <w:r>
        <w:rPr>
          <w:rFonts w:ascii="Times New Roman" w:hAnsi="Times New Roman" w:eastAsia="仿宋_GB2312" w:cs="Times New Roman"/>
          <w:sz w:val="32"/>
          <w:szCs w:val="32"/>
        </w:rPr>
        <w:t>。下一步改进措施：一是</w:t>
      </w:r>
      <w:r>
        <w:rPr>
          <w:rFonts w:hint="eastAsia" w:ascii="仿宋_GB2312" w:hAnsi="仿宋_GB2312" w:eastAsia="仿宋_GB2312" w:cs="仿宋_GB2312"/>
          <w:sz w:val="32"/>
          <w:szCs w:val="32"/>
          <w:lang w:val="en-US" w:eastAsia="zh-CN"/>
        </w:rPr>
        <w:t>加强队伍建设及相关业务知识，严格执行预算，提高预算编制的科学性及合理性,为资金管理及绩效评价工作开展创造更好的条件</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lang w:val="en-US" w:eastAsia="zh-CN"/>
        </w:rPr>
        <w:t>严格按照绩效管理及考核相关规定，加强绩效管理，将绩效工作细化、量化，做准基本支出预算，做全项目支出预算</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财政拨款收入：指财政当年拨付的资金。包括一般公共预算财政拨款和政府性基金财政拨款。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上级补助收入：指事业单位从主管部门和上级单位取得的非财政补助收入。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事业收入：指事业单位开展专业业务活动及辅助活动所取得的收入。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经营收入：指事业单位在专业业务活动及其辅助活动之外开展非独立核算经营活动取得的收入。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附属单位上缴收入：指事业单位附属独立核算单位按照有关规定上缴的收入。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其他收入：指除上述“财政拨款收入”、“事业收入”、“经营收入”等以外的收入。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用事业基金弥补收支差额：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年初结转和结余：指以前年度尚未完成、结转到本年按有关规定继续使用的资金。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结余分配：指事业事位按规定从非财政补助结余中分配的事业基金和职工福利基金等。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年末结转和结余：指本年度或以前年度预算安排、因客观条件发生变化无法按原计划实施，需要延迟到以后年度按有关规定继续使用的资金。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基本支出：指为保障机构正常运转、完成日常工作任务而发生的人员支出和公用支出。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项目支出：指在基本支出之外为完成特定行政任务和事业发展目标所发生的支出。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经营支出：指事业单位在专业业务活动及其辅助活动之外开展非独立核算经营活动所发生的支出。 </w:t>
      </w:r>
    </w:p>
    <w:p>
      <w:pPr>
        <w:pStyle w:val="12"/>
        <w:widowControl w:val="0"/>
        <w:numPr>
          <w:ilvl w:val="0"/>
          <w:numId w:val="2"/>
        </w:numPr>
        <w:wordWrap/>
        <w:autoSpaceDE w:val="0"/>
        <w:autoSpaceDN w:val="0"/>
        <w:adjustRightInd w:val="0"/>
        <w:snapToGrid/>
        <w:ind w:left="0" w:leftChars="0" w:firstLine="420" w:firstLineChars="0"/>
        <w:jc w:val="left"/>
        <w:textAlignment w:val="auto"/>
        <w:rPr>
          <w:rFonts w:hint="eastAsia" w:ascii="宋体" w:hAnsi="宋体" w:eastAsia="宋体" w:cs="黑体"/>
          <w:color w:val="auto"/>
          <w:kern w:val="2"/>
          <w:sz w:val="28"/>
          <w:szCs w:val="32"/>
          <w:lang w:val="en-US" w:eastAsia="zh-CN" w:bidi="ar-SA"/>
        </w:rPr>
      </w:pPr>
      <w:r>
        <w:rPr>
          <w:rFonts w:hint="eastAsia" w:ascii="宋体" w:hAnsi="宋体" w:eastAsia="宋体" w:cs="黑体"/>
          <w:color w:val="auto"/>
          <w:kern w:val="2"/>
          <w:sz w:val="28"/>
          <w:szCs w:val="32"/>
          <w:lang w:val="en-US" w:eastAsia="zh-CN" w:bidi="ar-SA"/>
        </w:rPr>
        <w:t xml:space="preserve">“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 </w:t>
      </w:r>
    </w:p>
    <w:p>
      <w:pPr>
        <w:widowControl/>
        <w:ind w:firstLine="560" w:firstLineChars="200"/>
        <w:jc w:val="left"/>
        <w:rPr>
          <w:rFonts w:ascii="Times New Roman" w:hAnsi="Times New Roman" w:eastAsia="仿宋_GB2312" w:cs="Times New Roman"/>
          <w:color w:val="000000"/>
          <w:kern w:val="0"/>
          <w:sz w:val="32"/>
          <w:szCs w:val="32"/>
        </w:rPr>
      </w:pPr>
      <w:r>
        <w:rPr>
          <w:rFonts w:hint="eastAsia" w:ascii="宋体" w:hAnsi="宋体" w:eastAsia="宋体" w:cs="黑体"/>
          <w:color w:val="auto"/>
          <w:kern w:val="2"/>
          <w:sz w:val="28"/>
          <w:szCs w:val="32"/>
          <w:lang w:val="en-US" w:eastAsia="zh-CN" w:bidi="ar-SA"/>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spacing w:line="360" w:lineRule="auto"/>
        <w:jc w:val="both"/>
        <w:rPr>
          <w:rFonts w:ascii="Times New Roman" w:hAnsi="Times New Roman" w:eastAsia="方正小标宋_GBK" w:cs="Times New Roman"/>
          <w:sz w:val="52"/>
          <w:szCs w:val="52"/>
        </w:rPr>
      </w:pPr>
      <w:bookmarkStart w:id="17" w:name="_GoBack"/>
      <w:bookmarkEnd w:id="17"/>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1600" w:firstLineChars="5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ind w:firstLine="1280" w:firstLineChars="400"/>
        <w:rPr>
          <w:rFonts w:ascii="Times New Roman" w:hAnsi="Times New Roman" w:eastAsia="仿宋_GB2312" w:cs="Times New Roman"/>
          <w:sz w:val="32"/>
          <w:szCs w:val="32"/>
        </w:rPr>
      </w:pPr>
    </w:p>
    <w:p>
      <w:pPr>
        <w:pStyle w:val="12"/>
        <w:spacing w:line="600" w:lineRule="exact"/>
        <w:ind w:firstLine="640" w:firstLineChars="200"/>
        <w:rPr>
          <w:rFonts w:ascii="Times New Roman" w:hAnsi="Times New Roman" w:eastAsia="仿宋_GB2312" w:cs="Times New Roman"/>
          <w:sz w:val="32"/>
          <w:szCs w:val="3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61D337"/>
    <w:multiLevelType w:val="singleLevel"/>
    <w:tmpl w:val="9A61D337"/>
    <w:lvl w:ilvl="0" w:tentative="0">
      <w:start w:val="1"/>
      <w:numFmt w:val="chineseCounting"/>
      <w:suff w:val="nothing"/>
      <w:lvlText w:val="（%1）"/>
      <w:lvlJc w:val="left"/>
      <w:pPr>
        <w:ind w:left="0" w:firstLine="420"/>
      </w:pPr>
      <w:rPr>
        <w:rFonts w:hint="eastAsia"/>
      </w:rPr>
    </w:lvl>
  </w:abstractNum>
  <w:abstractNum w:abstractNumId="1">
    <w:nsid w:val="BFE4F4E3"/>
    <w:multiLevelType w:val="singleLevel"/>
    <w:tmpl w:val="BFE4F4E3"/>
    <w:lvl w:ilvl="0" w:tentative="0">
      <w:start w:val="3"/>
      <w:numFmt w:val="decimal"/>
      <w:suff w:val="nothing"/>
      <w:lvlText w:val="%1、"/>
      <w:lvlJc w:val="left"/>
      <w:pPr>
        <w:ind w:left="88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551F1A"/>
    <w:rsid w:val="04CE2A73"/>
    <w:rsid w:val="08696303"/>
    <w:rsid w:val="0C110A27"/>
    <w:rsid w:val="0EA70829"/>
    <w:rsid w:val="11551F3A"/>
    <w:rsid w:val="11A517B4"/>
    <w:rsid w:val="155160AF"/>
    <w:rsid w:val="16ED1DAC"/>
    <w:rsid w:val="170404FB"/>
    <w:rsid w:val="18F64F72"/>
    <w:rsid w:val="1AEA2B12"/>
    <w:rsid w:val="1D0818C0"/>
    <w:rsid w:val="1D97DEFF"/>
    <w:rsid w:val="1DFF72E5"/>
    <w:rsid w:val="1EFC6F07"/>
    <w:rsid w:val="21FC117A"/>
    <w:rsid w:val="22D802D0"/>
    <w:rsid w:val="23E76EA7"/>
    <w:rsid w:val="26C869A7"/>
    <w:rsid w:val="2FDF85B8"/>
    <w:rsid w:val="2FFFEE04"/>
    <w:rsid w:val="34DF85B0"/>
    <w:rsid w:val="3B8F36BC"/>
    <w:rsid w:val="3FEE61BC"/>
    <w:rsid w:val="491FF225"/>
    <w:rsid w:val="49D441C7"/>
    <w:rsid w:val="4AFA013E"/>
    <w:rsid w:val="4BBE204F"/>
    <w:rsid w:val="4FFD214C"/>
    <w:rsid w:val="551A3609"/>
    <w:rsid w:val="55560EC1"/>
    <w:rsid w:val="575D5C22"/>
    <w:rsid w:val="5777D4F5"/>
    <w:rsid w:val="57A61B00"/>
    <w:rsid w:val="59DD8326"/>
    <w:rsid w:val="5C4E3034"/>
    <w:rsid w:val="5DEF592A"/>
    <w:rsid w:val="5ED82947"/>
    <w:rsid w:val="5F1A6AF9"/>
    <w:rsid w:val="5FC6BB1E"/>
    <w:rsid w:val="5FF720F1"/>
    <w:rsid w:val="666006F5"/>
    <w:rsid w:val="67FF5C0B"/>
    <w:rsid w:val="69C319DD"/>
    <w:rsid w:val="6BDA1E94"/>
    <w:rsid w:val="6EFC0924"/>
    <w:rsid w:val="6F642AF7"/>
    <w:rsid w:val="6FB74722"/>
    <w:rsid w:val="6FEF8B7E"/>
    <w:rsid w:val="71A6591B"/>
    <w:rsid w:val="729C1DD5"/>
    <w:rsid w:val="737D59BA"/>
    <w:rsid w:val="742A0835"/>
    <w:rsid w:val="77AD24D7"/>
    <w:rsid w:val="77C37683"/>
    <w:rsid w:val="79372D70"/>
    <w:rsid w:val="79D19834"/>
    <w:rsid w:val="79FF515B"/>
    <w:rsid w:val="7ACB038B"/>
    <w:rsid w:val="7B8D7395"/>
    <w:rsid w:val="7BF549BF"/>
    <w:rsid w:val="7C3D52A4"/>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8127</Words>
  <Characters>9422</Characters>
  <Lines>69</Lines>
  <Paragraphs>19</Paragraphs>
  <TotalTime>11</TotalTime>
  <ScaleCrop>false</ScaleCrop>
  <LinksUpToDate>false</LinksUpToDate>
  <CharactersWithSpaces>10664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2026-09-11T02:09:15Z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7B8487F095384D47BF24887285982048</vt:lpwstr>
  </property>
</Properties>
</file>